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hint="eastAsia" w:ascii="Times New Roman" w:hAnsi="Times New Roman" w:eastAsia="黑体" w:cs="Times New Roman"/>
          <w:b/>
          <w:kern w:val="0"/>
          <w:sz w:val="50"/>
          <w:szCs w:val="50"/>
          <w:lang w:val="en-US" w:eastAsia="zh-CN" w:bidi="en-US"/>
        </w:rPr>
      </w:pPr>
      <w:r>
        <w:rPr>
          <w:rFonts w:hint="eastAsia" w:ascii="Times New Roman" w:hAnsi="Times New Roman" w:eastAsia="黑体" w:cs="Times New Roman"/>
          <w:b/>
          <w:kern w:val="0"/>
          <w:sz w:val="50"/>
          <w:szCs w:val="50"/>
          <w:lang w:val="en-US" w:eastAsia="zh-CN" w:bidi="en-US"/>
        </w:rPr>
        <w:t xml:space="preserve"> 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firstLine="2080" w:firstLineChars="65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/>
          <w:sz w:val="32"/>
        </w:rPr>
        <w:t>治超事务专项经费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/>
          <w:sz w:val="32"/>
        </w:rPr>
        <w:t>忻州市治理超限超载车辆服务中心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/>
          <w:sz w:val="32"/>
        </w:rPr>
        <w:t>忻州市人民政府办公室-103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9"/>
        <w:tabs>
          <w:tab w:val="right" w:leader="dot" w:pos="8296"/>
        </w:tabs>
        <w:ind w:firstLine="438" w:firstLineChars="137"/>
        <w:jc w:val="center"/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bidi="en-US"/>
        </w:rPr>
        <w:t>2022年1月</w:t>
      </w:r>
    </w:p>
    <w:p>
      <w:pPr>
        <w:pStyle w:val="19"/>
        <w:tabs>
          <w:tab w:val="right" w:leader="dot" w:pos="8296"/>
        </w:tabs>
        <w:ind w:firstLine="440" w:firstLineChars="137"/>
        <w:jc w:val="center"/>
      </w:pP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9"/>
        <w:tabs>
          <w:tab w:val="right" w:leader="dot" w:pos="8296"/>
        </w:tabs>
        <w:ind w:firstLine="643"/>
        <w:jc w:val="center"/>
        <w:rPr>
          <w:rFonts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目 录</w:t>
      </w:r>
    </w:p>
    <w:p>
      <w:pPr>
        <w:pStyle w:val="19"/>
        <w:tabs>
          <w:tab w:val="right" w:leader="dot" w:pos="8296"/>
        </w:tabs>
        <w:spacing w:line="440" w:lineRule="exact"/>
        <w:ind w:firstLine="442"/>
        <w:rPr>
          <w:rFonts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2"/>
        <w:tabs>
          <w:tab w:val="right" w:leader="dot" w:pos="8296"/>
        </w:tabs>
        <w:spacing w:line="440" w:lineRule="exact"/>
        <w:ind w:firstLine="440"/>
        <w:rPr>
          <w:rFonts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2"/>
        <w:tabs>
          <w:tab w:val="right" w:leader="dot" w:pos="8296"/>
        </w:tabs>
        <w:spacing w:line="440" w:lineRule="exact"/>
        <w:ind w:firstLine="440"/>
        <w:rPr>
          <w:rFonts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2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2"/>
        <w:tabs>
          <w:tab w:val="right" w:leader="dot" w:pos="8296"/>
        </w:tabs>
        <w:spacing w:line="440" w:lineRule="exact"/>
        <w:ind w:firstLine="440"/>
        <w:rPr>
          <w:rFonts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2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2"/>
        <w:tabs>
          <w:tab w:val="right" w:leader="dot" w:pos="8296"/>
        </w:tabs>
        <w:spacing w:line="440" w:lineRule="exact"/>
        <w:ind w:firstLine="440"/>
        <w:rPr>
          <w:rFonts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b/>
        </w:rPr>
        <w:t>错误！未定义书签。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9"/>
        <w:tabs>
          <w:tab w:val="right" w:leader="dot" w:pos="8296"/>
        </w:tabs>
        <w:spacing w:line="440" w:lineRule="exact"/>
        <w:ind w:firstLine="442"/>
        <w:rPr>
          <w:rFonts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2"/>
        <w:tabs>
          <w:tab w:val="right" w:leader="dot" w:pos="8296"/>
        </w:tabs>
        <w:spacing w:line="440" w:lineRule="exact"/>
        <w:ind w:firstLine="440"/>
        <w:rPr>
          <w:rFonts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2"/>
        <w:tabs>
          <w:tab w:val="right" w:leader="dot" w:pos="8296"/>
        </w:tabs>
        <w:spacing w:line="440" w:lineRule="exact"/>
        <w:ind w:firstLine="440"/>
        <w:rPr>
          <w:rFonts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2"/>
        <w:tabs>
          <w:tab w:val="right" w:leader="dot" w:pos="8296"/>
        </w:tabs>
        <w:spacing w:line="440" w:lineRule="exact"/>
        <w:ind w:firstLine="440"/>
        <w:rPr>
          <w:rFonts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2"/>
        <w:tabs>
          <w:tab w:val="right" w:leader="dot" w:pos="8296"/>
        </w:tabs>
        <w:spacing w:line="440" w:lineRule="exact"/>
        <w:ind w:firstLine="440"/>
        <w:rPr>
          <w:rFonts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9"/>
        <w:tabs>
          <w:tab w:val="right" w:leader="dot" w:pos="8296"/>
        </w:tabs>
        <w:spacing w:line="440" w:lineRule="exact"/>
        <w:ind w:firstLine="442"/>
        <w:rPr>
          <w:rFonts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9"/>
        <w:tabs>
          <w:tab w:val="right" w:leader="dot" w:pos="8296"/>
        </w:tabs>
        <w:spacing w:line="440" w:lineRule="exact"/>
        <w:ind w:firstLine="442"/>
        <w:rPr>
          <w:rFonts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9"/>
        <w:tabs>
          <w:tab w:val="right" w:leader="dot" w:pos="8296"/>
        </w:tabs>
        <w:spacing w:line="440" w:lineRule="exact"/>
        <w:ind w:firstLine="442"/>
        <w:rPr>
          <w:rFonts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9"/>
        <w:tabs>
          <w:tab w:val="right" w:leader="dot" w:pos="8296"/>
        </w:tabs>
        <w:spacing w:line="440" w:lineRule="exact"/>
        <w:ind w:firstLine="442"/>
        <w:rPr>
          <w:rFonts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9"/>
        <w:tabs>
          <w:tab w:val="right" w:leader="dot" w:pos="8296"/>
        </w:tabs>
        <w:spacing w:line="440" w:lineRule="exact"/>
        <w:ind w:firstLine="442"/>
        <w:rPr>
          <w:rFonts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9"/>
        <w:tabs>
          <w:tab w:val="right" w:leader="dot" w:pos="8296"/>
        </w:tabs>
        <w:spacing w:line="440" w:lineRule="exact"/>
        <w:ind w:firstLine="442"/>
        <w:rPr>
          <w:rFonts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3"/>
        <w:rPr>
          <w:rFonts w:ascii="仿宋" w:hAnsi="仿宋" w:eastAsia="仿宋" w:cs="仿宋"/>
          <w:b/>
          <w:bCs w:val="0"/>
          <w:lang w:val="en-US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/>
        </w:rPr>
        <w:t>一、项目的基本情况</w:t>
      </w:r>
      <w:bookmarkEnd w:id="0"/>
    </w:p>
    <w:p>
      <w:pPr>
        <w:pStyle w:val="47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5"/>
        <w:ind w:left="280" w:firstLine="562"/>
      </w:pPr>
      <w:r>
        <w:rPr>
          <w:b/>
          <w:bCs/>
          <w:lang w:val="en-US"/>
        </w:rPr>
        <w:t>项目概况</w:t>
      </w:r>
      <w:r>
        <w:rPr>
          <w:rFonts w:hint="eastAsia"/>
          <w:b/>
          <w:bCs/>
          <w:lang w:val="en-US"/>
        </w:rPr>
        <w:t>：</w:t>
      </w:r>
      <w:r>
        <w:rPr>
          <w:rFonts w:hint="eastAsia"/>
        </w:rPr>
        <w:t>确保超限超载率保持在较低水平，确保道路安全畅通，确保不出现因超限超载而引发的重大交通事故和桥涵垮塌事故，确保执法执纪依法规范，创造更加良好的交通运输环境和营商环境。</w:t>
      </w:r>
    </w:p>
    <w:p>
      <w:pPr>
        <w:pStyle w:val="45"/>
        <w:ind w:left="280" w:firstLine="562"/>
      </w:pPr>
      <w:r>
        <w:rPr>
          <w:rFonts w:hint="eastAsia"/>
          <w:b/>
          <w:bCs/>
          <w:lang w:val="en-US"/>
        </w:rPr>
        <w:t>立项依据：</w:t>
      </w:r>
      <w:r>
        <w:rPr>
          <w:rFonts w:hint="eastAsia"/>
        </w:rPr>
        <w:t>按照省政府文件（晋政发[2007]42号）文件要求将治超经费纳入财政预算，此项目从2008年列为延续项目。每年省对忻州的年度安全生产考核中治超工作占考核分数5分，考核细则中有治超经费考核指标。</w:t>
      </w:r>
    </w:p>
    <w:p>
      <w:pPr>
        <w:pStyle w:val="45"/>
        <w:ind w:left="280" w:firstLine="562"/>
      </w:pPr>
      <w:r>
        <w:rPr>
          <w:rFonts w:hint="eastAsia"/>
          <w:b/>
          <w:bCs/>
          <w:lang w:val="en-US"/>
        </w:rPr>
        <w:t>设立的必要性：</w:t>
      </w:r>
      <w:r>
        <w:rPr>
          <w:rFonts w:hint="eastAsia"/>
        </w:rPr>
        <w:t>保障我市治超事务专项活动开展，确保我市道路安全畅通，保护路产路权，保障人民生命财产安全，交通运输市场健康有序发展。</w:t>
      </w:r>
    </w:p>
    <w:p>
      <w:pPr>
        <w:pStyle w:val="45"/>
        <w:ind w:left="280" w:firstLine="562"/>
      </w:pPr>
      <w:r>
        <w:rPr>
          <w:rFonts w:hint="eastAsia"/>
          <w:b/>
          <w:bCs/>
          <w:lang w:val="en-US"/>
        </w:rPr>
        <w:t>保证项目实施的措施与制度：</w:t>
      </w:r>
      <w:r>
        <w:rPr>
          <w:rFonts w:hint="eastAsia"/>
        </w:rPr>
        <w:t>《忻州市治超办内部控制制度》、《忻州市治超办财务管理办法》</w:t>
      </w:r>
    </w:p>
    <w:p>
      <w:pPr>
        <w:pStyle w:val="45"/>
        <w:ind w:left="280" w:firstLine="562"/>
      </w:pPr>
      <w:r>
        <w:rPr>
          <w:rFonts w:hint="eastAsia"/>
          <w:b/>
          <w:bCs/>
          <w:lang w:val="en-US"/>
        </w:rPr>
        <w:t>项目实施计划：</w:t>
      </w:r>
      <w:r>
        <w:rPr>
          <w:rFonts w:hint="eastAsia"/>
        </w:rPr>
        <w:t>1、超限超载率大幅下降，下降到0.02%。2、全年不出现一起因超限超载而引发的重特大交通事故。3、全年不出现一起因超限超载而引发的桥梁垮塌事故。4、因超限超载而引发的长时间大面积堵车现象基本消除。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7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5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10.29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10.29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10.29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10.29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10.29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10.29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10.29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10.29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10.29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7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9"/>
        <w:ind w:left="560"/>
      </w:pPr>
      <w:r>
        <w:rPr>
          <w:rFonts w:hint="eastAsia"/>
        </w:rPr>
        <w:t>（1）.</w:t>
      </w:r>
      <w:r>
        <w:t xml:space="preserve"> </w:t>
      </w:r>
      <w:r>
        <w:rPr>
          <w:rFonts w:hint="eastAsia"/>
        </w:rPr>
        <w:t>项目实施期绩效目标</w:t>
      </w:r>
    </w:p>
    <w:p>
      <w:pPr>
        <w:pStyle w:val="45"/>
        <w:ind w:left="280" w:firstLine="560"/>
      </w:pPr>
      <w:r>
        <w:t>全年确保货运车辆超限超载率低于0.02%，货车进站检测率大于95%，保障交通运输市场价格合理调节，延长公路、桥梁的使用寿命，提升治超工作社会影响力和群众满意度。</w:t>
      </w:r>
    </w:p>
    <w:p>
      <w:pPr>
        <w:pStyle w:val="45"/>
        <w:ind w:left="280" w:firstLine="560"/>
      </w:pPr>
      <w:r>
        <w:rPr>
          <w:rFonts w:hint="eastAsia"/>
        </w:rPr>
        <w:tab/>
      </w:r>
    </w:p>
    <w:p>
      <w:pPr>
        <w:pStyle w:val="49"/>
        <w:ind w:left="560"/>
      </w:pPr>
      <w:r>
        <w:rPr>
          <w:rFonts w:hint="eastAsia"/>
        </w:rPr>
        <w:t>（2）.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5"/>
        <w:ind w:left="280" w:firstLine="560"/>
      </w:pPr>
      <w:r>
        <w:t>全年确保货运车辆超限超载率低于0.02%，货车进站检测率大于95%，保障交通运输市场价格合理调节，延长公路、桥梁的使用寿命，提升治超工作社会影响力和群众满意度。</w:t>
      </w:r>
    </w:p>
    <w:p>
      <w:pPr>
        <w:pStyle w:val="45"/>
        <w:ind w:firstLine="560"/>
      </w:pPr>
    </w:p>
    <w:p>
      <w:pPr>
        <w:pStyle w:val="53"/>
        <w:rPr>
          <w:rFonts w:ascii="仿宋" w:hAnsi="仿宋" w:eastAsia="仿宋" w:cs="仿宋"/>
          <w:b/>
          <w:bCs w:val="0"/>
          <w:lang w:val="en-US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/>
        </w:rPr>
        <w:t>二、项目绩效情况</w:t>
      </w:r>
      <w:bookmarkEnd w:id="4"/>
    </w:p>
    <w:p>
      <w:pPr>
        <w:pStyle w:val="45"/>
        <w:ind w:left="140" w:leftChars="5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治超事务专项经费</w:t>
      </w:r>
      <w:r>
        <w:rPr>
          <w:rFonts w:hint="eastAsia"/>
        </w:rPr>
        <w:t>项目绩效自评价结果为:总得分</w:t>
      </w:r>
      <w:r>
        <w:t>98.65</w:t>
      </w:r>
      <w:r>
        <w:rPr>
          <w:rFonts w:hint="eastAsia"/>
        </w:rPr>
        <w:t>分，属于"</w:t>
      </w:r>
      <w:r>
        <w:t>优秀</w:t>
      </w:r>
      <w:r>
        <w:rPr>
          <w:rFonts w:hint="eastAsia"/>
        </w:rPr>
        <w:t>"。</w:t>
      </w:r>
    </w:p>
    <w:p>
      <w:pPr>
        <w:pStyle w:val="47"/>
        <w:ind w:left="560"/>
      </w:pPr>
      <w:bookmarkStart w:id="5" w:name="_Toc61505642"/>
      <w:r>
        <w:rPr>
          <w:rFonts w:hint="eastAsia"/>
        </w:rPr>
        <w:t>（一）预算执行情况</w:t>
      </w:r>
      <w:bookmarkEnd w:id="5"/>
    </w:p>
    <w:tbl>
      <w:tblPr>
        <w:tblStyle w:val="2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7"/>
        <w:ind w:left="560"/>
        <w:rPr>
          <w:rFonts w:hint="eastAsia"/>
        </w:rPr>
      </w:pPr>
      <w:bookmarkStart w:id="6" w:name="_Toc61505643"/>
      <w:r>
        <w:rPr>
          <w:rFonts w:hint="eastAsia"/>
        </w:rPr>
        <w:t>（二）项目产出情况</w:t>
      </w:r>
      <w:bookmarkEnd w:id="6"/>
    </w:p>
    <w:p>
      <w:pPr>
        <w:pStyle w:val="45"/>
        <w:ind w:firstLine="560"/>
      </w:pPr>
    </w:p>
    <w:tbl>
      <w:tblPr>
        <w:tblStyle w:val="2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因超载引发垮塌桥梁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0座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0座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因超载引发的重大交通事故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0起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0起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货车超限超载率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0.02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0.02%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货运车辆进站检测覆盖率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治超工作完成及时率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治超工作开展支出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10.29万元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7"/>
        <w:ind w:left="560"/>
        <w:rPr>
          <w:rFonts w:hint="eastAsia"/>
        </w:rPr>
      </w:pPr>
      <w:bookmarkStart w:id="7" w:name="_Toc61505644"/>
      <w:r>
        <w:rPr>
          <w:rFonts w:hint="eastAsia"/>
        </w:rPr>
        <w:t>（三）项目效益情况</w:t>
      </w:r>
      <w:bookmarkEnd w:id="7"/>
    </w:p>
    <w:p>
      <w:pPr>
        <w:pStyle w:val="45"/>
        <w:ind w:firstLine="560"/>
      </w:pPr>
    </w:p>
    <w:tbl>
      <w:tblPr>
        <w:tblStyle w:val="2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交通运输市场价格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合理调节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治超工作社会影响力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大幅提升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公路、桥梁使用寿命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明显延长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7"/>
        <w:ind w:left="560"/>
        <w:rPr>
          <w:rFonts w:hint="eastAsia"/>
        </w:rPr>
      </w:pPr>
      <w:bookmarkStart w:id="8" w:name="_Toc61505645"/>
      <w:r>
        <w:rPr>
          <w:rFonts w:hint="eastAsia"/>
        </w:rPr>
        <w:t>（四）项目满意度情况</w:t>
      </w:r>
      <w:bookmarkEnd w:id="8"/>
    </w:p>
    <w:p>
      <w:pPr>
        <w:pStyle w:val="45"/>
        <w:ind w:firstLine="560"/>
      </w:pPr>
    </w:p>
    <w:tbl>
      <w:tblPr>
        <w:tblStyle w:val="2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群众满意度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</w:p>
    <w:p>
      <w:pPr>
        <w:pStyle w:val="53"/>
        <w:rPr>
          <w:rFonts w:ascii="仿宋" w:hAnsi="仿宋" w:eastAsia="仿宋" w:cs="仿宋"/>
          <w:b/>
          <w:bCs w:val="0"/>
          <w:lang w:val="en-US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/>
        </w:rPr>
        <w:t>项目绩效分析</w:t>
      </w:r>
      <w:bookmarkEnd w:id="9"/>
      <w:bookmarkEnd w:id="10"/>
      <w:bookmarkEnd w:id="11"/>
    </w:p>
    <w:p>
      <w:pPr>
        <w:pStyle w:val="45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/>
        </w:rPr>
        <w:t>项目实施和预算执行情况及分析</w:t>
      </w:r>
    </w:p>
    <w:p>
      <w:pPr>
        <w:pStyle w:val="45"/>
        <w:ind w:left="1134" w:leftChars="405" w:firstLine="0" w:firstLineChars="0"/>
        <w:rPr>
          <w:rFonts w:ascii="仿宋_GB2312"/>
          <w:bCs/>
          <w:lang w:val="en-US"/>
        </w:rPr>
      </w:pPr>
      <w:r>
        <w:rPr>
          <w:rFonts w:hint="eastAsia"/>
        </w:rPr>
        <w:t>治超事务经费保障单位治超各项工作正常运作，全年预算财政拨款10.29万元，实际到位10.29万元，执行资金10.29万元，资金到位执行率均100%。</w:t>
      </w:r>
    </w:p>
    <w:p>
      <w:pPr>
        <w:pStyle w:val="45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5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/>
        </w:rPr>
        <w:t>产出情况及分析</w:t>
      </w:r>
    </w:p>
    <w:p>
      <w:pPr>
        <w:pStyle w:val="45"/>
        <w:ind w:left="1134" w:leftChars="405" w:firstLine="0" w:firstLineChars="0"/>
        <w:rPr>
          <w:rFonts w:ascii="仿宋_GB2312"/>
          <w:bCs/>
          <w:lang w:val="en-US"/>
        </w:rPr>
      </w:pPr>
      <w:r>
        <w:rPr>
          <w:rFonts w:hint="eastAsia"/>
        </w:rPr>
        <w:t>按照年初工作计划，圆满完成了全年各项治超目标任务，全市超限超载率0.02%，远远低于全省的0.2%，全年没有一起因超限超载引发的桥梁垮塌事故，没有出现一起因超限超载而引发的重特大交通事故。</w:t>
      </w:r>
    </w:p>
    <w:p>
      <w:pPr>
        <w:pStyle w:val="45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5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/>
        </w:rPr>
        <w:t>效益情况及分析</w:t>
      </w:r>
    </w:p>
    <w:p>
      <w:pPr>
        <w:pStyle w:val="45"/>
        <w:ind w:left="1134" w:leftChars="405" w:firstLine="0" w:firstLineChars="0"/>
        <w:rPr>
          <w:rFonts w:ascii="仿宋_GB2312"/>
          <w:bCs/>
          <w:lang w:val="en-US"/>
        </w:rPr>
      </w:pPr>
      <w:r>
        <w:rPr>
          <w:rFonts w:hint="eastAsia"/>
        </w:rPr>
        <w:t>通过治超，我市的交通货运市场健康有序发展，货运价格合理调节，道路交通安全畅通，公路桥梁的使用寿命也明显延长，治超社会影响力大幅提升。</w:t>
      </w:r>
    </w:p>
    <w:p>
      <w:pPr>
        <w:pStyle w:val="45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5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/>
        </w:rPr>
        <w:t>满意度情况及分析</w:t>
      </w:r>
    </w:p>
    <w:p>
      <w:pPr>
        <w:pStyle w:val="45"/>
        <w:ind w:firstLine="1120" w:firstLineChars="400"/>
        <w:rPr>
          <w:rFonts w:ascii="仿宋_GB2312"/>
          <w:bCs/>
          <w:lang w:val="en-US"/>
        </w:rPr>
      </w:pPr>
      <w:r>
        <w:rPr>
          <w:rFonts w:hint="eastAsia"/>
        </w:rPr>
        <w:t>我市近年来治超工作取得显著成效，群众对治超工作的支持和满意度也大幅提升。</w:t>
      </w:r>
    </w:p>
    <w:p>
      <w:pPr>
        <w:pStyle w:val="53"/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/>
        </w:rPr>
        <w:t>四、项目主要经验做法</w:t>
      </w:r>
      <w:bookmarkEnd w:id="12"/>
      <w:r>
        <w:rPr>
          <w:rFonts w:hint="eastAsia"/>
        </w:rPr>
        <w:t xml:space="preserve"> </w:t>
      </w:r>
    </w:p>
    <w:p>
      <w:pPr>
        <w:pStyle w:val="45"/>
        <w:ind w:firstLine="840" w:firstLineChars="300"/>
      </w:pPr>
      <w:r>
        <w:rPr>
          <w:rFonts w:hint="eastAsia"/>
        </w:rPr>
        <w:t>本项目严格按照年初工作计划开展，由专人负债开展全过程绩效管理工作，合理设定绩效目标，加强执行进度监管，圆满完成了各项工作任务。</w:t>
      </w:r>
    </w:p>
    <w:p>
      <w:pPr>
        <w:pStyle w:val="53"/>
        <w:rPr>
          <w:rFonts w:ascii="仿宋" w:hAnsi="仿宋" w:eastAsia="仿宋" w:cs="仿宋"/>
          <w:b/>
          <w:bCs w:val="0"/>
          <w:lang w:val="en-US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/>
        </w:rPr>
        <w:t>五、项目管理中存在问题及原因分析</w:t>
      </w:r>
      <w:bookmarkEnd w:id="13"/>
    </w:p>
    <w:p>
      <w:pPr>
        <w:pStyle w:val="45"/>
        <w:ind w:firstLine="700" w:firstLineChars="250"/>
      </w:pPr>
      <w:r>
        <w:rPr>
          <w:rFonts w:hint="eastAsia"/>
        </w:rPr>
        <w:t>项目实施过程中支出和工作计划结合的还不够紧密。</w:t>
      </w:r>
    </w:p>
    <w:p>
      <w:pPr>
        <w:pStyle w:val="53"/>
        <w:rPr>
          <w:rFonts w:ascii="仿宋" w:hAnsi="仿宋" w:eastAsia="仿宋" w:cs="仿宋"/>
          <w:b/>
          <w:bCs w:val="0"/>
          <w:lang w:val="en-US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/>
        </w:rPr>
        <w:t>六、进一步加强项目管理措施及建议</w:t>
      </w:r>
      <w:bookmarkEnd w:id="14"/>
    </w:p>
    <w:p>
      <w:pPr>
        <w:pStyle w:val="45"/>
        <w:ind w:firstLine="618" w:firstLineChars="221"/>
      </w:pPr>
      <w:r>
        <w:rPr>
          <w:rFonts w:hint="eastAsia"/>
        </w:rPr>
        <w:t>合理安排项目支出进度，提高单位预算执行的及时性和均衡性。</w:t>
      </w:r>
    </w:p>
    <w:p>
      <w:pPr>
        <w:pStyle w:val="45"/>
        <w:ind w:firstLine="560"/>
        <w:sectPr>
          <w:footerReference r:id="rId9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3"/>
        <w:rPr>
          <w:rFonts w:ascii="仿宋" w:hAnsi="仿宋" w:eastAsia="仿宋" w:cs="仿宋"/>
          <w:b/>
          <w:bCs w:val="0"/>
          <w:lang w:val="en-US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/>
        </w:rPr>
        <w:t>附件1.项目支出绩效自评表</w:t>
      </w:r>
      <w:bookmarkEnd w:id="15"/>
    </w:p>
    <w:p>
      <w:pPr>
        <w:ind w:firstLine="560"/>
      </w:pPr>
    </w:p>
    <w:tbl>
      <w:tblPr>
        <w:tblStyle w:val="25"/>
        <w:tblW w:w="14080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843"/>
        <w:gridCol w:w="1818"/>
        <w:gridCol w:w="839"/>
        <w:gridCol w:w="1188"/>
        <w:gridCol w:w="1486"/>
        <w:gridCol w:w="1328"/>
        <w:gridCol w:w="1275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因超载引发垮塌桥梁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0座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0座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因超载引发的重大交通事故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0起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0起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货运车辆进站检测覆盖率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105.26%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货车超限超载率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0.02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0.02%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治超工作完成及时率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105.26%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治超工作开展支出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10.29万元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20.58%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项目实施过程中，结合工作实际，节约开支。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交通运输市场价格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合理调节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治超工作社会影响力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大幅提升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8.55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公路、桥梁使用寿命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明显延长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群众满意度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5"/>
        <w:ind w:firstLine="560"/>
        <w:sectPr>
          <w:footerReference r:id="rId10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bookmarkStart w:id="17" w:name="_GoBack"/>
      <w:bookmarkEnd w:id="17"/>
    </w:p>
    <w:p>
      <w:pPr>
        <w:pStyle w:val="53"/>
        <w:rPr>
          <w:rFonts w:ascii="仿宋" w:hAnsi="仿宋" w:eastAsia="仿宋" w:cs="仿宋"/>
          <w:b/>
          <w:bCs w:val="0"/>
          <w:lang w:val="en-US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/>
        </w:rPr>
        <w:t>附件2.绩效自评相关资料</w:t>
      </w:r>
      <w:bookmarkEnd w:id="16"/>
    </w:p>
    <w:tbl>
      <w:tblPr>
        <w:tblStyle w:val="25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  <w:jc w:val="center"/>
    </w:pPr>
  </w:p>
  <w:p>
    <w:pPr>
      <w:pStyle w:val="17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</w:sdtPr>
    <w:sdtContent>
      <w:p>
        <w:pPr>
          <w:pStyle w:val="1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7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  <w:jc w:val="center"/>
    </w:pPr>
  </w:p>
  <w:p>
    <w:pPr>
      <w:pStyle w:val="17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71446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137D8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83C27"/>
    <w:rsid w:val="00593D5E"/>
    <w:rsid w:val="005A3D0F"/>
    <w:rsid w:val="005B1DE6"/>
    <w:rsid w:val="005B7922"/>
    <w:rsid w:val="005E4265"/>
    <w:rsid w:val="00600F15"/>
    <w:rsid w:val="00614D76"/>
    <w:rsid w:val="006314F7"/>
    <w:rsid w:val="00644F99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200A6"/>
    <w:rsid w:val="00722B25"/>
    <w:rsid w:val="00734FBB"/>
    <w:rsid w:val="00786B69"/>
    <w:rsid w:val="00795EE4"/>
    <w:rsid w:val="007B18A7"/>
    <w:rsid w:val="007B29FC"/>
    <w:rsid w:val="007F5D03"/>
    <w:rsid w:val="00816CEB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3556B"/>
    <w:rsid w:val="009520B5"/>
    <w:rsid w:val="0095796F"/>
    <w:rsid w:val="00973861"/>
    <w:rsid w:val="009856DA"/>
    <w:rsid w:val="00996005"/>
    <w:rsid w:val="009B6B5F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34CF8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40F43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1524E49"/>
    <w:rsid w:val="09920B03"/>
    <w:rsid w:val="17D646C5"/>
    <w:rsid w:val="38C02B37"/>
    <w:rsid w:val="463E1DBD"/>
    <w:rsid w:val="48344A9E"/>
    <w:rsid w:val="64F07B59"/>
    <w:rsid w:val="72353EE7"/>
    <w:rsid w:val="7B3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2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/>
    </w:rPr>
  </w:style>
  <w:style w:type="paragraph" w:styleId="5">
    <w:name w:val="heading 2"/>
    <w:basedOn w:val="1"/>
    <w:next w:val="6"/>
    <w:link w:val="33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/>
    </w:rPr>
  </w:style>
  <w:style w:type="paragraph" w:styleId="7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/>
    </w:rPr>
  </w:style>
  <w:style w:type="paragraph" w:styleId="8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7"/>
    <w:unhideWhenUsed/>
    <w:qFormat/>
    <w:uiPriority w:val="0"/>
    <w:pPr>
      <w:ind w:firstLine="420"/>
    </w:pPr>
  </w:style>
  <w:style w:type="paragraph" w:styleId="4">
    <w:name w:val="Body Text Indent"/>
    <w:basedOn w:val="1"/>
    <w:link w:val="36"/>
    <w:semiHidden/>
    <w:unhideWhenUsed/>
    <w:qFormat/>
    <w:uiPriority w:val="99"/>
    <w:pPr>
      <w:spacing w:after="120"/>
      <w:ind w:left="420" w:leftChars="200"/>
    </w:pPr>
    <w:rPr>
      <w:rFonts w:cs="Times New Roman"/>
      <w:kern w:val="0"/>
      <w:szCs w:val="20"/>
      <w:lang w:val="zh-CN"/>
    </w:rPr>
  </w:style>
  <w:style w:type="paragraph" w:styleId="6">
    <w:name w:val="No Spacing"/>
    <w:link w:val="44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qFormat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3"/>
    <w:semiHidden/>
    <w:unhideWhenUsed/>
    <w:qFormat/>
    <w:uiPriority w:val="99"/>
    <w:rPr>
      <w:rFonts w:ascii="宋体" w:eastAsia="宋体" w:cs="Times New Roman"/>
      <w:kern w:val="0"/>
      <w:sz w:val="18"/>
      <w:szCs w:val="18"/>
      <w:lang w:val="zh-CN"/>
    </w:rPr>
  </w:style>
  <w:style w:type="paragraph" w:styleId="11">
    <w:name w:val="annotation text"/>
    <w:basedOn w:val="1"/>
    <w:link w:val="41"/>
    <w:semiHidden/>
    <w:unhideWhenUsed/>
    <w:qFormat/>
    <w:uiPriority w:val="99"/>
    <w:rPr>
      <w:rFonts w:cs="Times New Roman"/>
      <w:kern w:val="0"/>
      <w:sz w:val="20"/>
      <w:szCs w:val="20"/>
      <w:lang w:val="zh-CN"/>
    </w:rPr>
  </w:style>
  <w:style w:type="paragraph" w:styleId="12">
    <w:name w:val="toc 5"/>
    <w:basedOn w:val="1"/>
    <w:next w:val="1"/>
    <w:unhideWhenUsed/>
    <w:qFormat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qFormat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qFormat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Date"/>
    <w:basedOn w:val="1"/>
    <w:next w:val="1"/>
    <w:link w:val="55"/>
    <w:semiHidden/>
    <w:unhideWhenUsed/>
    <w:qFormat/>
    <w:uiPriority w:val="99"/>
    <w:pPr>
      <w:ind w:left="100" w:leftChars="2500"/>
    </w:pPr>
  </w:style>
  <w:style w:type="paragraph" w:styleId="16">
    <w:name w:val="Balloon Text"/>
    <w:basedOn w:val="1"/>
    <w:link w:val="39"/>
    <w:semiHidden/>
    <w:unhideWhenUsed/>
    <w:qFormat/>
    <w:uiPriority w:val="99"/>
    <w:rPr>
      <w:rFonts w:cs="Times New Roman"/>
      <w:kern w:val="0"/>
      <w:sz w:val="18"/>
      <w:szCs w:val="18"/>
      <w:lang w:val="zh-CN"/>
    </w:rPr>
  </w:style>
  <w:style w:type="paragraph" w:styleId="17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20">
    <w:name w:val="toc 4"/>
    <w:basedOn w:val="1"/>
    <w:next w:val="1"/>
    <w:unhideWhenUsed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styleId="21">
    <w:name w:val="toc 6"/>
    <w:basedOn w:val="1"/>
    <w:next w:val="1"/>
    <w:unhideWhenUsed/>
    <w:qFormat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2">
    <w:name w:val="toc 2"/>
    <w:basedOn w:val="1"/>
    <w:next w:val="1"/>
    <w:unhideWhenUsed/>
    <w:qFormat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3">
    <w:name w:val="toc 9"/>
    <w:basedOn w:val="1"/>
    <w:next w:val="1"/>
    <w:unhideWhenUsed/>
    <w:qFormat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4">
    <w:name w:val="annotation subject"/>
    <w:basedOn w:val="11"/>
    <w:next w:val="11"/>
    <w:link w:val="42"/>
    <w:semiHidden/>
    <w:unhideWhenUsed/>
    <w:uiPriority w:val="99"/>
    <w:rPr>
      <w:b/>
      <w:bCs/>
    </w:rPr>
  </w:style>
  <w:style w:type="table" w:styleId="26">
    <w:name w:val="Table Grid"/>
    <w:basedOn w:val="25"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Hyperlink"/>
    <w:unhideWhenUsed/>
    <w:qFormat/>
    <w:uiPriority w:val="99"/>
    <w:rPr>
      <w:color w:val="0000FF"/>
      <w:u w:val="single"/>
    </w:rPr>
  </w:style>
  <w:style w:type="character" w:styleId="29">
    <w:name w:val="annotation reference"/>
    <w:semiHidden/>
    <w:unhideWhenUsed/>
    <w:qFormat/>
    <w:uiPriority w:val="99"/>
    <w:rPr>
      <w:sz w:val="16"/>
      <w:szCs w:val="16"/>
    </w:rPr>
  </w:style>
  <w:style w:type="character" w:customStyle="1" w:styleId="30">
    <w:name w:val="页眉 Char"/>
    <w:basedOn w:val="27"/>
    <w:link w:val="18"/>
    <w:qFormat/>
    <w:uiPriority w:val="99"/>
    <w:rPr>
      <w:sz w:val="18"/>
      <w:szCs w:val="18"/>
    </w:rPr>
  </w:style>
  <w:style w:type="character" w:customStyle="1" w:styleId="31">
    <w:name w:val="页脚 Char"/>
    <w:basedOn w:val="27"/>
    <w:link w:val="17"/>
    <w:qFormat/>
    <w:uiPriority w:val="99"/>
    <w:rPr>
      <w:sz w:val="18"/>
      <w:szCs w:val="18"/>
    </w:rPr>
  </w:style>
  <w:style w:type="character" w:customStyle="1" w:styleId="32">
    <w:name w:val="标题 1 Char"/>
    <w:basedOn w:val="27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3">
    <w:name w:val="标题 2 Char"/>
    <w:basedOn w:val="27"/>
    <w:link w:val="5"/>
    <w:qFormat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4">
    <w:name w:val="标题 3 Char"/>
    <w:basedOn w:val="27"/>
    <w:link w:val="7"/>
    <w:qFormat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5">
    <w:name w:val="标题 4 Char"/>
    <w:basedOn w:val="27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6">
    <w:name w:val="正文文本缩进 Char"/>
    <w:basedOn w:val="27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正文首行缩进 2 Char"/>
    <w:basedOn w:val="36"/>
    <w:link w:val="3"/>
    <w:qFormat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8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9">
    <w:name w:val="批注框文本 Char"/>
    <w:basedOn w:val="27"/>
    <w:link w:val="16"/>
    <w:semiHidden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40">
    <w:name w:val="List Paragraph"/>
    <w:basedOn w:val="1"/>
    <w:qFormat/>
    <w:uiPriority w:val="34"/>
    <w:pPr>
      <w:ind w:firstLine="420"/>
    </w:pPr>
  </w:style>
  <w:style w:type="character" w:customStyle="1" w:styleId="41">
    <w:name w:val="批注文字 Char"/>
    <w:basedOn w:val="27"/>
    <w:link w:val="11"/>
    <w:semiHidden/>
    <w:qFormat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2">
    <w:name w:val="批注主题 Char"/>
    <w:basedOn w:val="41"/>
    <w:link w:val="24"/>
    <w:semiHidden/>
    <w:qFormat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3">
    <w:name w:val="文档结构图 Char"/>
    <w:basedOn w:val="27"/>
    <w:link w:val="10"/>
    <w:semiHidden/>
    <w:qFormat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4">
    <w:name w:val="无间隔 Char"/>
    <w:link w:val="6"/>
    <w:qFormat/>
    <w:uiPriority w:val="1"/>
    <w:rPr>
      <w:rFonts w:ascii="Calibri" w:hAnsi="Calibri" w:eastAsia="仿宋_GB2312" w:cs="黑体"/>
      <w:sz w:val="28"/>
    </w:rPr>
  </w:style>
  <w:style w:type="paragraph" w:customStyle="1" w:styleId="45">
    <w:name w:val="闻政-正文段落文字"/>
    <w:basedOn w:val="1"/>
    <w:link w:val="46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/>
    </w:rPr>
  </w:style>
  <w:style w:type="character" w:customStyle="1" w:styleId="46">
    <w:name w:val="闻政-正文段落文字 Char"/>
    <w:link w:val="45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7">
    <w:name w:val="闻政-正文二级标题"/>
    <w:basedOn w:val="5"/>
    <w:next w:val="45"/>
    <w:link w:val="48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8">
    <w:name w:val="闻政-正文二级标题 Char"/>
    <w:link w:val="47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9">
    <w:name w:val="闻政-正文三级标题"/>
    <w:basedOn w:val="1"/>
    <w:next w:val="45"/>
    <w:link w:val="50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/>
    </w:rPr>
  </w:style>
  <w:style w:type="character" w:customStyle="1" w:styleId="50">
    <w:name w:val="闻政-正文三级标题 Char"/>
    <w:link w:val="49"/>
    <w:qFormat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1">
    <w:name w:val="闻政-正文四级标题"/>
    <w:basedOn w:val="49"/>
    <w:next w:val="45"/>
    <w:link w:val="52"/>
    <w:qFormat/>
    <w:uiPriority w:val="3"/>
    <w:rPr>
      <w:b w:val="0"/>
    </w:rPr>
  </w:style>
  <w:style w:type="character" w:customStyle="1" w:styleId="52">
    <w:name w:val="闻政-正文四级标题 Char"/>
    <w:link w:val="51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3">
    <w:name w:val="闻政-正文一级标题"/>
    <w:basedOn w:val="7"/>
    <w:next w:val="45"/>
    <w:link w:val="54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4">
    <w:name w:val="闻政-正文一级标题 Char"/>
    <w:link w:val="53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  <w:style w:type="character" w:customStyle="1" w:styleId="55">
    <w:name w:val="日期 Char"/>
    <w:basedOn w:val="27"/>
    <w:link w:val="15"/>
    <w:semiHidden/>
    <w:uiPriority w:val="99"/>
    <w:rPr>
      <w:rFonts w:ascii="Calibri" w:hAnsi="Calibri" w:eastAsia="仿宋_GB2312" w:cs="黑体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C3AB70-403B-40A1-AC3D-BC2FAAD794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504</Words>
  <Characters>2879</Characters>
  <Lines>23</Lines>
  <Paragraphs>6</Paragraphs>
  <TotalTime>2941</TotalTime>
  <ScaleCrop>false</ScaleCrop>
  <LinksUpToDate>false</LinksUpToDate>
  <CharactersWithSpaces>3377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李 鹏</cp:lastModifiedBy>
  <cp:lastPrinted>2022-09-26T02:35:46Z</cp:lastPrinted>
  <dcterms:modified xsi:type="dcterms:W3CDTF">2022-09-26T02:36:38Z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AE696B30FAA54004B0ED48A5B6455800</vt:lpwstr>
  </property>
</Properties>
</file>