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333333"/>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333333"/>
          <w:kern w:val="0"/>
          <w:sz w:val="44"/>
          <w:szCs w:val="44"/>
          <w:lang w:val="en-US" w:eastAsia="zh-CN" w:bidi="ar"/>
        </w:rPr>
      </w:pPr>
      <w:r>
        <w:rPr>
          <w:rFonts w:hint="eastAsia" w:ascii="方正小标宋简体" w:hAnsi="方正小标宋简体" w:eastAsia="方正小标宋简体" w:cs="方正小标宋简体"/>
          <w:b w:val="0"/>
          <w:bCs/>
          <w:color w:val="333333"/>
          <w:kern w:val="0"/>
          <w:sz w:val="44"/>
          <w:szCs w:val="44"/>
          <w:lang w:val="en-US" w:eastAsia="zh-CN" w:bidi="ar"/>
        </w:rPr>
        <w:t>五寨县人民政府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方正小标宋简体" w:hAnsi="方正小标宋简体" w:eastAsia="方正小标宋简体" w:cs="方正小标宋简体"/>
          <w:b w:val="0"/>
          <w:bCs/>
          <w:color w:val="333333"/>
          <w:kern w:val="0"/>
          <w:sz w:val="44"/>
          <w:szCs w:val="44"/>
          <w:lang w:val="en-US" w:eastAsia="zh-CN" w:bidi="ar"/>
        </w:rPr>
        <w:t>2020年度政府信息公开工作年度报告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　　</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640"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本报告由五寨县人民政府根据《中华人民共和国政府信息公开条例》（以下简称《条例》）编制，报告全文包括总体情况、主动公开政府信息情况、依申请公开政府信息情况、政府信息公开行政复议、行政诉讼情况，政府信息公开工作存在的主要问题及改进情况，以及其他需要报告的事项6个部分，统计时间为2020年1月1日至2020年12月31日。报告可在五寨县人民政府门户网站进行下载（http://www.xzwz.gov.cn/）。</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2020年，五寨县以习近平新时代中国特色社会主义思想为指导，全面贯彻党的十九大和十九届二中、三中、四中、五中全会精神，坚持以人民为中心的发展思想，深入贯彻落实《中华人民共和国政府信息公开条例》、《忻州市人民政府办公室关于全面推进基层政务公开标准化规范化进一步做好政务公开工作方案的通知》（忻政办发〔2020〕79号）精神,全面推进基层政务公开标准化规范化，着眼深化“放管服”改革优化营商环境，以公开促落实、促规范、促服务，为全面建成小康社会提供有力支撑。围绕中心、服务大局，不断深化工作思路，创新工作举措，提升工作水平，全力推进我县政务公开制度化、规范化、常态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color w:val="333333"/>
          <w:kern w:val="0"/>
          <w:sz w:val="32"/>
          <w:szCs w:val="32"/>
          <w:lang w:val="en-US" w:eastAsia="zh-CN" w:bidi="ar"/>
        </w:rPr>
      </w:pPr>
      <w:r>
        <w:rPr>
          <w:rFonts w:hint="eastAsia" w:ascii="楷体" w:hAnsi="楷体" w:eastAsia="楷体" w:cs="楷体"/>
          <w:b/>
          <w:bCs/>
          <w:color w:val="333333"/>
          <w:kern w:val="0"/>
          <w:sz w:val="32"/>
          <w:szCs w:val="32"/>
          <w:lang w:val="en-US" w:eastAsia="zh-CN" w:bidi="ar"/>
        </w:rPr>
        <w:t>（一）全面加强组织领导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县政府主要负责同志高度重视政务公开工作，多次对政务公开有关工作作出批示，亲力亲为推动政务公开工作，政府常务会集中学习研究政务公开工作2次，专题听取汇报3次，明确目标任务、研究部署相关工作。省、市政务公开标准化规范化《实施意见》和《工作方案》下发后，我县结合本地工作实际及时出台本地《实施方案》，调整政务公开工作领导小组，将县融媒体中心、金融服务中心等单位纳入成员单位。同时，为进一步加强工作统筹，将领导组办公室从政务大厅重新设置到政府办公室，县行政审批服务管理局（县政务信息管理局）局长兼任政府办公室副主任，指导、协调、监督全县政务公开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color w:val="333333"/>
          <w:kern w:val="0"/>
          <w:sz w:val="32"/>
          <w:szCs w:val="32"/>
          <w:lang w:val="en-US" w:eastAsia="zh-CN" w:bidi="ar"/>
        </w:rPr>
      </w:pPr>
      <w:r>
        <w:rPr>
          <w:rFonts w:hint="eastAsia" w:ascii="楷体" w:hAnsi="楷体" w:eastAsia="楷体" w:cs="楷体"/>
          <w:b/>
          <w:bCs/>
          <w:color w:val="333333"/>
          <w:kern w:val="0"/>
          <w:sz w:val="32"/>
          <w:szCs w:val="32"/>
          <w:lang w:val="en-US" w:eastAsia="zh-CN" w:bidi="ar"/>
        </w:rPr>
        <w:t>（二）全面拔高工作标准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2020年，领导组办公室先后举办全县政务公开、政务新媒体、网络问政专题会议暨综合业务集中培训3批次，及时传达学习《实施意见》《工作方案》，以及关于进一步加强政务公开和政务新媒体运维管理工作的相关文件精神，通报全县工作进展情况并开展业务大练兵，共培训单位分管领导、业务骨干200余人次，极大提升了全县政务公开整体工作水平。乡镇和窗口单位各设立1个示范点，以点带面促进全县基层政务公开走向标准化、规范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color w:val="333333"/>
          <w:kern w:val="0"/>
          <w:sz w:val="32"/>
          <w:szCs w:val="32"/>
          <w:lang w:val="en-US" w:eastAsia="zh-CN" w:bidi="ar"/>
        </w:rPr>
      </w:pPr>
      <w:r>
        <w:rPr>
          <w:rFonts w:hint="eastAsia" w:ascii="楷体" w:hAnsi="楷体" w:eastAsia="楷体" w:cs="楷体"/>
          <w:b/>
          <w:bCs/>
          <w:color w:val="333333"/>
          <w:kern w:val="0"/>
          <w:sz w:val="32"/>
          <w:szCs w:val="32"/>
          <w:lang w:val="en-US" w:eastAsia="zh-CN" w:bidi="ar"/>
        </w:rPr>
        <w:t>（三）落细落实工作任务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一是规范制定公示目录清单。</w:t>
      </w:r>
      <w:r>
        <w:rPr>
          <w:rFonts w:hint="eastAsia" w:ascii="仿宋" w:hAnsi="仿宋" w:eastAsia="仿宋" w:cs="仿宋"/>
          <w:color w:val="333333"/>
          <w:kern w:val="0"/>
          <w:sz w:val="32"/>
          <w:szCs w:val="32"/>
          <w:lang w:val="en-US" w:eastAsia="zh-CN" w:bidi="ar"/>
        </w:rPr>
        <w:t>全县12个乡镇，特别是18个政府职能局，对照国务院部门指定的26个试点领域，全面梳理细化本部门、本级政务公开事项，编制完成基层政务公开标准化规范化目录；25个部门紧密结合“三定方案”，紧紧围绕政府职能转变、集中审批和综合执法，梳理许可、给付、裁决、处罚等9大类4380项权责事项。所有目录清单均完成审核并挂网公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二是严格执行文件属性管理。</w:t>
      </w:r>
      <w:r>
        <w:rPr>
          <w:rFonts w:hint="eastAsia" w:ascii="仿宋" w:hAnsi="仿宋" w:eastAsia="仿宋" w:cs="仿宋"/>
          <w:color w:val="333333"/>
          <w:kern w:val="0"/>
          <w:sz w:val="32"/>
          <w:szCs w:val="32"/>
          <w:lang w:val="en-US" w:eastAsia="zh-CN" w:bidi="ar"/>
        </w:rPr>
        <w:t>依据《中华人民共和国保守国家秘密法》《条例》《决定》有关规定，建立《拟发文件属性管理登记台帐》，按照“谁制作、谁提出，谁审查、谁办理，谁公开、谁负责”的原则，对各乡镇人民政府、政府职能部门（单位）在履行行政管理职能过程中形成的具有法定效力和规范体式的文书，同步实行文件公开属性以及规范性和公平竞争审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三是科学设置网站法定栏目。</w:t>
      </w:r>
      <w:r>
        <w:rPr>
          <w:rFonts w:hint="eastAsia" w:ascii="仿宋" w:hAnsi="仿宋" w:eastAsia="仿宋" w:cs="仿宋"/>
          <w:color w:val="333333"/>
          <w:kern w:val="0"/>
          <w:sz w:val="32"/>
          <w:szCs w:val="32"/>
          <w:lang w:val="en-US" w:eastAsia="zh-CN" w:bidi="ar"/>
        </w:rPr>
        <w:t>进一步规范门户网站的信息公开版块，除设置政府信息公开指南、政府信息公开制度、法定主动公开内容、主动公开基本目录和政府信息公开工 作年度报告等栏目外，根据工作实际定期动态调整，增设“政务公开标准化规范化”、“权责清单”、“优化营商环境”和“公共服务”等栏目。各栏目在门户网站上做到了位置醒目、分类合理、链接有效、跳转迅速、搜索快捷、查找方便。</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四是及时受理依申公开事项。</w:t>
      </w:r>
      <w:r>
        <w:rPr>
          <w:rFonts w:hint="eastAsia" w:ascii="仿宋" w:hAnsi="仿宋" w:eastAsia="仿宋" w:cs="仿宋"/>
          <w:color w:val="333333"/>
          <w:kern w:val="0"/>
          <w:sz w:val="32"/>
          <w:szCs w:val="32"/>
          <w:lang w:val="en-US" w:eastAsia="zh-CN" w:bidi="ar"/>
        </w:rPr>
        <w:t>严格执行《行政诉讼法》《行政复议法》《中华人民共和国政府</w:t>
      </w:r>
      <w:bookmarkStart w:id="0" w:name="_GoBack"/>
      <w:bookmarkEnd w:id="0"/>
      <w:r>
        <w:rPr>
          <w:rFonts w:hint="eastAsia" w:ascii="仿宋" w:hAnsi="仿宋" w:eastAsia="仿宋" w:cs="仿宋"/>
          <w:color w:val="333333"/>
          <w:kern w:val="0"/>
          <w:sz w:val="32"/>
          <w:szCs w:val="32"/>
          <w:lang w:val="en-US" w:eastAsia="zh-CN" w:bidi="ar"/>
        </w:rPr>
        <w:t>信息公开条例》等法律法规有关规定，按照登记、报批、送达等流程顺序，规范受理依申请公开事项，最大限度为申请人提供相关政府信息。全年通过线上（政府网站）受理办结申请公开事项1项，具体涉及文旅产业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五是强化发文主体解读责任。</w:t>
      </w:r>
      <w:r>
        <w:rPr>
          <w:rFonts w:hint="eastAsia" w:ascii="仿宋" w:hAnsi="仿宋" w:eastAsia="仿宋" w:cs="仿宋"/>
          <w:color w:val="333333"/>
          <w:kern w:val="0"/>
          <w:sz w:val="32"/>
          <w:szCs w:val="32"/>
          <w:lang w:val="en-US" w:eastAsia="zh-CN" w:bidi="ar"/>
        </w:rPr>
        <w:t>按照“谁起草、谁解读”的原则，要求文件起草部门要做好政策性文件解读工作，做到解读材料与文件同步起草、同步发布。全县在门户网站公开发布本地政策性文件10件，同步发布解读9条，解读量达到90％。同时，为进一步增强解读的可视性，保证文件释义的权威性和政策引导的精准度，网站还及时附链转载中央、省、市相关部门的权威解读和图文解读，全面提高政策的解读质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六是不断加强网站运行维护。</w:t>
      </w:r>
      <w:r>
        <w:rPr>
          <w:rFonts w:hint="eastAsia" w:ascii="仿宋" w:hAnsi="仿宋" w:eastAsia="仿宋" w:cs="仿宋"/>
          <w:color w:val="333333"/>
          <w:kern w:val="0"/>
          <w:sz w:val="32"/>
          <w:szCs w:val="32"/>
          <w:lang w:val="en-US" w:eastAsia="zh-CN" w:bidi="ar"/>
        </w:rPr>
        <w:t>全面配合做好县级政府网站集约化平台建设，完成基本信息表变更审核、页面标签规范化设置、索引号规范使用、各类标志标识悬挂、域名规范使用和IPv6改造。针对运维过程中自查和上级反馈的网站安全风险，第一时间协调市级平台技术人员，及时更新javascript框架库漏洞版本，删除url中的Session token值以及所有无效链接，确保了门户网站的安全稳定运行。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七是全面完成新媒体清理整顿。</w:t>
      </w:r>
      <w:r>
        <w:rPr>
          <w:rFonts w:hint="eastAsia" w:ascii="仿宋" w:hAnsi="仿宋" w:eastAsia="仿宋" w:cs="仿宋"/>
          <w:color w:val="333333"/>
          <w:kern w:val="0"/>
          <w:sz w:val="32"/>
          <w:szCs w:val="32"/>
          <w:lang w:val="en-US" w:eastAsia="zh-CN" w:bidi="ar"/>
        </w:rPr>
        <w:t>认真落实市政府办公室《关于开展全市政府系统政务新媒体专项整治工作的通知》要求，从4月底开始集中摸排冠名“五寨”的“两微一端”账号43个。通过开展专项清理行动，及时剔除不在监管范围的登记数据，责令注销个人注册账户、僵尸账户和更新订阅量不达要求的账户。2020年底，结合省市有关要求，进一步加大清理规范力度，对监管范围内的16个新媒体，按市办要求完成注销5个，正在履行注销程序的2个，保留6个，无法自主注销请求省市协助完成注销的3个，坚决破除“指尖上的形式主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八是切实提升网情回应质效。</w:t>
      </w:r>
      <w:r>
        <w:rPr>
          <w:rFonts w:hint="eastAsia" w:ascii="仿宋" w:hAnsi="仿宋" w:eastAsia="仿宋" w:cs="仿宋"/>
          <w:color w:val="333333"/>
          <w:kern w:val="0"/>
          <w:sz w:val="32"/>
          <w:szCs w:val="32"/>
          <w:lang w:val="en-US" w:eastAsia="zh-CN" w:bidi="ar"/>
        </w:rPr>
        <w:t>在网站县长信箱和“咨询投诉”板块的基础上，全面推进12345市长热线和“随手拍”网络问政平台建设，吸纳全县12个乡镇和28个县直及条管单位作为成员单位，把民生回应和舆情处置工作直连直通到基层一线。全年共处理处置网站县长信箱和咨询投诉104件，12345市长热线255条，“随手拍”问政信息55件，专项办理人民网地方领导留言板和《网情摘要》舆情30件，回应办结率达到100%。各类平台的综合运用在“网民问政”和“政府施政”之间形成了互动互促的良好态势，在放大正面声音、回应社会关切、服务人民群众等方面取得了良好的政治效益、社会效益和经济效益，限时办结、超时督办、定期通报等工作制度进一步提高了回应处置的时效性和透明度，切实提升了群众满意度。</w:t>
      </w:r>
    </w:p>
    <w:p>
      <w:pPr>
        <w:ind w:firstLine="640" w:firstLineChars="200"/>
        <w:rPr>
          <w:rFonts w:hint="eastAsia" w:asciiTheme="minorEastAsia" w:hAnsiTheme="minorEastAsia" w:eastAsiaTheme="minorEastAsia" w:cstheme="minorEastAsia"/>
          <w:b/>
          <w:bCs/>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二、主动公开政府信息情况</w:t>
      </w:r>
    </w:p>
    <w:tbl>
      <w:tblPr>
        <w:tblStyle w:val="5"/>
        <w:tblW w:w="8700" w:type="dxa"/>
        <w:jc w:val="center"/>
        <w:shd w:val="clear" w:color="auto" w:fill="auto"/>
        <w:tblLayout w:type="autofit"/>
        <w:tblCellMar>
          <w:top w:w="0" w:type="dxa"/>
          <w:left w:w="108" w:type="dxa"/>
          <w:bottom w:w="0" w:type="dxa"/>
          <w:right w:w="108" w:type="dxa"/>
        </w:tblCellMar>
      </w:tblPr>
      <w:tblGrid>
        <w:gridCol w:w="3326"/>
        <w:gridCol w:w="2003"/>
        <w:gridCol w:w="6"/>
        <w:gridCol w:w="1352"/>
        <w:gridCol w:w="2013"/>
      </w:tblGrid>
      <w:tr>
        <w:tblPrEx>
          <w:shd w:val="clear" w:color="auto" w:fill="auto"/>
          <w:tblCellMar>
            <w:top w:w="0" w:type="dxa"/>
            <w:left w:w="108" w:type="dxa"/>
            <w:bottom w:w="0" w:type="dxa"/>
            <w:right w:w="108" w:type="dxa"/>
          </w:tblCellMar>
        </w:tblPrEx>
        <w:trPr>
          <w:trHeight w:val="680" w:hRule="exact"/>
          <w:jc w:val="center"/>
        </w:trPr>
        <w:tc>
          <w:tcPr>
            <w:tcW w:w="870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20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本年新</w:t>
            </w:r>
            <w:r>
              <w:rPr>
                <w:rFonts w:hint="eastAsia" w:ascii="宋体" w:hAnsi="宋体" w:eastAsia="宋体" w:cs="宋体"/>
                <w:color w:val="000000"/>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制作数量</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本年新</w:t>
            </w:r>
            <w:r>
              <w:rPr>
                <w:rFonts w:hint="eastAsia" w:ascii="宋体" w:hAnsi="宋体" w:eastAsia="宋体" w:cs="宋体"/>
                <w:color w:val="000000"/>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公开数量</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对外公开总数量</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highlight w:val="none"/>
              </w:rPr>
            </w:pPr>
            <w:r>
              <w:rPr>
                <w:rFonts w:hint="eastAsia" w:ascii="宋体" w:hAnsi="宋体" w:eastAsia="宋体" w:cs="宋体"/>
                <w:color w:val="000000"/>
                <w:kern w:val="0"/>
                <w:sz w:val="20"/>
                <w:szCs w:val="20"/>
                <w:highlight w:val="none"/>
                <w:lang w:val="en-US" w:eastAsia="zh-CN" w:bidi="ar"/>
              </w:rPr>
              <w:t>规章</w:t>
            </w:r>
          </w:p>
        </w:tc>
        <w:tc>
          <w:tcPr>
            <w:tcW w:w="20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highlight w:val="none"/>
                <w:lang w:val="en-US"/>
              </w:rPr>
            </w:pPr>
            <w:r>
              <w:rPr>
                <w:rFonts w:hint="eastAsia" w:ascii="宋体" w:hAnsi="Calibri" w:eastAsia="宋体" w:cs="Times New Roman"/>
                <w:color w:val="000000"/>
                <w:kern w:val="0"/>
                <w:sz w:val="20"/>
                <w:szCs w:val="20"/>
                <w:highlight w:val="none"/>
                <w:lang w:val="en-US" w:eastAsia="zh-CN" w:bidi="ar"/>
              </w:rPr>
              <w:t>0</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highlight w:val="none"/>
              </w:rPr>
            </w:pPr>
            <w:r>
              <w:rPr>
                <w:rFonts w:hint="eastAsia" w:ascii="宋体" w:hAnsi="宋体" w:eastAsia="宋体" w:cs="宋体"/>
                <w:color w:val="000000"/>
                <w:kern w:val="0"/>
                <w:sz w:val="20"/>
                <w:szCs w:val="20"/>
                <w:highlight w:val="none"/>
                <w:lang w:val="en-US" w:eastAsia="zh-CN" w:bidi="ar"/>
              </w:rPr>
              <w:t>规范性文件</w:t>
            </w:r>
          </w:p>
        </w:tc>
        <w:tc>
          <w:tcPr>
            <w:tcW w:w="20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c>
          <w:tcPr>
            <w:tcW w:w="13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highlight w:val="none"/>
                <w:lang w:val="en-US"/>
              </w:rPr>
            </w:pPr>
            <w:r>
              <w:rPr>
                <w:rFonts w:hint="eastAsia" w:ascii="宋体" w:hAnsi="Calibri" w:eastAsia="宋体" w:cs="Times New Roman"/>
                <w:color w:val="000000"/>
                <w:kern w:val="0"/>
                <w:sz w:val="20"/>
                <w:szCs w:val="20"/>
                <w:highlight w:val="none"/>
                <w:lang w:val="en-US" w:eastAsia="zh-CN" w:bidi="ar"/>
              </w:rPr>
              <w:t>0</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r>
      <w:tr>
        <w:tblPrEx>
          <w:shd w:val="clear" w:color="auto" w:fill="auto"/>
          <w:tblCellMar>
            <w:top w:w="0" w:type="dxa"/>
            <w:left w:w="108" w:type="dxa"/>
            <w:bottom w:w="0" w:type="dxa"/>
            <w:right w:w="108" w:type="dxa"/>
          </w:tblCellMar>
        </w:tblPrEx>
        <w:trPr>
          <w:trHeight w:val="680" w:hRule="exact"/>
          <w:jc w:val="center"/>
        </w:trPr>
        <w:tc>
          <w:tcPr>
            <w:tcW w:w="870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第二十条第（五）项</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20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上一年项目数量</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本年增/减</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处理决定数量</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highlight w:val="none"/>
              </w:rPr>
            </w:pPr>
            <w:r>
              <w:rPr>
                <w:rFonts w:hint="eastAsia" w:ascii="宋体" w:hAnsi="宋体" w:eastAsia="宋体" w:cs="宋体"/>
                <w:color w:val="000000"/>
                <w:kern w:val="0"/>
                <w:sz w:val="20"/>
                <w:szCs w:val="20"/>
                <w:highlight w:val="none"/>
                <w:lang w:val="en-US" w:eastAsia="zh-CN" w:bidi="ar"/>
              </w:rPr>
              <w:t>行政许可</w:t>
            </w:r>
          </w:p>
        </w:tc>
        <w:tc>
          <w:tcPr>
            <w:tcW w:w="2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highlight w:val="none"/>
                <w:lang w:val="en-US"/>
              </w:rPr>
            </w:pPr>
            <w:r>
              <w:rPr>
                <w:rFonts w:hint="default"/>
                <w:highlight w:val="none"/>
                <w:lang w:val="en-US"/>
              </w:rPr>
              <w:t>1979</w:t>
            </w:r>
          </w:p>
        </w:tc>
        <w:tc>
          <w:tcPr>
            <w:tcW w:w="13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2546</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4525</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highlight w:val="none"/>
              </w:rPr>
            </w:pPr>
            <w:r>
              <w:rPr>
                <w:rFonts w:hint="eastAsia" w:ascii="宋体" w:hAnsi="宋体" w:eastAsia="宋体" w:cs="宋体"/>
                <w:color w:val="000000"/>
                <w:kern w:val="0"/>
                <w:sz w:val="20"/>
                <w:szCs w:val="20"/>
                <w:highlight w:val="none"/>
                <w:lang w:val="en-US" w:eastAsia="zh-CN" w:bidi="ar"/>
              </w:rPr>
              <w:t>其他对外管理服务事项</w:t>
            </w:r>
          </w:p>
        </w:tc>
        <w:tc>
          <w:tcPr>
            <w:tcW w:w="2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highlight w:val="none"/>
                <w:lang w:val="en-US" w:eastAsia="zh-CN"/>
              </w:rPr>
            </w:pPr>
            <w:r>
              <w:rPr>
                <w:rFonts w:hint="eastAsia"/>
                <w:highlight w:val="none"/>
                <w:lang w:val="en-US" w:eastAsia="zh-CN"/>
              </w:rPr>
              <w:t>0</w:t>
            </w:r>
          </w:p>
        </w:tc>
        <w:tc>
          <w:tcPr>
            <w:tcW w:w="13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highlight w:val="none"/>
                <w:lang w:val="en-US" w:eastAsia="zh-CN"/>
              </w:rPr>
            </w:pPr>
            <w:r>
              <w:rPr>
                <w:rFonts w:hint="eastAsia"/>
                <w:highlight w:val="none"/>
                <w:lang w:val="en-US" w:eastAsia="zh-CN"/>
              </w:rPr>
              <w:t>0</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highlight w:val="none"/>
                <w:lang w:val="en-US" w:eastAsia="zh-CN"/>
              </w:rPr>
            </w:pPr>
            <w:r>
              <w:rPr>
                <w:rFonts w:hint="eastAsia"/>
                <w:highlight w:val="none"/>
                <w:lang w:val="en-US" w:eastAsia="zh-CN"/>
              </w:rPr>
              <w:t>0</w:t>
            </w:r>
          </w:p>
        </w:tc>
      </w:tr>
      <w:tr>
        <w:tblPrEx>
          <w:shd w:val="clear" w:color="auto" w:fill="auto"/>
          <w:tblCellMar>
            <w:top w:w="0" w:type="dxa"/>
            <w:left w:w="108" w:type="dxa"/>
            <w:bottom w:w="0" w:type="dxa"/>
            <w:right w:w="108" w:type="dxa"/>
          </w:tblCellMar>
        </w:tblPrEx>
        <w:trPr>
          <w:trHeight w:val="680" w:hRule="exact"/>
          <w:jc w:val="center"/>
        </w:trPr>
        <w:tc>
          <w:tcPr>
            <w:tcW w:w="870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第二十条第（六）项</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20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上一年项目数量</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本年增/减</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处理决定数量</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highlight w:val="none"/>
              </w:rPr>
            </w:pPr>
            <w:r>
              <w:rPr>
                <w:rFonts w:hint="eastAsia" w:ascii="宋体" w:hAnsi="宋体" w:eastAsia="宋体" w:cs="宋体"/>
                <w:color w:val="000000"/>
                <w:kern w:val="0"/>
                <w:sz w:val="20"/>
                <w:szCs w:val="20"/>
                <w:highlight w:val="none"/>
                <w:lang w:val="en-US" w:eastAsia="zh-CN" w:bidi="ar"/>
              </w:rPr>
              <w:t>行政处罚</w:t>
            </w:r>
          </w:p>
        </w:tc>
        <w:tc>
          <w:tcPr>
            <w:tcW w:w="200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125</w:t>
            </w:r>
          </w:p>
        </w:tc>
        <w:tc>
          <w:tcPr>
            <w:tcW w:w="13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+2</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127</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highlight w:val="none"/>
              </w:rPr>
            </w:pPr>
            <w:r>
              <w:rPr>
                <w:rFonts w:hint="eastAsia" w:ascii="宋体" w:hAnsi="宋体" w:eastAsia="宋体" w:cs="宋体"/>
                <w:color w:val="000000"/>
                <w:kern w:val="0"/>
                <w:sz w:val="20"/>
                <w:szCs w:val="20"/>
                <w:highlight w:val="none"/>
                <w:lang w:val="en-US" w:eastAsia="zh-CN" w:bidi="ar"/>
              </w:rPr>
              <w:t>行政强制</w:t>
            </w:r>
          </w:p>
        </w:tc>
        <w:tc>
          <w:tcPr>
            <w:tcW w:w="2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highlight w:val="none"/>
                <w:lang w:val="en-US" w:eastAsia="zh-CN"/>
              </w:rPr>
            </w:pPr>
            <w:r>
              <w:rPr>
                <w:rFonts w:hint="eastAsia"/>
                <w:highlight w:val="none"/>
                <w:lang w:val="en-US" w:eastAsia="zh-CN"/>
              </w:rPr>
              <w:t>0</w:t>
            </w:r>
          </w:p>
        </w:tc>
        <w:tc>
          <w:tcPr>
            <w:tcW w:w="13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+1</w:t>
            </w:r>
          </w:p>
        </w:tc>
        <w:tc>
          <w:tcPr>
            <w:tcW w:w="20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highlight w:val="none"/>
                <w:lang w:val="en-US"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680" w:hRule="exact"/>
          <w:jc w:val="center"/>
        </w:trPr>
        <w:tc>
          <w:tcPr>
            <w:tcW w:w="870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第二十条第（八）项</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2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上一年项目数量</w:t>
            </w:r>
          </w:p>
        </w:tc>
        <w:tc>
          <w:tcPr>
            <w:tcW w:w="3365"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本年增/减</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highlight w:val="none"/>
              </w:rPr>
            </w:pPr>
            <w:r>
              <w:rPr>
                <w:rFonts w:hint="eastAsia" w:ascii="宋体" w:hAnsi="宋体" w:eastAsia="宋体" w:cs="宋体"/>
                <w:color w:val="000000"/>
                <w:kern w:val="0"/>
                <w:sz w:val="20"/>
                <w:szCs w:val="20"/>
                <w:highlight w:val="none"/>
                <w:lang w:val="en-US" w:eastAsia="zh-CN" w:bidi="ar"/>
              </w:rPr>
              <w:t>行政事业性收费</w:t>
            </w:r>
          </w:p>
        </w:tc>
        <w:tc>
          <w:tcPr>
            <w:tcW w:w="2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18</w:t>
            </w:r>
          </w:p>
        </w:tc>
        <w:tc>
          <w:tcPr>
            <w:tcW w:w="3365"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0</w:t>
            </w:r>
          </w:p>
        </w:tc>
      </w:tr>
      <w:tr>
        <w:tblPrEx>
          <w:shd w:val="clear" w:color="auto" w:fill="auto"/>
          <w:tblCellMar>
            <w:top w:w="0" w:type="dxa"/>
            <w:left w:w="108" w:type="dxa"/>
            <w:bottom w:w="0" w:type="dxa"/>
            <w:right w:w="108" w:type="dxa"/>
          </w:tblCellMar>
        </w:tblPrEx>
        <w:trPr>
          <w:trHeight w:val="680" w:hRule="exact"/>
          <w:jc w:val="center"/>
        </w:trPr>
        <w:tc>
          <w:tcPr>
            <w:tcW w:w="870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第二十条第（九）项</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2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采购项目数量</w:t>
            </w:r>
          </w:p>
        </w:tc>
        <w:tc>
          <w:tcPr>
            <w:tcW w:w="3365"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采购总金额</w:t>
            </w:r>
          </w:p>
        </w:tc>
      </w:tr>
      <w:tr>
        <w:tblPrEx>
          <w:shd w:val="clear" w:color="auto" w:fill="auto"/>
          <w:tblCellMar>
            <w:top w:w="0" w:type="dxa"/>
            <w:left w:w="108" w:type="dxa"/>
            <w:bottom w:w="0" w:type="dxa"/>
            <w:right w:w="108" w:type="dxa"/>
          </w:tblCellMar>
        </w:tblPrEx>
        <w:trPr>
          <w:trHeight w:val="680" w:hRule="exact"/>
          <w:jc w:val="center"/>
        </w:trPr>
        <w:tc>
          <w:tcPr>
            <w:tcW w:w="33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highlight w:val="none"/>
              </w:rPr>
            </w:pPr>
            <w:r>
              <w:rPr>
                <w:rFonts w:hint="eastAsia" w:ascii="宋体" w:hAnsi="宋体" w:eastAsia="宋体" w:cs="宋体"/>
                <w:color w:val="000000"/>
                <w:kern w:val="0"/>
                <w:sz w:val="20"/>
                <w:szCs w:val="20"/>
                <w:highlight w:val="none"/>
                <w:lang w:val="en-US" w:eastAsia="zh-CN" w:bidi="ar"/>
              </w:rPr>
              <w:t>政府集中采购</w:t>
            </w:r>
          </w:p>
        </w:tc>
        <w:tc>
          <w:tcPr>
            <w:tcW w:w="2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highlight w:val="none"/>
                <w:lang w:val="en-US" w:eastAsia="zh-CN"/>
              </w:rPr>
            </w:pPr>
            <w:r>
              <w:rPr>
                <w:rFonts w:hint="eastAsia"/>
                <w:highlight w:val="none"/>
                <w:lang w:val="en-US" w:eastAsia="zh-CN"/>
              </w:rPr>
              <w:t>137</w:t>
            </w:r>
          </w:p>
        </w:tc>
        <w:tc>
          <w:tcPr>
            <w:tcW w:w="3365"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highlight w:val="none"/>
                <w:lang w:val="en-US" w:eastAsia="zh-CN"/>
              </w:rPr>
            </w:pPr>
            <w:r>
              <w:rPr>
                <w:rFonts w:hint="default" w:ascii="宋体" w:hAnsi="宋体" w:eastAsia="宋体" w:cs="宋体"/>
                <w:color w:val="333333"/>
                <w:sz w:val="21"/>
                <w:szCs w:val="21"/>
                <w:highlight w:val="none"/>
                <w:lang w:val="en-US" w:eastAsia="zh-CN"/>
              </w:rPr>
              <w:t>3.60577亿元</w:t>
            </w:r>
          </w:p>
        </w:tc>
      </w:tr>
    </w:tbl>
    <w:p>
      <w:pPr>
        <w:ind w:firstLine="640" w:firstLineChars="200"/>
        <w:rPr>
          <w:rFonts w:hint="eastAsia" w:ascii="黑体" w:hAnsi="黑体" w:eastAsia="黑体" w:cs="黑体"/>
          <w:b w:val="0"/>
          <w:bCs w:val="0"/>
          <w:color w:val="333333"/>
          <w:kern w:val="0"/>
          <w:sz w:val="32"/>
          <w:szCs w:val="32"/>
          <w:lang w:val="en-US" w:eastAsia="zh-CN" w:bidi="ar"/>
        </w:rPr>
      </w:pPr>
    </w:p>
    <w:p>
      <w:pPr>
        <w:ind w:firstLine="640" w:firstLineChars="200"/>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三、收到和处理政府信息公开申请情况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4"/>
        <w:gridCol w:w="855"/>
        <w:gridCol w:w="2130"/>
        <w:gridCol w:w="825"/>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592"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47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2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406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70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47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2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702"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1</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ascii="楷体" w:hAnsi="楷体" w:eastAsia="楷体" w:cs="楷体"/>
                <w:color w:val="333333"/>
                <w:kern w:val="2"/>
                <w:sz w:val="20"/>
                <w:szCs w:val="20"/>
                <w:lang w:val="en-US" w:eastAsia="zh-CN" w:bidi="ar"/>
              </w:rPr>
              <w:t>（一）予以公开</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1</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highlight w:val="none"/>
                <w:lang w:val="en-US"/>
              </w:rPr>
            </w:pPr>
            <w:r>
              <w:rPr>
                <w:rFonts w:hint="eastAsia" w:ascii="Calibri" w:hAnsi="Calibri" w:eastAsia="宋体" w:cs="Times New Roman"/>
                <w:color w:val="333333"/>
                <w:kern w:val="2"/>
                <w:sz w:val="20"/>
                <w:szCs w:val="20"/>
                <w:highlight w:val="none"/>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1</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1</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宋体" w:hAnsi="宋体" w:eastAsia="宋体" w:cs="宋体"/>
                <w:color w:val="000000"/>
                <w:kern w:val="0"/>
                <w:sz w:val="20"/>
                <w:szCs w:val="20"/>
                <w:highlight w:val="none"/>
                <w:lang w:val="en-US" w:eastAsia="zh-CN" w:bidi="ar"/>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highlight w:val="none"/>
              </w:rPr>
            </w:pPr>
            <w:r>
              <w:rPr>
                <w:rFonts w:hint="eastAsia" w:ascii="Calibri" w:hAnsi="Calibri" w:eastAsia="宋体" w:cs="Times New Roman"/>
                <w:color w:val="333333"/>
                <w:kern w:val="2"/>
                <w:sz w:val="20"/>
                <w:szCs w:val="20"/>
                <w:highlight w:val="none"/>
                <w:lang w:val="en-US" w:eastAsia="zh-CN" w:bidi="ar"/>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bCs/>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回顾一年来的工作，我县在市委、市政府以及县委的领导下，在市政府各科室的关心指导下，较好地完成了政务公开全年的工作任务，但对表对标省、市要求，还有不小差距，具体表现在：一是工作进展不平衡。县级部门对政务公开工作的热情普遍较高，能够积极主动落实全县的安排部署，但个别职能单一、工作力量相对“单薄”的单位，对工作存在认识不足，工作上缺乏向心力、持久力。二是平台打造标准不高。与省级、市级政府网站相比，仅仅使用了平台的基础性功能，门户网站的交互性、便捷性还有很大的开发空间。三是公开内容比较单一。公开部门职能、权责事项的多，公开部门动态和工作成效少，大多数工作信息仍然停留在县级层面，没有体现出自上而下的带动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下一步，我们将从以下几方面抓好工作提升：一是夯实机构建设，充实队伍力量。全面落实2020年国办和省、市政府围绕政务公开工作的重要部署，进一步强化组织领导和部门联动，将政务公开常态化列入定期培训计划，同时积极引进专业化人才，切实提高基层一线人员工作能力和水平。二是把握工作主线，服务发展大局。紧紧围绕市委“336”战略布局和本县转型发展需要，认真做好新闻发布和舆情收集，聚焦热点难点抓创新，打通公开堵点痛点，着力提升政策信息的影响力、带动力。三是压实工作责任，强化运维保障。严格对文件属性管理、信息公开发布的审查审核责任，对咨询投诉、舆情信息的处置办理责任，拓展平台功能，拓宽解读渠道，提升服务效能。四是完善工作机制，强化监管考核。严格落实把政务公开纳入政府绩效考核体系且分值权重不低于4%的要求，定期统筹调度、定期督查通报、定期督办落实、定量考核评价，确保全县政府信息公开工作扎实推进。五是拓展工作成效，实现基层“两化”。进一步扩大试点范围，及时总结工作成效，主动对标先进地市，学习借鉴成功经验，查漏补缺、优化升级，持续推动基层政务公开向农村和社区延伸，确保到2022年实现政府公开标准化、规范化实现“高标准、全流程、全覆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rPr>
      </w:pPr>
      <w:r>
        <w:rPr>
          <w:rFonts w:hint="eastAsia"/>
          <w:sz w:val="32"/>
          <w:szCs w:val="32"/>
        </w:rPr>
        <w:t>　　</w:t>
      </w:r>
      <w:r>
        <w:rPr>
          <w:rFonts w:hint="eastAsia" w:ascii="黑体" w:hAnsi="黑体" w:eastAsia="黑体" w:cs="黑体"/>
          <w:b w:val="0"/>
          <w:bCs w:val="0"/>
          <w:color w:val="333333"/>
          <w:kern w:val="0"/>
          <w:sz w:val="32"/>
          <w:szCs w:val="32"/>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3"/>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3"/>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color w:val="333333"/>
          <w:kern w:val="0"/>
          <w:sz w:val="32"/>
          <w:szCs w:val="32"/>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56906"/>
    <w:rsid w:val="01A609D7"/>
    <w:rsid w:val="0DEF1580"/>
    <w:rsid w:val="0F297E3F"/>
    <w:rsid w:val="13422FCB"/>
    <w:rsid w:val="14455DBA"/>
    <w:rsid w:val="1E443F8A"/>
    <w:rsid w:val="1F7FAE85"/>
    <w:rsid w:val="27BE332E"/>
    <w:rsid w:val="2F1F437C"/>
    <w:rsid w:val="30805A90"/>
    <w:rsid w:val="34F423E2"/>
    <w:rsid w:val="38006374"/>
    <w:rsid w:val="40FD06D6"/>
    <w:rsid w:val="42B120B0"/>
    <w:rsid w:val="44203CD8"/>
    <w:rsid w:val="51505803"/>
    <w:rsid w:val="53A71C45"/>
    <w:rsid w:val="5EB06EA5"/>
    <w:rsid w:val="668D0787"/>
    <w:rsid w:val="698B207E"/>
    <w:rsid w:val="6AF27D65"/>
    <w:rsid w:val="6B7A45AD"/>
    <w:rsid w:val="727003D5"/>
    <w:rsid w:val="734E63B7"/>
    <w:rsid w:val="7CC30E7B"/>
    <w:rsid w:val="7DB00A43"/>
    <w:rsid w:val="FFFD9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styleId="9">
    <w:name w:val="HTML Code"/>
    <w:basedOn w:val="6"/>
    <w:qFormat/>
    <w:uiPriority w:val="0"/>
    <w:rPr>
      <w:rFonts w:ascii="Courier New" w:hAnsi="Courier New"/>
      <w:sz w:val="20"/>
    </w:rPr>
  </w:style>
  <w:style w:type="character" w:customStyle="1" w:styleId="10">
    <w:name w:val="gwds_nopic"/>
    <w:basedOn w:val="6"/>
    <w:qFormat/>
    <w:uiPriority w:val="0"/>
  </w:style>
  <w:style w:type="character" w:customStyle="1" w:styleId="11">
    <w:name w:val="gwds_nopic1"/>
    <w:basedOn w:val="6"/>
    <w:qFormat/>
    <w:uiPriority w:val="0"/>
  </w:style>
  <w:style w:type="character" w:customStyle="1" w:styleId="12">
    <w:name w:val="name"/>
    <w:basedOn w:val="6"/>
    <w:qFormat/>
    <w:uiPriority w:val="0"/>
    <w:rPr>
      <w:color w:val="6A6A6A"/>
      <w:u w:val="single"/>
    </w:rPr>
  </w:style>
  <w:style w:type="character" w:customStyle="1" w:styleId="13">
    <w:name w:val="dates"/>
    <w:basedOn w:val="6"/>
    <w:qFormat/>
    <w:uiPriority w:val="0"/>
  </w:style>
  <w:style w:type="character" w:customStyle="1" w:styleId="14">
    <w:name w:val="hover23"/>
    <w:basedOn w:val="6"/>
    <w:qFormat/>
    <w:uiPriority w:val="0"/>
    <w:rPr>
      <w:color w:val="015293"/>
    </w:rPr>
  </w:style>
  <w:style w:type="character" w:customStyle="1" w:styleId="15">
    <w:name w:val="m01"/>
    <w:basedOn w:val="6"/>
    <w:qFormat/>
    <w:uiPriority w:val="0"/>
  </w:style>
  <w:style w:type="character" w:customStyle="1" w:styleId="16">
    <w:name w:val="m011"/>
    <w:basedOn w:val="6"/>
    <w:qFormat/>
    <w:uiPriority w:val="0"/>
  </w:style>
  <w:style w:type="character" w:customStyle="1" w:styleId="17">
    <w:name w:val="more4"/>
    <w:basedOn w:val="6"/>
    <w:qFormat/>
    <w:uiPriority w:val="0"/>
    <w:rPr>
      <w:color w:val="666666"/>
      <w:sz w:val="18"/>
      <w:szCs w:val="18"/>
    </w:rPr>
  </w:style>
  <w:style w:type="character" w:customStyle="1" w:styleId="18">
    <w:name w:val="tabg"/>
    <w:basedOn w:val="6"/>
    <w:qFormat/>
    <w:uiPriority w:val="0"/>
    <w:rPr>
      <w:color w:val="FFFFFF"/>
      <w:sz w:val="27"/>
      <w:szCs w:val="27"/>
    </w:rPr>
  </w:style>
  <w:style w:type="character" w:customStyle="1" w:styleId="19">
    <w:name w:val="bg01"/>
    <w:basedOn w:val="6"/>
    <w:qFormat/>
    <w:uiPriority w:val="0"/>
  </w:style>
  <w:style w:type="character" w:customStyle="1" w:styleId="20">
    <w:name w:val="bg02"/>
    <w:basedOn w:val="6"/>
    <w:qFormat/>
    <w:uiPriority w:val="0"/>
  </w:style>
  <w:style w:type="character" w:customStyle="1" w:styleId="21">
    <w:name w:val="font"/>
    <w:basedOn w:val="6"/>
    <w:qFormat/>
    <w:uiPriority w:val="0"/>
  </w:style>
  <w:style w:type="character" w:customStyle="1" w:styleId="22">
    <w:name w:val="font1"/>
    <w:basedOn w:val="6"/>
    <w:qFormat/>
    <w:uiPriority w:val="0"/>
  </w:style>
  <w:style w:type="character" w:customStyle="1" w:styleId="23">
    <w:name w:val="laypage_curr"/>
    <w:basedOn w:val="6"/>
    <w:qFormat/>
    <w:uiPriority w:val="0"/>
    <w:rPr>
      <w:color w:val="FFFDF4"/>
      <w:shd w:val="clear" w:fill="0B67A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2020-01-03T18:59:00Z</dcterms:created>
  <dc:creator>那年那月</dc:creator>
  <cp:lastModifiedBy>kylin1</cp:lastModifiedBy>
  <cp:lastPrinted>2020-02-13T18:34:00Z</cp:lastPrinted>
  <dcterms:modified xsi:type="dcterms:W3CDTF">2024-07-24T09:13:54Z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680EB0C300FDB8F2B9877366BEF18C81</vt:lpwstr>
  </property>
</Properties>
</file>