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保德县人民政府</w:t>
      </w:r>
    </w:p>
    <w:p>
      <w:pPr>
        <w:ind w:firstLine="440"/>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2020年政府信息公开工作年度报告</w:t>
      </w:r>
    </w:p>
    <w:p>
      <w:pPr>
        <w:ind w:firstLine="640" w:firstLineChars="200"/>
        <w:jc w:val="left"/>
        <w:rPr>
          <w:rFonts w:ascii="仿宋_GB2312" w:hAnsi="仿宋_GB2312" w:eastAsia="仿宋_GB2312" w:cs="仿宋_GB2312"/>
          <w:sz w:val="32"/>
          <w:szCs w:val="32"/>
        </w:rPr>
      </w:pPr>
    </w:p>
    <w:p>
      <w:pPr>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本报告依据《中华人民共和国政府信息公开条例》、《国务院办公厅政府信息与政务公开办公室关于政府信息公开工作年度报告有关事项的通知》和</w:t>
      </w:r>
      <w:r>
        <w:rPr>
          <w:rFonts w:hint="eastAsia" w:ascii="仿宋" w:hAnsi="仿宋" w:eastAsia="仿宋"/>
          <w:sz w:val="32"/>
          <w:szCs w:val="32"/>
        </w:rPr>
        <w:t>忻州市人民政府办公室《关于做好政府信息公开平台及政府信息公开工作年报相关工作的通知》（忻政办发电〔2020〕1号）文件</w:t>
      </w:r>
      <w:r>
        <w:rPr>
          <w:rFonts w:hint="eastAsia" w:ascii="仿宋" w:hAnsi="仿宋" w:eastAsia="仿宋" w:cs="仿宋_GB2312"/>
          <w:sz w:val="32"/>
          <w:szCs w:val="32"/>
        </w:rPr>
        <w:t>有关规定编制，并附相关指标统计表。本报告可以在保德县人民政府网站</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http://www.baode.gov.cn</w:t>
      </w:r>
      <w:r>
        <w:rPr>
          <w:rFonts w:hint="eastAsia" w:ascii="仿宋" w:hAnsi="仿宋" w:eastAsia="仿宋" w:cs="仿宋_GB2312"/>
          <w:sz w:val="32"/>
          <w:szCs w:val="32"/>
          <w:lang w:eastAsia="zh-CN"/>
        </w:rPr>
        <w:t>）</w:t>
      </w:r>
      <w:r>
        <w:rPr>
          <w:rFonts w:hint="eastAsia" w:ascii="仿宋" w:hAnsi="仿宋" w:eastAsia="仿宋" w:cs="仿宋_GB2312"/>
          <w:sz w:val="32"/>
          <w:szCs w:val="32"/>
        </w:rPr>
        <w:t>“政府信息公开-公开年报”栏目下载。如对本年度报告有疑问，请联系：保德县人民政府办公室，地址：保德县府前大街县政府办公楼，邮编：036600，电话：0350-7322007。</w:t>
      </w:r>
    </w:p>
    <w:p>
      <w:pPr>
        <w:ind w:firstLine="640" w:firstLineChars="200"/>
        <w:jc w:val="left"/>
        <w:rPr>
          <w:rFonts w:ascii="仿宋" w:hAnsi="仿宋" w:eastAsia="仿宋"/>
          <w:sz w:val="32"/>
          <w:szCs w:val="32"/>
        </w:rPr>
      </w:pPr>
      <w:r>
        <w:rPr>
          <w:rFonts w:hint="eastAsia" w:ascii="仿宋" w:hAnsi="仿宋" w:eastAsia="仿宋" w:cs="仿宋_GB2312"/>
          <w:sz w:val="32"/>
          <w:szCs w:val="32"/>
          <w:lang w:eastAsia="zh-CN"/>
        </w:rPr>
        <w:t>本</w:t>
      </w:r>
      <w:r>
        <w:rPr>
          <w:rFonts w:hint="eastAsia" w:ascii="仿宋" w:hAnsi="仿宋" w:eastAsia="仿宋" w:cs="仿宋_GB2312"/>
          <w:sz w:val="32"/>
          <w:szCs w:val="32"/>
        </w:rPr>
        <w:t>报告全文由“总体情况”、“</w:t>
      </w:r>
      <w:r>
        <w:rPr>
          <w:rFonts w:hint="eastAsia" w:ascii="仿宋" w:hAnsi="仿宋" w:eastAsia="仿宋"/>
          <w:sz w:val="32"/>
          <w:szCs w:val="32"/>
        </w:rPr>
        <w:t>政府信息依申请公开办理情况</w:t>
      </w:r>
      <w:r>
        <w:rPr>
          <w:rFonts w:hint="eastAsia" w:ascii="仿宋" w:hAnsi="仿宋" w:eastAsia="仿宋" w:cs="仿宋_GB2312"/>
          <w:sz w:val="32"/>
          <w:szCs w:val="32"/>
        </w:rPr>
        <w:t>”、“</w:t>
      </w:r>
      <w:r>
        <w:rPr>
          <w:rFonts w:hint="eastAsia" w:ascii="仿宋" w:hAnsi="仿宋" w:eastAsia="仿宋"/>
          <w:sz w:val="32"/>
          <w:szCs w:val="32"/>
        </w:rPr>
        <w:t>政府信息管理情况</w:t>
      </w:r>
      <w:r>
        <w:rPr>
          <w:rFonts w:hint="eastAsia" w:ascii="仿宋" w:hAnsi="仿宋" w:eastAsia="仿宋" w:cs="仿宋_GB2312"/>
          <w:sz w:val="32"/>
          <w:szCs w:val="32"/>
        </w:rPr>
        <w:t>”、“</w:t>
      </w:r>
      <w:r>
        <w:rPr>
          <w:rFonts w:hint="eastAsia" w:ascii="仿宋" w:hAnsi="仿宋" w:eastAsia="仿宋"/>
          <w:sz w:val="32"/>
          <w:szCs w:val="32"/>
        </w:rPr>
        <w:t>政府信息公开平台建设情况</w:t>
      </w:r>
      <w:r>
        <w:rPr>
          <w:rFonts w:hint="default" w:ascii="仿宋" w:hAnsi="仿宋" w:eastAsia="仿宋"/>
          <w:sz w:val="32"/>
          <w:szCs w:val="32"/>
          <w:lang w:val="en-US" w:eastAsia="zh-CN"/>
        </w:rPr>
        <w:t>”</w:t>
      </w:r>
      <w:r>
        <w:rPr>
          <w:rFonts w:hint="eastAsia" w:ascii="仿宋" w:hAnsi="仿宋" w:eastAsia="仿宋" w:cs="仿宋_GB2312"/>
          <w:sz w:val="32"/>
          <w:szCs w:val="32"/>
        </w:rPr>
        <w:t>、“存在的主要问题及改进情况</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w:t>
      </w:r>
      <w:r>
        <w:rPr>
          <w:rFonts w:hint="eastAsia" w:ascii="仿宋" w:hAnsi="仿宋" w:eastAsia="仿宋" w:cs="仿宋_GB2312"/>
          <w:sz w:val="32"/>
          <w:szCs w:val="32"/>
        </w:rPr>
        <w:t>其他需要报告的事项</w:t>
      </w:r>
      <w:r>
        <w:rPr>
          <w:rFonts w:hint="default" w:ascii="仿宋" w:hAnsi="仿宋" w:eastAsia="仿宋" w:cs="仿宋_GB2312"/>
          <w:sz w:val="32"/>
          <w:szCs w:val="32"/>
          <w:lang w:val="en-US" w:eastAsia="zh-CN"/>
        </w:rPr>
        <w:t>”</w:t>
      </w:r>
      <w:r>
        <w:rPr>
          <w:rFonts w:hint="eastAsia" w:ascii="仿宋" w:hAnsi="仿宋" w:eastAsia="仿宋" w:cs="仿宋_GB2312"/>
          <w:sz w:val="32"/>
          <w:szCs w:val="32"/>
        </w:rPr>
        <w:t>六个部分组成。</w:t>
      </w:r>
    </w:p>
    <w:p>
      <w:pPr>
        <w:ind w:firstLine="640" w:firstLineChars="200"/>
        <w:jc w:val="left"/>
        <w:rPr>
          <w:rFonts w:ascii="仿宋" w:hAnsi="仿宋" w:eastAsia="仿宋"/>
          <w:sz w:val="32"/>
          <w:szCs w:val="32"/>
        </w:rPr>
      </w:pPr>
      <w:r>
        <w:rPr>
          <w:rFonts w:hint="eastAsia" w:ascii="仿宋" w:hAnsi="仿宋" w:eastAsia="仿宋" w:cs="仿宋_GB2312"/>
          <w:sz w:val="32"/>
          <w:szCs w:val="32"/>
        </w:rPr>
        <w:t>本报告中所列数据的统计时限为2020年1月1日至2020年12月31日。</w:t>
      </w:r>
    </w:p>
    <w:p>
      <w:pPr>
        <w:ind w:firstLine="643" w:firstLineChars="200"/>
        <w:jc w:val="left"/>
        <w:rPr>
          <w:rFonts w:cs="黑体" w:asciiTheme="majorEastAsia" w:hAnsiTheme="majorEastAsia" w:eastAsiaTheme="majorEastAsia"/>
          <w:b/>
          <w:sz w:val="44"/>
          <w:szCs w:val="44"/>
        </w:rPr>
      </w:pPr>
      <w:r>
        <w:rPr>
          <w:rFonts w:hint="eastAsia" w:cs="黑体" w:asciiTheme="majorEastAsia" w:hAnsiTheme="majorEastAsia" w:eastAsiaTheme="majorEastAsia"/>
          <w:b/>
          <w:sz w:val="32"/>
          <w:szCs w:val="32"/>
        </w:rPr>
        <w:t>一、总体情况</w:t>
      </w:r>
    </w:p>
    <w:p>
      <w:pPr>
        <w:ind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 xml:space="preserve">（一）2020年政府信息公开工作基本情况 </w:t>
      </w:r>
    </w:p>
    <w:p>
      <w:pPr>
        <w:ind w:firstLine="640" w:firstLineChars="200"/>
        <w:jc w:val="left"/>
        <w:rPr>
          <w:rFonts w:ascii="仿宋" w:hAnsi="仿宋" w:eastAsia="仿宋" w:cs="仿宋_GB2312"/>
          <w:sz w:val="32"/>
          <w:szCs w:val="32"/>
        </w:rPr>
      </w:pPr>
      <w:r>
        <w:rPr>
          <w:rFonts w:hint="eastAsia" w:ascii="仿宋" w:hAnsi="仿宋" w:eastAsia="仿宋"/>
          <w:sz w:val="32"/>
          <w:szCs w:val="32"/>
        </w:rPr>
        <w:t>2020年是全面建成小康社会和“十三五”规划的收官之年，是深入贯彻落实中共中央办公厅、国务院办公厅《关于全面推进政务公开工作的意见》（中办发〔2016〕8号）的验收之年。</w:t>
      </w:r>
      <w:r>
        <w:rPr>
          <w:rFonts w:hint="eastAsia" w:ascii="仿宋" w:hAnsi="仿宋" w:eastAsia="仿宋" w:cs="仿宋_GB2312"/>
          <w:sz w:val="32"/>
          <w:szCs w:val="32"/>
        </w:rPr>
        <w:t>我县在全面贯彻落实《中华人民共和国政府信息公开条例》要求</w:t>
      </w:r>
      <w:r>
        <w:rPr>
          <w:rFonts w:hint="eastAsia" w:ascii="仿宋" w:hAnsi="仿宋" w:eastAsia="仿宋" w:cs="仿宋_GB2312"/>
          <w:sz w:val="32"/>
          <w:szCs w:val="32"/>
          <w:lang w:eastAsia="zh-CN"/>
        </w:rPr>
        <w:t>，围绕重点领域加大</w:t>
      </w:r>
      <w:r>
        <w:rPr>
          <w:rFonts w:hint="eastAsia" w:ascii="仿宋" w:hAnsi="仿宋" w:eastAsia="仿宋" w:cs="仿宋_GB2312"/>
          <w:sz w:val="32"/>
          <w:szCs w:val="32"/>
        </w:rPr>
        <w:t>主动公开</w:t>
      </w:r>
      <w:r>
        <w:rPr>
          <w:rFonts w:hint="eastAsia" w:ascii="仿宋" w:hAnsi="仿宋" w:eastAsia="仿宋" w:cs="仿宋_GB2312"/>
          <w:sz w:val="32"/>
          <w:szCs w:val="32"/>
          <w:lang w:eastAsia="zh-CN"/>
        </w:rPr>
        <w:t>力度</w:t>
      </w:r>
      <w:r>
        <w:rPr>
          <w:rFonts w:hint="eastAsia" w:ascii="仿宋" w:hAnsi="仿宋" w:eastAsia="仿宋" w:cs="仿宋_GB2312"/>
          <w:sz w:val="32"/>
          <w:szCs w:val="32"/>
        </w:rPr>
        <w:t>、</w:t>
      </w:r>
      <w:r>
        <w:rPr>
          <w:rFonts w:hint="eastAsia" w:ascii="仿宋" w:hAnsi="仿宋" w:eastAsia="仿宋" w:cs="仿宋_GB2312"/>
          <w:sz w:val="32"/>
          <w:szCs w:val="32"/>
          <w:lang w:eastAsia="zh-CN"/>
        </w:rPr>
        <w:t>做好</w:t>
      </w:r>
      <w:r>
        <w:rPr>
          <w:rFonts w:hint="eastAsia" w:ascii="仿宋" w:hAnsi="仿宋" w:eastAsia="仿宋" w:cs="仿宋_GB2312"/>
          <w:sz w:val="32"/>
          <w:szCs w:val="32"/>
        </w:rPr>
        <w:t>依申请公开、政府信息管理、平台建设和监督保障等方面的工作，具体情况如下：</w:t>
      </w:r>
    </w:p>
    <w:p>
      <w:pPr>
        <w:ind w:firstLine="640" w:firstLineChars="200"/>
        <w:rPr>
          <w:rFonts w:hint="eastAsia" w:ascii="仿宋" w:hAnsi="仿宋" w:eastAsia="仿宋"/>
          <w:sz w:val="32"/>
          <w:szCs w:val="32"/>
        </w:rPr>
      </w:pPr>
      <w:r>
        <w:rPr>
          <w:rFonts w:hint="eastAsia" w:ascii="仿宋" w:hAnsi="仿宋" w:eastAsia="仿宋"/>
          <w:sz w:val="32"/>
          <w:szCs w:val="32"/>
        </w:rPr>
        <w:t>2020年，遵循“公开为原则，不公开为例外”的原则，县政府门户网站主动公开政府信息情况。全年公开政府信息总计</w:t>
      </w:r>
    </w:p>
    <w:p>
      <w:pPr>
        <w:ind w:firstLine="0" w:firstLineChars="0"/>
        <w:rPr>
          <w:rFonts w:ascii="仿宋_GB2312" w:hAnsi="仿宋_GB2312" w:eastAsia="仿宋_GB2312" w:cs="仿宋_GB2312"/>
          <w:sz w:val="32"/>
          <w:szCs w:val="32"/>
        </w:rPr>
      </w:pPr>
      <w:r>
        <w:rPr>
          <w:rFonts w:hint="eastAsia" w:ascii="仿宋" w:hAnsi="仿宋" w:eastAsia="仿宋"/>
          <w:sz w:val="32"/>
          <w:szCs w:val="32"/>
          <w:u w:val="none"/>
          <w:lang w:val="en-US" w:eastAsia="zh-CN"/>
        </w:rPr>
        <w:t>1645</w:t>
      </w:r>
      <w:r>
        <w:rPr>
          <w:rFonts w:hint="eastAsia" w:ascii="仿宋" w:hAnsi="仿宋" w:eastAsia="仿宋"/>
          <w:sz w:val="32"/>
          <w:szCs w:val="32"/>
        </w:rPr>
        <w:t>条。其中，县政府文件</w:t>
      </w:r>
      <w:r>
        <w:rPr>
          <w:rFonts w:hint="eastAsia" w:ascii="仿宋" w:hAnsi="仿宋" w:eastAsia="仿宋"/>
          <w:sz w:val="32"/>
          <w:szCs w:val="32"/>
          <w:u w:val="none"/>
          <w:lang w:val="en-US" w:eastAsia="zh-CN"/>
        </w:rPr>
        <w:t>42</w:t>
      </w:r>
      <w:r>
        <w:rPr>
          <w:rFonts w:hint="eastAsia" w:ascii="仿宋" w:hAnsi="仿宋" w:eastAsia="仿宋"/>
          <w:sz w:val="32"/>
          <w:szCs w:val="32"/>
        </w:rPr>
        <w:t>件，转发国务院文件</w:t>
      </w:r>
      <w:r>
        <w:rPr>
          <w:rFonts w:hint="eastAsia" w:ascii="仿宋" w:hAnsi="仿宋" w:eastAsia="仿宋"/>
          <w:sz w:val="32"/>
          <w:szCs w:val="32"/>
          <w:u w:val="none"/>
          <w:lang w:val="en-US" w:eastAsia="zh-CN"/>
        </w:rPr>
        <w:t>63</w:t>
      </w:r>
      <w:r>
        <w:rPr>
          <w:rFonts w:hint="eastAsia" w:ascii="仿宋" w:hAnsi="仿宋" w:eastAsia="仿宋"/>
          <w:sz w:val="32"/>
          <w:szCs w:val="32"/>
        </w:rPr>
        <w:t>件；转发山西省政府文件</w:t>
      </w:r>
      <w:r>
        <w:rPr>
          <w:rFonts w:hint="eastAsia" w:ascii="仿宋" w:hAnsi="仿宋" w:eastAsia="仿宋"/>
          <w:sz w:val="32"/>
          <w:szCs w:val="32"/>
          <w:lang w:val="en-US" w:eastAsia="zh-CN"/>
        </w:rPr>
        <w:t>45</w:t>
      </w:r>
      <w:r>
        <w:rPr>
          <w:rFonts w:hint="eastAsia" w:ascii="仿宋" w:hAnsi="仿宋" w:eastAsia="仿宋"/>
          <w:sz w:val="32"/>
          <w:szCs w:val="32"/>
        </w:rPr>
        <w:t>件；转发忻州市政府文件</w:t>
      </w:r>
      <w:r>
        <w:rPr>
          <w:rFonts w:hint="eastAsia" w:ascii="仿宋" w:hAnsi="仿宋" w:eastAsia="仿宋"/>
          <w:sz w:val="32"/>
          <w:szCs w:val="32"/>
          <w:u w:val="none"/>
          <w:lang w:val="en-US" w:eastAsia="zh-CN"/>
        </w:rPr>
        <w:t>32</w:t>
      </w:r>
      <w:r>
        <w:rPr>
          <w:rFonts w:hint="eastAsia" w:ascii="仿宋" w:hAnsi="仿宋" w:eastAsia="仿宋"/>
          <w:sz w:val="32"/>
          <w:szCs w:val="32"/>
        </w:rPr>
        <w:t>件；发布政务动态</w:t>
      </w:r>
      <w:r>
        <w:rPr>
          <w:rFonts w:hint="eastAsia" w:ascii="仿宋" w:hAnsi="仿宋" w:eastAsia="仿宋"/>
          <w:sz w:val="32"/>
          <w:szCs w:val="32"/>
          <w:u w:val="none"/>
          <w:lang w:val="en-US" w:eastAsia="zh-CN"/>
        </w:rPr>
        <w:t>155</w:t>
      </w:r>
      <w:r>
        <w:rPr>
          <w:rFonts w:hint="eastAsia" w:ascii="仿宋" w:hAnsi="仿宋" w:eastAsia="仿宋"/>
          <w:sz w:val="32"/>
          <w:szCs w:val="32"/>
        </w:rPr>
        <w:t>条，政策解读</w:t>
      </w:r>
      <w:r>
        <w:rPr>
          <w:rFonts w:hint="eastAsia" w:ascii="仿宋" w:hAnsi="仿宋" w:eastAsia="仿宋"/>
          <w:sz w:val="32"/>
          <w:szCs w:val="32"/>
          <w:u w:val="none"/>
          <w:lang w:val="en-US" w:eastAsia="zh-CN"/>
        </w:rPr>
        <w:t>47</w:t>
      </w:r>
      <w:r>
        <w:rPr>
          <w:rFonts w:hint="eastAsia" w:ascii="仿宋" w:hAnsi="仿宋" w:eastAsia="仿宋"/>
          <w:sz w:val="32"/>
          <w:szCs w:val="32"/>
        </w:rPr>
        <w:t>条，转发国务院新闻</w:t>
      </w:r>
      <w:r>
        <w:rPr>
          <w:rFonts w:hint="eastAsia" w:ascii="仿宋" w:hAnsi="仿宋" w:eastAsia="仿宋"/>
          <w:sz w:val="32"/>
          <w:szCs w:val="32"/>
          <w:u w:val="none"/>
          <w:lang w:val="en-US" w:eastAsia="zh-CN"/>
        </w:rPr>
        <w:t>244</w:t>
      </w:r>
      <w:r>
        <w:rPr>
          <w:rFonts w:hint="eastAsia" w:ascii="仿宋" w:hAnsi="仿宋" w:eastAsia="仿宋"/>
          <w:sz w:val="32"/>
          <w:szCs w:val="32"/>
        </w:rPr>
        <w:t>条，转发省政府新闻</w:t>
      </w:r>
      <w:r>
        <w:rPr>
          <w:rFonts w:hint="eastAsia" w:ascii="仿宋" w:hAnsi="仿宋" w:eastAsia="仿宋"/>
          <w:sz w:val="32"/>
          <w:szCs w:val="32"/>
          <w:u w:val="none"/>
          <w:lang w:val="en-US" w:eastAsia="zh-CN"/>
        </w:rPr>
        <w:t>168</w:t>
      </w:r>
      <w:r>
        <w:rPr>
          <w:rFonts w:hint="eastAsia" w:ascii="仿宋" w:hAnsi="仿宋" w:eastAsia="仿宋"/>
          <w:sz w:val="32"/>
          <w:szCs w:val="32"/>
        </w:rPr>
        <w:t>条；受理“忻州随手拍保德版”拍友来信</w:t>
      </w:r>
      <w:r>
        <w:rPr>
          <w:rFonts w:hint="eastAsia" w:ascii="仿宋" w:hAnsi="仿宋" w:eastAsia="仿宋"/>
          <w:sz w:val="32"/>
          <w:szCs w:val="32"/>
          <w:u w:val="none"/>
          <w:lang w:val="en-US" w:eastAsia="zh-CN"/>
        </w:rPr>
        <w:t>74</w:t>
      </w:r>
      <w:r>
        <w:rPr>
          <w:rFonts w:hint="eastAsia" w:ascii="仿宋" w:hAnsi="仿宋" w:eastAsia="仿宋"/>
          <w:sz w:val="32"/>
          <w:szCs w:val="32"/>
        </w:rPr>
        <w:t>件，受理“县长信箱”</w:t>
      </w:r>
      <w:r>
        <w:rPr>
          <w:rFonts w:hint="eastAsia" w:ascii="仿宋" w:hAnsi="仿宋" w:eastAsia="仿宋"/>
          <w:sz w:val="32"/>
          <w:szCs w:val="32"/>
          <w:u w:val="single"/>
          <w:lang w:val="en-US" w:eastAsia="zh-CN"/>
        </w:rPr>
        <w:t>86</w:t>
      </w:r>
      <w:r>
        <w:rPr>
          <w:rFonts w:hint="eastAsia" w:ascii="仿宋" w:hAnsi="仿宋" w:eastAsia="仿宋"/>
          <w:sz w:val="32"/>
          <w:szCs w:val="32"/>
        </w:rPr>
        <w:t>条，受理“市长热线”</w:t>
      </w:r>
      <w:r>
        <w:rPr>
          <w:rFonts w:hint="eastAsia" w:ascii="仿宋" w:hAnsi="仿宋" w:eastAsia="仿宋"/>
          <w:sz w:val="32"/>
          <w:szCs w:val="32"/>
          <w:u w:val="none"/>
          <w:lang w:val="en-US" w:eastAsia="zh-CN"/>
        </w:rPr>
        <w:t>431</w:t>
      </w:r>
      <w:r>
        <w:rPr>
          <w:rFonts w:hint="eastAsia" w:ascii="仿宋" w:hAnsi="仿宋" w:eastAsia="仿宋"/>
          <w:sz w:val="32"/>
          <w:szCs w:val="32"/>
        </w:rPr>
        <w:t>条，受理咨询投诉</w:t>
      </w:r>
      <w:r>
        <w:rPr>
          <w:rFonts w:hint="eastAsia" w:ascii="仿宋" w:hAnsi="仿宋" w:eastAsia="仿宋"/>
          <w:sz w:val="32"/>
          <w:szCs w:val="32"/>
          <w:u w:val="none"/>
          <w:lang w:val="en-US" w:eastAsia="zh-CN"/>
        </w:rPr>
        <w:t>26</w:t>
      </w:r>
      <w:r>
        <w:rPr>
          <w:rFonts w:hint="eastAsia" w:ascii="仿宋" w:hAnsi="仿宋" w:eastAsia="仿宋"/>
          <w:sz w:val="32"/>
          <w:szCs w:val="32"/>
        </w:rPr>
        <w:t>条，均100%办结。其他信息</w:t>
      </w:r>
      <w:r>
        <w:rPr>
          <w:rFonts w:hint="eastAsia" w:ascii="仿宋" w:hAnsi="仿宋" w:eastAsia="仿宋"/>
          <w:sz w:val="32"/>
          <w:szCs w:val="32"/>
          <w:u w:val="none"/>
          <w:lang w:val="en-US" w:eastAsia="zh-CN"/>
        </w:rPr>
        <w:t>737</w:t>
      </w:r>
      <w:r>
        <w:rPr>
          <w:rFonts w:hint="eastAsia" w:ascii="仿宋" w:hAnsi="仿宋" w:eastAsia="仿宋"/>
          <w:sz w:val="32"/>
          <w:szCs w:val="32"/>
        </w:rPr>
        <w:t>条，新开设专栏</w:t>
      </w:r>
      <w:r>
        <w:rPr>
          <w:rFonts w:hint="eastAsia" w:ascii="仿宋" w:hAnsi="仿宋" w:eastAsia="仿宋"/>
          <w:sz w:val="32"/>
          <w:szCs w:val="32"/>
          <w:u w:val="none"/>
          <w:lang w:val="en-US" w:eastAsia="zh-CN"/>
        </w:rPr>
        <w:t>4</w:t>
      </w:r>
      <w:r>
        <w:rPr>
          <w:rFonts w:hint="eastAsia" w:ascii="仿宋" w:hAnsi="仿宋" w:eastAsia="仿宋"/>
          <w:sz w:val="32"/>
          <w:szCs w:val="32"/>
        </w:rPr>
        <w:t>个，新浪政务微博（保德发布）：信息</w:t>
      </w:r>
      <w:r>
        <w:rPr>
          <w:rFonts w:hint="eastAsia" w:ascii="仿宋" w:hAnsi="仿宋" w:eastAsia="仿宋"/>
          <w:sz w:val="32"/>
          <w:szCs w:val="32"/>
          <w:u w:val="none"/>
          <w:lang w:val="en-US" w:eastAsia="zh-CN"/>
        </w:rPr>
        <w:t>1112</w:t>
      </w:r>
      <w:r>
        <w:rPr>
          <w:rFonts w:hint="eastAsia" w:ascii="仿宋" w:hAnsi="仿宋" w:eastAsia="仿宋"/>
          <w:sz w:val="32"/>
          <w:szCs w:val="32"/>
        </w:rPr>
        <w:t>条。</w:t>
      </w:r>
    </w:p>
    <w:p>
      <w:pPr>
        <w:ind w:firstLine="640" w:firstLineChars="200"/>
        <w:jc w:val="left"/>
        <w:rPr>
          <w:rFonts w:ascii="仿宋" w:hAnsi="仿宋" w:eastAsia="仿宋"/>
          <w:sz w:val="32"/>
          <w:szCs w:val="32"/>
        </w:rPr>
      </w:pPr>
      <w:r>
        <w:rPr>
          <w:rFonts w:hint="eastAsia" w:ascii="仿宋" w:hAnsi="仿宋" w:eastAsia="仿宋"/>
          <w:sz w:val="32"/>
          <w:szCs w:val="32"/>
        </w:rPr>
        <w:t>2、重点领域信息公开：财政资金、保障性住房、食品药品安全、环境保护、安全生产、价格与收费、扶贫工作等信息</w:t>
      </w:r>
      <w:r>
        <w:rPr>
          <w:rFonts w:hint="eastAsia" w:ascii="仿宋" w:hAnsi="仿宋" w:eastAsia="仿宋"/>
          <w:sz w:val="32"/>
          <w:szCs w:val="32"/>
          <w:u w:val="none"/>
          <w:lang w:val="en-US" w:eastAsia="zh-CN"/>
        </w:rPr>
        <w:t>498</w:t>
      </w:r>
      <w:r>
        <w:rPr>
          <w:rFonts w:hint="eastAsia" w:ascii="仿宋" w:hAnsi="仿宋" w:eastAsia="仿宋"/>
          <w:sz w:val="32"/>
          <w:szCs w:val="32"/>
        </w:rPr>
        <w:t>条。其中，财政资金</w:t>
      </w:r>
      <w:r>
        <w:rPr>
          <w:rFonts w:hint="eastAsia" w:ascii="仿宋" w:hAnsi="仿宋" w:eastAsia="仿宋"/>
          <w:sz w:val="32"/>
          <w:szCs w:val="32"/>
          <w:u w:val="none"/>
          <w:lang w:val="en-US" w:eastAsia="zh-CN"/>
        </w:rPr>
        <w:t>164</w:t>
      </w:r>
      <w:r>
        <w:rPr>
          <w:rFonts w:hint="eastAsia" w:ascii="仿宋" w:hAnsi="仿宋" w:eastAsia="仿宋"/>
          <w:sz w:val="32"/>
          <w:szCs w:val="32"/>
        </w:rPr>
        <w:t>条，国有企业</w:t>
      </w:r>
      <w:r>
        <w:rPr>
          <w:rFonts w:hint="eastAsia" w:ascii="仿宋" w:hAnsi="仿宋" w:eastAsia="仿宋"/>
          <w:sz w:val="32"/>
          <w:szCs w:val="32"/>
          <w:u w:val="none"/>
          <w:lang w:val="en-US" w:eastAsia="zh-CN"/>
        </w:rPr>
        <w:t>16</w:t>
      </w:r>
      <w:r>
        <w:rPr>
          <w:rFonts w:hint="eastAsia" w:ascii="仿宋" w:hAnsi="仿宋" w:eastAsia="仿宋"/>
          <w:sz w:val="32"/>
          <w:szCs w:val="32"/>
        </w:rPr>
        <w:t>条，重大项目</w:t>
      </w:r>
      <w:r>
        <w:rPr>
          <w:rFonts w:hint="eastAsia" w:ascii="仿宋" w:hAnsi="仿宋" w:eastAsia="仿宋"/>
          <w:sz w:val="32"/>
          <w:szCs w:val="32"/>
          <w:u w:val="none"/>
          <w:lang w:val="en-US" w:eastAsia="zh-CN"/>
        </w:rPr>
        <w:t>27</w:t>
      </w:r>
      <w:r>
        <w:rPr>
          <w:rFonts w:hint="eastAsia" w:ascii="仿宋" w:hAnsi="仿宋" w:eastAsia="仿宋"/>
          <w:sz w:val="32"/>
          <w:szCs w:val="32"/>
        </w:rPr>
        <w:t>条，环境保护信息</w:t>
      </w:r>
      <w:r>
        <w:rPr>
          <w:rFonts w:hint="eastAsia" w:ascii="仿宋" w:hAnsi="仿宋" w:eastAsia="仿宋"/>
          <w:sz w:val="32"/>
          <w:szCs w:val="32"/>
          <w:u w:val="none"/>
          <w:lang w:val="en-US" w:eastAsia="zh-CN"/>
        </w:rPr>
        <w:t>202</w:t>
      </w:r>
      <w:r>
        <w:rPr>
          <w:rFonts w:hint="eastAsia" w:ascii="仿宋" w:hAnsi="仿宋" w:eastAsia="仿宋"/>
          <w:sz w:val="32"/>
          <w:szCs w:val="32"/>
        </w:rPr>
        <w:t>条，公开扶贫信息</w:t>
      </w:r>
      <w:r>
        <w:rPr>
          <w:rFonts w:hint="eastAsia" w:ascii="仿宋" w:hAnsi="仿宋" w:eastAsia="仿宋"/>
          <w:sz w:val="32"/>
          <w:szCs w:val="32"/>
          <w:u w:val="none"/>
          <w:lang w:val="en-US" w:eastAsia="zh-CN"/>
        </w:rPr>
        <w:t>34</w:t>
      </w:r>
      <w:r>
        <w:rPr>
          <w:rFonts w:hint="eastAsia" w:ascii="仿宋" w:hAnsi="仿宋" w:eastAsia="仿宋"/>
          <w:sz w:val="32"/>
          <w:szCs w:val="32"/>
        </w:rPr>
        <w:t>条，统计、信息数据</w:t>
      </w:r>
      <w:r>
        <w:rPr>
          <w:rFonts w:hint="eastAsia" w:ascii="仿宋" w:hAnsi="仿宋" w:eastAsia="仿宋"/>
          <w:sz w:val="32"/>
          <w:szCs w:val="32"/>
          <w:u w:val="none"/>
          <w:lang w:val="en-US" w:eastAsia="zh-CN"/>
        </w:rPr>
        <w:t>55</w:t>
      </w:r>
      <w:r>
        <w:rPr>
          <w:rFonts w:hint="eastAsia" w:ascii="仿宋" w:hAnsi="仿宋" w:eastAsia="仿宋"/>
          <w:sz w:val="32"/>
          <w:szCs w:val="32"/>
        </w:rPr>
        <w:t>条。</w:t>
      </w:r>
    </w:p>
    <w:p>
      <w:pPr>
        <w:ind w:firstLine="482" w:firstLineChars="150"/>
        <w:jc w:val="left"/>
        <w:rPr>
          <w:rFonts w:cs="黑体" w:asciiTheme="majorEastAsia" w:hAnsiTheme="majorEastAsia" w:eastAsiaTheme="majorEastAsia"/>
          <w:b/>
          <w:sz w:val="32"/>
          <w:szCs w:val="32"/>
        </w:rPr>
      </w:pPr>
      <w:r>
        <w:rPr>
          <w:rFonts w:hint="eastAsia" w:cs="黑体" w:asciiTheme="majorEastAsia" w:hAnsiTheme="majorEastAsia" w:eastAsiaTheme="majorEastAsia"/>
          <w:b/>
          <w:sz w:val="32"/>
          <w:szCs w:val="32"/>
        </w:rPr>
        <w:t>（二）政府信息依申请公开办理情况</w:t>
      </w:r>
    </w:p>
    <w:p>
      <w:pPr>
        <w:ind w:firstLine="640" w:firstLineChars="200"/>
        <w:jc w:val="left"/>
        <w:rPr>
          <w:rFonts w:ascii="仿宋" w:hAnsi="仿宋" w:eastAsia="仿宋"/>
          <w:sz w:val="32"/>
          <w:szCs w:val="32"/>
        </w:rPr>
      </w:pPr>
      <w:r>
        <w:rPr>
          <w:rFonts w:hint="eastAsia" w:ascii="仿宋" w:hAnsi="仿宋" w:eastAsia="仿宋"/>
          <w:sz w:val="32"/>
          <w:szCs w:val="32"/>
        </w:rPr>
        <w:t>2020年，我县共收到要求公开政府信息的申请</w:t>
      </w:r>
      <w:r>
        <w:rPr>
          <w:rFonts w:hint="eastAsia" w:ascii="仿宋" w:hAnsi="仿宋" w:eastAsia="仿宋"/>
          <w:sz w:val="32"/>
          <w:szCs w:val="32"/>
          <w:u w:val="none"/>
          <w:lang w:val="en-US" w:eastAsia="zh-CN"/>
        </w:rPr>
        <w:t>2</w:t>
      </w:r>
      <w:r>
        <w:rPr>
          <w:rFonts w:hint="eastAsia" w:ascii="仿宋" w:hAnsi="仿宋" w:eastAsia="仿宋"/>
          <w:sz w:val="32"/>
          <w:szCs w:val="32"/>
        </w:rPr>
        <w:t>次，均100%办结。</w:t>
      </w:r>
    </w:p>
    <w:p>
      <w:pPr>
        <w:ind w:firstLine="482" w:firstLineChars="150"/>
        <w:jc w:val="left"/>
        <w:rPr>
          <w:rFonts w:hint="eastAsia" w:cs="黑体" w:asciiTheme="majorEastAsia" w:hAnsiTheme="majorEastAsia" w:eastAsiaTheme="majorEastAsia"/>
          <w:b/>
          <w:sz w:val="32"/>
          <w:szCs w:val="32"/>
        </w:rPr>
      </w:pPr>
      <w:r>
        <w:rPr>
          <w:rFonts w:hint="eastAsia" w:cs="黑体" w:asciiTheme="majorEastAsia" w:hAnsiTheme="majorEastAsia" w:eastAsiaTheme="majorEastAsia"/>
          <w:b/>
          <w:sz w:val="32"/>
          <w:szCs w:val="32"/>
        </w:rPr>
        <w:t>（三）政府信息管理情况</w:t>
      </w:r>
    </w:p>
    <w:p>
      <w:pPr>
        <w:ind w:firstLine="480" w:firstLineChars="150"/>
        <w:jc w:val="left"/>
        <w:rPr>
          <w:rFonts w:hint="eastAsia" w:cs="黑体" w:asciiTheme="majorEastAsia" w:hAnsiTheme="majorEastAsia" w:eastAsiaTheme="majorEastAsia"/>
          <w:b/>
          <w:sz w:val="32"/>
          <w:szCs w:val="32"/>
        </w:rPr>
      </w:pPr>
      <w:r>
        <w:rPr>
          <w:rFonts w:hint="eastAsia" w:ascii="仿宋" w:hAnsi="仿宋" w:eastAsia="仿宋"/>
          <w:sz w:val="32"/>
          <w:szCs w:val="32"/>
        </w:rPr>
        <w:t>1、以标准化规范化建设为抓手，以公开促落实、促规范、促服务、促廉洁。</w:t>
      </w:r>
      <w:r>
        <w:rPr>
          <w:rFonts w:ascii="仿宋" w:hAnsi="仿宋" w:eastAsia="仿宋" w:cs="Times New Roman"/>
          <w:sz w:val="32"/>
          <w:szCs w:val="32"/>
        </w:rPr>
        <w:t>印发</w:t>
      </w:r>
      <w:r>
        <w:rPr>
          <w:rFonts w:hint="eastAsia" w:ascii="仿宋" w:hAnsi="仿宋" w:eastAsia="仿宋" w:cs="Times New Roman"/>
          <w:sz w:val="32"/>
          <w:szCs w:val="32"/>
        </w:rPr>
        <w:t>了《保德县</w:t>
      </w:r>
      <w:r>
        <w:rPr>
          <w:rFonts w:ascii="仿宋" w:hAnsi="仿宋" w:eastAsia="仿宋" w:cs="Times New Roman"/>
          <w:sz w:val="32"/>
          <w:szCs w:val="32"/>
        </w:rPr>
        <w:t>全面推进政务公开工作实施意见的通知</w:t>
      </w:r>
      <w:r>
        <w:rPr>
          <w:rFonts w:hint="eastAsia" w:ascii="仿宋" w:hAnsi="仿宋" w:eastAsia="仿宋" w:cs="Times New Roman"/>
          <w:sz w:val="32"/>
          <w:szCs w:val="32"/>
        </w:rPr>
        <w:t>》（保政办发〔2020〕75号），</w:t>
      </w:r>
      <w:r>
        <w:rPr>
          <w:rFonts w:hint="eastAsia" w:ascii="仿宋" w:hAnsi="仿宋" w:eastAsia="仿宋"/>
          <w:sz w:val="32"/>
          <w:szCs w:val="32"/>
        </w:rPr>
        <w:t>充分利用政府网站和新媒体平台，及时公开工作进展、典型经验和亮点成绩。</w:t>
      </w:r>
    </w:p>
    <w:p>
      <w:pPr>
        <w:ind w:firstLine="640" w:firstLineChars="200"/>
        <w:jc w:val="left"/>
        <w:rPr>
          <w:rFonts w:cs="黑体" w:asciiTheme="majorEastAsia" w:hAnsiTheme="majorEastAsia" w:eastAsiaTheme="majorEastAsia"/>
          <w:b/>
          <w:sz w:val="32"/>
          <w:szCs w:val="32"/>
        </w:rPr>
      </w:pPr>
      <w:r>
        <w:rPr>
          <w:rFonts w:hint="eastAsia" w:ascii="仿宋" w:hAnsi="仿宋" w:eastAsia="仿宋"/>
          <w:sz w:val="32"/>
          <w:szCs w:val="32"/>
        </w:rPr>
        <w:t>2、及时</w:t>
      </w:r>
      <w:r>
        <w:rPr>
          <w:rFonts w:hint="eastAsia" w:ascii="仿宋" w:hAnsi="仿宋" w:eastAsia="仿宋"/>
          <w:sz w:val="32"/>
          <w:szCs w:val="32"/>
          <w:lang w:eastAsia="zh-CN"/>
        </w:rPr>
        <w:t>主动</w:t>
      </w:r>
      <w:r>
        <w:rPr>
          <w:rFonts w:hint="eastAsia" w:ascii="仿宋" w:hAnsi="仿宋" w:eastAsia="仿宋"/>
          <w:sz w:val="32"/>
          <w:szCs w:val="32"/>
        </w:rPr>
        <w:t>公开疫情防控信息</w:t>
      </w:r>
      <w:r>
        <w:rPr>
          <w:rFonts w:hint="eastAsia" w:ascii="仿宋" w:hAnsi="仿宋" w:eastAsia="仿宋"/>
          <w:sz w:val="32"/>
          <w:szCs w:val="32"/>
          <w:lang w:eastAsia="zh-CN"/>
        </w:rPr>
        <w:t>，引导舆论，回应关切</w:t>
      </w:r>
      <w:r>
        <w:rPr>
          <w:rFonts w:hint="eastAsia" w:ascii="仿宋" w:hAnsi="仿宋" w:eastAsia="仿宋"/>
          <w:sz w:val="32"/>
          <w:szCs w:val="32"/>
        </w:rPr>
        <w:t>。及时公开疫情防控和推动复工复产复学的</w:t>
      </w:r>
      <w:r>
        <w:rPr>
          <w:rFonts w:hint="eastAsia" w:ascii="仿宋" w:hAnsi="仿宋" w:eastAsia="仿宋"/>
          <w:sz w:val="32"/>
          <w:szCs w:val="32"/>
          <w:lang w:eastAsia="zh-CN"/>
        </w:rPr>
        <w:t>疫情防控</w:t>
      </w:r>
      <w:r>
        <w:rPr>
          <w:rFonts w:hint="eastAsia" w:ascii="仿宋" w:hAnsi="仿宋" w:eastAsia="仿宋"/>
          <w:sz w:val="32"/>
          <w:szCs w:val="32"/>
        </w:rPr>
        <w:t>政策措施、数据信息及工作进展情况。各部门按照各自职责，切实加强本行业、本系统的防控信息公开、严格落实“先审后发”制度，把好政治关、舆情关、法律关。建立健全政府信息公开协调机制。各行各业及时发布复工复产疫情防控工作指</w:t>
      </w:r>
      <w:r>
        <w:rPr>
          <w:rFonts w:hint="eastAsia" w:ascii="仿宋" w:hAnsi="仿宋" w:eastAsia="仿宋"/>
          <w:sz w:val="32"/>
          <w:szCs w:val="32"/>
          <w:lang w:eastAsia="zh-CN"/>
        </w:rPr>
        <w:t>南</w:t>
      </w:r>
      <w:r>
        <w:rPr>
          <w:rFonts w:hint="eastAsia" w:ascii="仿宋" w:hAnsi="仿宋" w:eastAsia="仿宋"/>
          <w:sz w:val="32"/>
          <w:szCs w:val="32"/>
        </w:rPr>
        <w:t>，</w:t>
      </w:r>
      <w:r>
        <w:rPr>
          <w:rFonts w:hint="eastAsia" w:ascii="仿宋" w:hAnsi="仿宋" w:eastAsia="仿宋"/>
          <w:sz w:val="32"/>
          <w:szCs w:val="32"/>
          <w:lang w:eastAsia="zh-CN"/>
        </w:rPr>
        <w:t>开展</w:t>
      </w:r>
      <w:r>
        <w:rPr>
          <w:rFonts w:hint="eastAsia" w:ascii="仿宋" w:hAnsi="仿宋" w:eastAsia="仿宋"/>
          <w:sz w:val="32"/>
          <w:szCs w:val="32"/>
        </w:rPr>
        <w:t>多形式</w:t>
      </w:r>
      <w:r>
        <w:rPr>
          <w:rFonts w:hint="eastAsia" w:ascii="仿宋" w:hAnsi="仿宋" w:eastAsia="仿宋"/>
          <w:sz w:val="32"/>
          <w:szCs w:val="32"/>
          <w:lang w:eastAsia="zh-CN"/>
        </w:rPr>
        <w:t>防疫</w:t>
      </w:r>
      <w:r>
        <w:rPr>
          <w:rFonts w:hint="eastAsia" w:ascii="仿宋" w:hAnsi="仿宋" w:eastAsia="仿宋"/>
          <w:sz w:val="32"/>
          <w:szCs w:val="32"/>
        </w:rPr>
        <w:t>解读、多渠道发布有关复工复产工作举措。</w:t>
      </w:r>
    </w:p>
    <w:p>
      <w:pPr>
        <w:ind w:firstLine="482" w:firstLineChars="150"/>
        <w:jc w:val="left"/>
        <w:rPr>
          <w:rFonts w:hint="eastAsia" w:cs="黑体" w:asciiTheme="majorEastAsia" w:hAnsiTheme="majorEastAsia" w:eastAsiaTheme="majorEastAsia"/>
          <w:b/>
          <w:sz w:val="32"/>
          <w:szCs w:val="32"/>
        </w:rPr>
      </w:pPr>
      <w:r>
        <w:rPr>
          <w:rFonts w:hint="eastAsia" w:cs="黑体" w:asciiTheme="majorEastAsia" w:hAnsiTheme="majorEastAsia" w:eastAsiaTheme="majorEastAsia"/>
          <w:b/>
          <w:sz w:val="32"/>
          <w:szCs w:val="32"/>
        </w:rPr>
        <w:t>（四）政府信息公开平台建设情况</w:t>
      </w:r>
    </w:p>
    <w:p>
      <w:pPr>
        <w:ind w:firstLine="640" w:firstLineChars="200"/>
        <w:jc w:val="left"/>
        <w:rPr>
          <w:rFonts w:hint="eastAsia" w:ascii="仿宋" w:hAnsi="仿宋" w:eastAsia="仿宋" w:cs="黑体"/>
          <w:b/>
          <w:sz w:val="32"/>
          <w:szCs w:val="32"/>
        </w:rPr>
      </w:pPr>
      <w:r>
        <w:rPr>
          <w:rFonts w:hint="eastAsia" w:ascii="仿宋" w:hAnsi="仿宋" w:eastAsia="仿宋"/>
          <w:sz w:val="32"/>
          <w:szCs w:val="32"/>
        </w:rPr>
        <w:t>1、按照上级网站建设规范和指引的各项要求，2020年，我县出台了</w:t>
      </w:r>
      <w:r>
        <w:rPr>
          <w:rFonts w:ascii="仿宋" w:hAnsi="仿宋" w:eastAsia="仿宋" w:cs="Times New Roman"/>
          <w:sz w:val="32"/>
          <w:szCs w:val="32"/>
        </w:rPr>
        <w:t>《保德县人民政府网站管理办法（试行）》</w:t>
      </w:r>
      <w:r>
        <w:rPr>
          <w:rFonts w:hint="eastAsia" w:ascii="仿宋" w:hAnsi="仿宋" w:eastAsia="仿宋" w:cs="Times New Roman"/>
          <w:sz w:val="32"/>
          <w:szCs w:val="32"/>
        </w:rPr>
        <w:t>（保政办发〔2020〕113号）、</w:t>
      </w:r>
      <w:r>
        <w:rPr>
          <w:rFonts w:ascii="仿宋" w:hAnsi="仿宋" w:eastAsia="仿宋" w:cs="Times New Roman"/>
          <w:sz w:val="32"/>
          <w:szCs w:val="32"/>
        </w:rPr>
        <w:t>《保德县人民政府门户网站“县长信箱”信件办理规则（试行）》</w:t>
      </w:r>
      <w:r>
        <w:rPr>
          <w:rFonts w:hint="eastAsia" w:ascii="仿宋" w:hAnsi="仿宋" w:eastAsia="仿宋" w:cs="Times New Roman"/>
          <w:sz w:val="32"/>
          <w:szCs w:val="32"/>
        </w:rPr>
        <w:t>（保政办发〔2020〕114号），切实</w:t>
      </w:r>
      <w:r>
        <w:rPr>
          <w:rFonts w:hint="eastAsia" w:ascii="仿宋" w:hAnsi="仿宋" w:eastAsia="仿宋"/>
          <w:sz w:val="32"/>
          <w:szCs w:val="32"/>
        </w:rPr>
        <w:t>推进政府网站建设，加强政府信息公开平台建设，将政府网站打造成更加全面的信息公开平台、更加权威的政策发布解读和舆论引导平台、更加及时的回应关切和便民服务平台。</w:t>
      </w:r>
    </w:p>
    <w:p>
      <w:pPr>
        <w:ind w:firstLine="640" w:firstLineChars="200"/>
        <w:rPr>
          <w:rFonts w:ascii="仿宋" w:hAnsi="仿宋" w:eastAsia="仿宋"/>
          <w:sz w:val="32"/>
          <w:szCs w:val="32"/>
        </w:rPr>
      </w:pPr>
      <w:r>
        <w:rPr>
          <w:rFonts w:hint="eastAsia" w:ascii="仿宋" w:hAnsi="仿宋" w:eastAsia="仿宋"/>
          <w:sz w:val="32"/>
          <w:szCs w:val="32"/>
        </w:rPr>
        <w:t>2、加强对政府系统政务新媒体管理监控。落实《国务院办公厅关于推进政务新煤体健康有序发展的意见》（国办发〔2018〕123号），加强对政府系统政务新媒体管理、监督，规范运</w:t>
      </w:r>
      <w:r>
        <w:rPr>
          <w:rFonts w:hint="eastAsia" w:ascii="仿宋" w:hAnsi="仿宋" w:eastAsia="仿宋"/>
          <w:sz w:val="32"/>
          <w:szCs w:val="32"/>
          <w:lang w:eastAsia="zh-CN"/>
        </w:rPr>
        <w:t>营</w:t>
      </w:r>
      <w:r>
        <w:rPr>
          <w:rFonts w:hint="eastAsia" w:ascii="仿宋" w:hAnsi="仿宋" w:eastAsia="仿宋"/>
          <w:sz w:val="32"/>
          <w:szCs w:val="32"/>
        </w:rPr>
        <w:t>管理，加强政府网站和政府系统政务新媒体的衔接，坚持数据同源、信息同步，形成政务公开的平合矩阵，不断提高政府信息的公开实效。</w:t>
      </w:r>
    </w:p>
    <w:p>
      <w:pPr>
        <w:ind w:firstLine="482" w:firstLineChars="150"/>
        <w:jc w:val="left"/>
        <w:rPr>
          <w:rFonts w:hint="eastAsia" w:cs="黑体" w:asciiTheme="majorEastAsia" w:hAnsiTheme="majorEastAsia" w:eastAsiaTheme="majorEastAsia"/>
          <w:b/>
          <w:sz w:val="32"/>
          <w:szCs w:val="32"/>
        </w:rPr>
      </w:pPr>
      <w:r>
        <w:rPr>
          <w:rFonts w:hint="eastAsia" w:cs="黑体" w:asciiTheme="majorEastAsia" w:hAnsiTheme="majorEastAsia" w:eastAsiaTheme="majorEastAsia"/>
          <w:b/>
          <w:sz w:val="32"/>
          <w:szCs w:val="32"/>
        </w:rPr>
        <w:t>（五）监督保障机制</w:t>
      </w:r>
    </w:p>
    <w:p>
      <w:pPr>
        <w:ind w:firstLine="640" w:firstLineChars="200"/>
        <w:jc w:val="left"/>
        <w:rPr>
          <w:rFonts w:hint="eastAsia" w:cs="黑体" w:asciiTheme="majorEastAsia" w:hAnsiTheme="majorEastAsia" w:eastAsiaTheme="majorEastAsia"/>
          <w:b/>
          <w:sz w:val="32"/>
          <w:szCs w:val="32"/>
        </w:rPr>
      </w:pPr>
      <w:r>
        <w:rPr>
          <w:rFonts w:hint="eastAsia" w:ascii="仿宋" w:hAnsi="仿宋" w:eastAsia="仿宋"/>
          <w:sz w:val="32"/>
          <w:szCs w:val="32"/>
        </w:rPr>
        <w:t>1、完善条例配套制度。印发了</w:t>
      </w:r>
      <w:r>
        <w:rPr>
          <w:rFonts w:ascii="仿宋" w:hAnsi="仿宋" w:eastAsia="仿宋" w:cs="Times New Roman"/>
          <w:sz w:val="32"/>
          <w:szCs w:val="32"/>
        </w:rPr>
        <w:t>《保德县全面推进基层政务公开标准化规范化工作方案》</w:t>
      </w:r>
      <w:r>
        <w:rPr>
          <w:rFonts w:hint="eastAsia" w:ascii="仿宋" w:hAnsi="仿宋" w:eastAsia="仿宋" w:cs="Times New Roman"/>
          <w:sz w:val="32"/>
          <w:szCs w:val="32"/>
        </w:rPr>
        <w:t>（保政办发〔2020〕74号），切实</w:t>
      </w:r>
      <w:r>
        <w:rPr>
          <w:rFonts w:hint="eastAsia" w:ascii="仿宋" w:hAnsi="仿宋" w:eastAsia="仿宋"/>
          <w:sz w:val="32"/>
          <w:szCs w:val="32"/>
        </w:rPr>
        <w:t>推进依申请公开标准化规范化建设，严格依法依规办理申请，进一步建立健全登记、审核、办理、答复、归档等工作制度。完善申请办理会商机制，围绕疑难申请事项，加强部门协作研究，防范法律风险。严格执行政府信息公开年报编制新要求，确保内容完整准确、表述严谨规范、格式统一美观。及时更新政府信息公开专栏、指南和目录，确保法定要素齐全。推动依申请公开向主动公开转化，提升依申请公开工作服务作用。</w:t>
      </w:r>
    </w:p>
    <w:p>
      <w:pPr>
        <w:ind w:firstLine="640" w:firstLineChars="200"/>
        <w:jc w:val="left"/>
        <w:rPr>
          <w:rFonts w:hint="eastAsia" w:cs="黑体" w:asciiTheme="majorEastAsia" w:hAnsiTheme="majorEastAsia" w:eastAsiaTheme="majorEastAsia"/>
          <w:b/>
          <w:sz w:val="32"/>
          <w:szCs w:val="32"/>
        </w:rPr>
      </w:pPr>
      <w:r>
        <w:rPr>
          <w:rFonts w:hint="eastAsia" w:ascii="仿宋" w:hAnsi="仿宋" w:eastAsia="仿宋"/>
          <w:sz w:val="32"/>
          <w:szCs w:val="32"/>
        </w:rPr>
        <w:t>2、强化组织领导。</w:t>
      </w:r>
      <w:r>
        <w:rPr>
          <w:rFonts w:hint="eastAsia" w:ascii="仿宋" w:hAnsi="仿宋" w:eastAsia="仿宋"/>
          <w:sz w:val="32"/>
          <w:szCs w:val="32"/>
          <w:lang w:eastAsia="zh-CN"/>
        </w:rPr>
        <w:t>因工作变动</w:t>
      </w:r>
      <w:r>
        <w:rPr>
          <w:rFonts w:hint="eastAsia" w:ascii="仿宋" w:hAnsi="仿宋" w:eastAsia="仿宋"/>
          <w:sz w:val="32"/>
          <w:szCs w:val="32"/>
        </w:rPr>
        <w:t>及时</w:t>
      </w:r>
      <w:r>
        <w:rPr>
          <w:rFonts w:hint="eastAsia" w:ascii="仿宋" w:hAnsi="仿宋" w:eastAsia="仿宋"/>
          <w:sz w:val="32"/>
          <w:szCs w:val="32"/>
          <w:lang w:eastAsia="zh-CN"/>
        </w:rPr>
        <w:t>调整了政务公开领导组，印发了</w:t>
      </w:r>
      <w:r>
        <w:rPr>
          <w:rFonts w:hint="eastAsia" w:ascii="仿宋" w:hAnsi="仿宋" w:eastAsia="仿宋"/>
          <w:sz w:val="32"/>
          <w:szCs w:val="32"/>
        </w:rPr>
        <w:t>《保德县人民政府办公室关于调整县政务公开工作领导小组成员的通知》</w:t>
      </w:r>
      <w:r>
        <w:rPr>
          <w:rFonts w:hint="eastAsia" w:ascii="仿宋" w:hAnsi="仿宋" w:eastAsia="仿宋" w:cs="Times New Roman"/>
          <w:sz w:val="32"/>
          <w:szCs w:val="32"/>
        </w:rPr>
        <w:t>（保政办函〔2020〕59号），调整</w:t>
      </w:r>
      <w:r>
        <w:rPr>
          <w:rFonts w:hint="eastAsia" w:ascii="仿宋" w:hAnsi="仿宋" w:eastAsia="仿宋"/>
          <w:sz w:val="32"/>
          <w:szCs w:val="32"/>
        </w:rPr>
        <w:t>加强对政务公开工作的组织领导，明确工作机构和人员，确保政务公开工作有机构承担、有人员负责;政务公开工作主管部门严格履行法定职责，强化调度监管，推进指导、协调、监督本级政务公开工作;政务公开工作机构切实承担责任，加强统筹协调，推进各项工作落实落细。</w:t>
      </w:r>
    </w:p>
    <w:p>
      <w:pPr>
        <w:ind w:firstLine="640" w:firstLineChars="200"/>
        <w:jc w:val="left"/>
        <w:rPr>
          <w:rFonts w:hint="eastAsia" w:ascii="仿宋" w:hAnsi="仿宋" w:eastAsia="仿宋"/>
          <w:sz w:val="32"/>
          <w:szCs w:val="32"/>
        </w:rPr>
      </w:pPr>
      <w:r>
        <w:rPr>
          <w:rFonts w:hint="eastAsia" w:ascii="仿宋" w:hAnsi="仿宋" w:eastAsia="仿宋"/>
          <w:sz w:val="32"/>
          <w:szCs w:val="32"/>
        </w:rPr>
        <w:t>3、加强培训考核监督。细化工作任务，结合</w:t>
      </w:r>
      <w:r>
        <w:rPr>
          <w:rFonts w:hint="eastAsia" w:ascii="仿宋" w:hAnsi="仿宋" w:eastAsia="仿宋"/>
          <w:sz w:val="32"/>
          <w:szCs w:val="32"/>
          <w:lang w:eastAsia="zh-CN"/>
        </w:rPr>
        <w:t>具体工作</w:t>
      </w:r>
      <w:r>
        <w:rPr>
          <w:rFonts w:hint="eastAsia" w:ascii="仿宋" w:hAnsi="仿宋" w:eastAsia="仿宋"/>
          <w:sz w:val="32"/>
          <w:szCs w:val="32"/>
        </w:rPr>
        <w:t>实际提出具体</w:t>
      </w:r>
      <w:r>
        <w:rPr>
          <w:rFonts w:hint="eastAsia" w:ascii="仿宋" w:hAnsi="仿宋" w:eastAsia="仿宋"/>
          <w:sz w:val="32"/>
          <w:szCs w:val="32"/>
          <w:lang w:eastAsia="zh-CN"/>
        </w:rPr>
        <w:t>考核办法</w:t>
      </w:r>
      <w:r>
        <w:rPr>
          <w:rFonts w:hint="eastAsia" w:ascii="仿宋" w:hAnsi="仿宋" w:eastAsia="仿宋"/>
          <w:sz w:val="32"/>
          <w:szCs w:val="32"/>
        </w:rPr>
        <w:t>。</w:t>
      </w:r>
      <w:r>
        <w:rPr>
          <w:rFonts w:hint="eastAsia" w:ascii="仿宋" w:hAnsi="仿宋" w:eastAsia="仿宋"/>
          <w:sz w:val="32"/>
          <w:szCs w:val="32"/>
          <w:lang w:eastAsia="zh-CN"/>
        </w:rPr>
        <w:t>加大</w:t>
      </w:r>
      <w:r>
        <w:rPr>
          <w:rFonts w:hint="eastAsia" w:ascii="仿宋" w:hAnsi="仿宋" w:eastAsia="仿宋"/>
          <w:sz w:val="32"/>
          <w:szCs w:val="32"/>
        </w:rPr>
        <w:t>教育培训</w:t>
      </w:r>
      <w:r>
        <w:rPr>
          <w:rFonts w:hint="eastAsia" w:ascii="仿宋" w:hAnsi="仿宋" w:eastAsia="仿宋"/>
          <w:sz w:val="32"/>
          <w:szCs w:val="32"/>
          <w:lang w:eastAsia="zh-CN"/>
        </w:rPr>
        <w:t>力度</w:t>
      </w:r>
      <w:r>
        <w:rPr>
          <w:rFonts w:hint="eastAsia" w:ascii="仿宋" w:hAnsi="仿宋" w:eastAsia="仿宋"/>
          <w:sz w:val="32"/>
          <w:szCs w:val="32"/>
        </w:rPr>
        <w:t>，重点做好贯彻落实《政府信息公开条例》、主动公开、依申请公开、解读回应、政府网站及政务新媒体管理等业务培训。加强监督考核，将政务公开工作纳入绩效考核体系。</w:t>
      </w:r>
    </w:p>
    <w:p>
      <w:pPr>
        <w:ind w:firstLine="482" w:firstLineChars="150"/>
        <w:jc w:val="left"/>
        <w:rPr>
          <w:rFonts w:cs="黑体" w:asciiTheme="majorEastAsia" w:hAnsiTheme="majorEastAsia" w:eastAsiaTheme="majorEastAsia"/>
          <w:b/>
          <w:sz w:val="32"/>
          <w:szCs w:val="32"/>
        </w:rPr>
      </w:pPr>
      <w:r>
        <w:rPr>
          <w:rFonts w:hint="eastAsia" w:ascii="仿宋" w:hAnsi="仿宋" w:eastAsia="仿宋" w:cs="Arial"/>
          <w:b/>
          <w:bCs/>
          <w:color w:val="333333"/>
          <w:kern w:val="0"/>
          <w:sz w:val="32"/>
          <w:szCs w:val="32"/>
        </w:rPr>
        <w:t>二、主动公开政府信息情况</w:t>
      </w:r>
    </w:p>
    <w:p>
      <w:pPr>
        <w:widowControl/>
        <w:shd w:val="clear" w:color="auto" w:fill="FFFFFF"/>
        <w:spacing w:line="450" w:lineRule="atLeast"/>
        <w:ind w:firstLine="851" w:firstLineChars="265"/>
        <w:jc w:val="left"/>
        <w:rPr>
          <w:rFonts w:ascii="仿宋" w:hAnsi="仿宋" w:eastAsia="仿宋" w:cs="Arial"/>
          <w:b/>
          <w:bCs/>
          <w:color w:val="333333"/>
          <w:kern w:val="0"/>
          <w:sz w:val="32"/>
          <w:szCs w:val="32"/>
        </w:rPr>
      </w:pPr>
    </w:p>
    <w:tbl>
      <w:tblPr>
        <w:tblStyle w:val="5"/>
        <w:tblW w:w="8140" w:type="dxa"/>
        <w:jc w:val="center"/>
        <w:tblLayout w:type="fixed"/>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信息内容</w:t>
            </w:r>
          </w:p>
        </w:tc>
        <w:tc>
          <w:tcPr>
            <w:tcW w:w="18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本年新制作数量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本年新公开数量</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规章</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12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规范性文件</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hint="default" w:ascii="微软雅黑" w:hAnsi="微软雅黑" w:eastAsia="微软雅黑" w:cs="宋体"/>
                <w:color w:val="333333"/>
                <w:kern w:val="0"/>
                <w:sz w:val="18"/>
                <w:szCs w:val="18"/>
                <w:lang w:val="en-US" w:eastAsia="zh-CN"/>
              </w:rPr>
            </w:pPr>
            <w:r>
              <w:rPr>
                <w:rFonts w:hint="eastAsia" w:ascii="微软雅黑" w:hAnsi="微软雅黑" w:eastAsia="微软雅黑" w:cs="宋体"/>
                <w:color w:val="333333"/>
                <w:kern w:val="0"/>
                <w:sz w:val="18"/>
                <w:szCs w:val="18"/>
                <w:lang w:val="en-US" w:eastAsia="zh-CN"/>
              </w:rPr>
              <w:t>6</w:t>
            </w:r>
          </w:p>
        </w:tc>
        <w:tc>
          <w:tcPr>
            <w:tcW w:w="12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hint="default" w:ascii="微软雅黑" w:hAnsi="微软雅黑" w:eastAsia="微软雅黑" w:cs="宋体"/>
                <w:color w:val="333333"/>
                <w:kern w:val="0"/>
                <w:sz w:val="18"/>
                <w:szCs w:val="18"/>
                <w:lang w:val="en-US" w:eastAsia="zh-CN"/>
              </w:rPr>
            </w:pPr>
            <w:r>
              <w:rPr>
                <w:rFonts w:hint="eastAsia" w:ascii="微软雅黑" w:hAnsi="微软雅黑" w:eastAsia="微软雅黑" w:cs="宋体"/>
                <w:color w:val="333333"/>
                <w:kern w:val="0"/>
                <w:sz w:val="18"/>
                <w:szCs w:val="18"/>
                <w:lang w:val="en-US" w:eastAsia="zh-CN"/>
              </w:rPr>
              <w:t>6</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hint="eastAsia" w:ascii="微软雅黑" w:hAnsi="微软雅黑" w:eastAsia="微软雅黑" w:cs="宋体"/>
                <w:color w:val="333333"/>
                <w:kern w:val="0"/>
                <w:sz w:val="18"/>
                <w:szCs w:val="18"/>
                <w:lang w:eastAsia="zh-CN"/>
              </w:rPr>
            </w:pPr>
            <w:r>
              <w:rPr>
                <w:rFonts w:hint="eastAsia" w:ascii="微软雅黑" w:hAnsi="微软雅黑" w:eastAsia="微软雅黑" w:cs="宋体"/>
                <w:color w:val="333333"/>
                <w:kern w:val="0"/>
                <w:sz w:val="18"/>
                <w:szCs w:val="18"/>
                <w:lang w:val="en-US" w:eastAsia="zh-CN"/>
              </w:rPr>
              <w:t>6</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信息内容</w:t>
            </w:r>
          </w:p>
        </w:tc>
        <w:tc>
          <w:tcPr>
            <w:tcW w:w="18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本年增/减</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行政许可</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hint="default" w:ascii="微软雅黑" w:hAnsi="微软雅黑" w:eastAsia="微软雅黑" w:cs="宋体"/>
                <w:color w:val="333333"/>
                <w:kern w:val="0"/>
                <w:sz w:val="18"/>
                <w:szCs w:val="18"/>
                <w:lang w:val="en-US" w:eastAsia="zh-CN"/>
              </w:rPr>
            </w:pPr>
            <w:r>
              <w:rPr>
                <w:rFonts w:hint="eastAsia" w:ascii="微软雅黑" w:hAnsi="微软雅黑" w:eastAsia="微软雅黑" w:cs="宋体"/>
                <w:color w:val="333333"/>
                <w:kern w:val="0"/>
                <w:sz w:val="18"/>
                <w:szCs w:val="18"/>
                <w:lang w:val="en-US" w:eastAsia="zh-CN"/>
              </w:rPr>
              <w:t>0</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hint="default" w:ascii="微软雅黑" w:hAnsi="微软雅黑" w:eastAsia="微软雅黑" w:cs="宋体"/>
                <w:color w:val="333333"/>
                <w:kern w:val="0"/>
                <w:sz w:val="18"/>
                <w:szCs w:val="18"/>
                <w:lang w:val="en-US" w:eastAsia="zh-CN"/>
              </w:rPr>
            </w:pPr>
            <w:r>
              <w:rPr>
                <w:rFonts w:hint="eastAsia" w:ascii="微软雅黑" w:hAnsi="微软雅黑" w:eastAsia="微软雅黑" w:cs="宋体"/>
                <w:color w:val="333333"/>
                <w:kern w:val="0"/>
                <w:sz w:val="18"/>
                <w:szCs w:val="18"/>
                <w:lang w:val="en-US" w:eastAsia="zh-CN"/>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hint="default" w:ascii="微软雅黑" w:hAnsi="微软雅黑" w:eastAsia="微软雅黑" w:cs="宋体"/>
                <w:color w:val="333333"/>
                <w:kern w:val="0"/>
                <w:sz w:val="18"/>
                <w:szCs w:val="18"/>
                <w:lang w:val="en-US" w:eastAsia="zh-CN"/>
              </w:rPr>
            </w:pPr>
            <w:r>
              <w:rPr>
                <w:rFonts w:hint="eastAsia" w:ascii="微软雅黑" w:hAnsi="微软雅黑" w:eastAsia="微软雅黑" w:cs="宋体"/>
                <w:color w:val="333333"/>
                <w:kern w:val="0"/>
                <w:sz w:val="18"/>
                <w:szCs w:val="18"/>
                <w:lang w:val="en-US" w:eastAsia="zh-CN"/>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其他对外管理服务事项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hint="default" w:ascii="微软雅黑" w:hAnsi="微软雅黑" w:eastAsia="微软雅黑" w:cs="宋体"/>
                <w:color w:val="333333"/>
                <w:kern w:val="0"/>
                <w:sz w:val="18"/>
                <w:szCs w:val="18"/>
                <w:lang w:val="en-US" w:eastAsia="zh-CN"/>
              </w:rPr>
            </w:pPr>
            <w:r>
              <w:rPr>
                <w:rFonts w:hint="eastAsia" w:ascii="微软雅黑" w:hAnsi="微软雅黑" w:eastAsia="微软雅黑" w:cs="宋体"/>
                <w:color w:val="333333"/>
                <w:kern w:val="0"/>
                <w:sz w:val="18"/>
                <w:szCs w:val="18"/>
                <w:lang w:val="en-US" w:eastAsia="zh-CN"/>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hint="default" w:ascii="微软雅黑" w:hAnsi="微软雅黑" w:eastAsia="微软雅黑" w:cs="宋体"/>
                <w:color w:val="333333"/>
                <w:kern w:val="0"/>
                <w:sz w:val="18"/>
                <w:szCs w:val="18"/>
                <w:lang w:val="en-US" w:eastAsia="zh-CN"/>
              </w:rPr>
            </w:pPr>
            <w:r>
              <w:rPr>
                <w:rFonts w:hint="eastAsia" w:ascii="微软雅黑" w:hAnsi="微软雅黑" w:eastAsia="微软雅黑" w:cs="宋体"/>
                <w:color w:val="333333"/>
                <w:kern w:val="0"/>
                <w:sz w:val="18"/>
                <w:szCs w:val="18"/>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信息内容</w:t>
            </w:r>
          </w:p>
        </w:tc>
        <w:tc>
          <w:tcPr>
            <w:tcW w:w="18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本年增/减</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行政处罚</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hint="default" w:ascii="微软雅黑" w:hAnsi="微软雅黑" w:eastAsia="微软雅黑" w:cs="宋体"/>
                <w:color w:val="333333"/>
                <w:kern w:val="0"/>
                <w:sz w:val="18"/>
                <w:szCs w:val="18"/>
                <w:lang w:val="en-US" w:eastAsia="zh-CN"/>
              </w:rPr>
            </w:pPr>
            <w:r>
              <w:rPr>
                <w:rFonts w:hint="eastAsia" w:ascii="微软雅黑" w:hAnsi="微软雅黑" w:eastAsia="微软雅黑" w:cs="宋体"/>
                <w:color w:val="333333"/>
                <w:kern w:val="0"/>
                <w:sz w:val="18"/>
                <w:szCs w:val="18"/>
                <w:lang w:val="en-US" w:eastAsia="zh-CN"/>
              </w:rPr>
              <w:t>0</w:t>
            </w:r>
            <w:bookmarkStart w:id="0" w:name="_GoBack"/>
            <w:bookmarkEnd w:id="0"/>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hint="default" w:ascii="微软雅黑" w:hAnsi="微软雅黑" w:eastAsia="微软雅黑" w:cs="宋体"/>
                <w:color w:val="333333"/>
                <w:kern w:val="0"/>
                <w:sz w:val="18"/>
                <w:szCs w:val="18"/>
                <w:lang w:val="en-US" w:eastAsia="zh-CN"/>
              </w:rPr>
            </w:pPr>
            <w:r>
              <w:rPr>
                <w:rFonts w:hint="eastAsia" w:ascii="微软雅黑" w:hAnsi="微软雅黑" w:eastAsia="微软雅黑" w:cs="宋体"/>
                <w:color w:val="333333"/>
                <w:kern w:val="0"/>
                <w:sz w:val="18"/>
                <w:szCs w:val="18"/>
                <w:lang w:val="en-US" w:eastAsia="zh-CN"/>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行政强制</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信息内容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行政事业性收费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hint="default" w:ascii="微软雅黑" w:hAnsi="微软雅黑" w:eastAsia="微软雅黑" w:cs="宋体"/>
                <w:color w:val="333333"/>
                <w:kern w:val="0"/>
                <w:sz w:val="18"/>
                <w:szCs w:val="18"/>
                <w:lang w:val="en-US" w:eastAsia="zh-CN"/>
              </w:rPr>
            </w:pPr>
            <w:r>
              <w:rPr>
                <w:rFonts w:hint="eastAsia" w:ascii="微软雅黑" w:hAnsi="微软雅黑" w:eastAsia="微软雅黑" w:cs="宋体"/>
                <w:color w:val="333333"/>
                <w:kern w:val="0"/>
                <w:sz w:val="18"/>
                <w:szCs w:val="18"/>
                <w:lang w:val="en-US" w:eastAsia="zh-CN"/>
              </w:rPr>
              <w:t>10</w:t>
            </w:r>
          </w:p>
        </w:tc>
        <w:tc>
          <w:tcPr>
            <w:tcW w:w="3146" w:type="dxa"/>
            <w:gridSpan w:val="2"/>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4" w:space="0"/>
              <w:right w:val="single" w:color="auto" w:sz="8" w:space="0"/>
            </w:tcBorders>
            <w:shd w:val="clear" w:color="auto" w:fill="C6D9F1"/>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信息内容</w:t>
            </w:r>
          </w:p>
        </w:tc>
        <w:tc>
          <w:tcPr>
            <w:tcW w:w="1881" w:type="dxa"/>
            <w:gridSpan w:val="2"/>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采购项目数量</w:t>
            </w:r>
          </w:p>
        </w:tc>
        <w:tc>
          <w:tcPr>
            <w:tcW w:w="3146" w:type="dxa"/>
            <w:gridSpan w:val="2"/>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采购总金额</w:t>
            </w:r>
          </w:p>
        </w:tc>
      </w:tr>
      <w:tr>
        <w:tblPrEx>
          <w:tblCellMar>
            <w:top w:w="0" w:type="dxa"/>
            <w:left w:w="0" w:type="dxa"/>
            <w:bottom w:w="0" w:type="dxa"/>
            <w:right w:w="0" w:type="dxa"/>
          </w:tblCellMar>
        </w:tblPrEx>
        <w:trPr>
          <w:trHeight w:val="539" w:hRule="atLeast"/>
          <w:jc w:val="center"/>
        </w:trPr>
        <w:tc>
          <w:tcPr>
            <w:tcW w:w="311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政府集中采购</w:t>
            </w:r>
          </w:p>
        </w:tc>
        <w:tc>
          <w:tcPr>
            <w:tcW w:w="1881" w:type="dxa"/>
            <w:gridSpan w:val="2"/>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firstLine="0" w:firstLineChars="0"/>
              <w:jc w:val="left"/>
              <w:rPr>
                <w:rFonts w:hint="default" w:ascii="微软雅黑" w:hAnsi="微软雅黑" w:eastAsia="微软雅黑" w:cs="宋体"/>
                <w:color w:val="333333"/>
                <w:kern w:val="0"/>
                <w:sz w:val="18"/>
                <w:szCs w:val="18"/>
                <w:lang w:val="en-US" w:eastAsia="zh-CN"/>
              </w:rPr>
            </w:pPr>
            <w:r>
              <w:rPr>
                <w:rFonts w:hint="eastAsia" w:ascii="微软雅黑" w:hAnsi="微软雅黑" w:eastAsia="微软雅黑" w:cs="宋体"/>
                <w:color w:val="333333"/>
                <w:kern w:val="0"/>
                <w:sz w:val="18"/>
                <w:szCs w:val="18"/>
                <w:lang w:val="en-US" w:eastAsia="zh-CN"/>
              </w:rPr>
              <w:t>10</w:t>
            </w:r>
          </w:p>
        </w:tc>
        <w:tc>
          <w:tcPr>
            <w:tcW w:w="3146" w:type="dxa"/>
            <w:gridSpan w:val="2"/>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lang w:val="en-US" w:eastAsia="zh-CN"/>
              </w:rPr>
              <w:t>1914.87</w:t>
            </w:r>
            <w:r>
              <w:rPr>
                <w:rFonts w:hint="eastAsia" w:ascii="微软雅黑" w:hAnsi="微软雅黑" w:eastAsia="微软雅黑" w:cs="宋体"/>
                <w:color w:val="333333"/>
                <w:kern w:val="0"/>
                <w:sz w:val="18"/>
                <w:szCs w:val="18"/>
              </w:rPr>
              <w:t>万元</w:t>
            </w:r>
          </w:p>
        </w:tc>
      </w:tr>
    </w:tbl>
    <w:p>
      <w:pPr>
        <w:widowControl/>
        <w:shd w:val="clear" w:color="auto" w:fill="FFFFFF"/>
        <w:spacing w:line="450" w:lineRule="atLeast"/>
        <w:ind w:firstLine="691" w:firstLineChars="215"/>
        <w:jc w:val="left"/>
        <w:rPr>
          <w:rFonts w:cs="黑体" w:asciiTheme="majorEastAsia" w:hAnsiTheme="majorEastAsia" w:eastAsiaTheme="majorEastAsia"/>
          <w:b/>
          <w:sz w:val="32"/>
          <w:szCs w:val="32"/>
        </w:rPr>
      </w:pPr>
    </w:p>
    <w:p>
      <w:pPr>
        <w:widowControl/>
        <w:shd w:val="clear" w:color="auto" w:fill="FFFFFF"/>
        <w:spacing w:line="450" w:lineRule="atLeast"/>
        <w:ind w:firstLine="691" w:firstLineChars="215"/>
        <w:jc w:val="left"/>
        <w:rPr>
          <w:rFonts w:cs="黑体" w:asciiTheme="majorEastAsia" w:hAnsiTheme="majorEastAsia" w:eastAsiaTheme="majorEastAsia"/>
          <w:b/>
          <w:sz w:val="32"/>
          <w:szCs w:val="32"/>
        </w:rPr>
      </w:pPr>
      <w:r>
        <w:rPr>
          <w:rFonts w:hint="eastAsia" w:cs="黑体" w:asciiTheme="majorEastAsia" w:hAnsiTheme="majorEastAsia" w:eastAsiaTheme="majorEastAsia"/>
          <w:b/>
          <w:sz w:val="32"/>
          <w:szCs w:val="32"/>
        </w:rPr>
        <w:t>三、收到和处理政府信息公开申请情况</w:t>
      </w:r>
    </w:p>
    <w:p>
      <w:pPr>
        <w:widowControl/>
        <w:shd w:val="clear" w:color="auto" w:fill="FFFFFF"/>
        <w:spacing w:line="450" w:lineRule="atLeast"/>
        <w:ind w:firstLine="691" w:firstLineChars="215"/>
        <w:jc w:val="left"/>
        <w:rPr>
          <w:rFonts w:cs="黑体" w:asciiTheme="majorEastAsia" w:hAnsiTheme="majorEastAsia" w:eastAsiaTheme="majorEastAsia"/>
          <w:b/>
          <w:sz w:val="32"/>
          <w:szCs w:val="32"/>
        </w:rPr>
      </w:pPr>
    </w:p>
    <w:tbl>
      <w:tblPr>
        <w:tblStyle w:val="5"/>
        <w:tblW w:w="9071" w:type="dxa"/>
        <w:jc w:val="center"/>
        <w:tblLayout w:type="fixed"/>
        <w:tblCellMar>
          <w:top w:w="0" w:type="dxa"/>
          <w:left w:w="0" w:type="dxa"/>
          <w:bottom w:w="0" w:type="dxa"/>
          <w:right w:w="0" w:type="dxa"/>
        </w:tblCellMar>
      </w:tblPr>
      <w:tblGrid>
        <w:gridCol w:w="618"/>
        <w:gridCol w:w="816"/>
        <w:gridCol w:w="2352"/>
        <w:gridCol w:w="709"/>
        <w:gridCol w:w="736"/>
        <w:gridCol w:w="736"/>
        <w:gridCol w:w="791"/>
        <w:gridCol w:w="941"/>
        <w:gridCol w:w="694"/>
        <w:gridCol w:w="678"/>
      </w:tblGrid>
      <w:tr>
        <w:tblPrEx>
          <w:tblCellMar>
            <w:top w:w="0" w:type="dxa"/>
            <w:left w:w="0" w:type="dxa"/>
            <w:bottom w:w="0" w:type="dxa"/>
            <w:right w:w="0" w:type="dxa"/>
          </w:tblCellMar>
        </w:tblPrEx>
        <w:trPr>
          <w:jc w:val="center"/>
        </w:trPr>
        <w:tc>
          <w:tcPr>
            <w:tcW w:w="3786"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（本列数据的勾稽关系为：第一项加第二项之和，等于第三项加第四项之和）</w:t>
            </w:r>
          </w:p>
        </w:tc>
        <w:tc>
          <w:tcPr>
            <w:tcW w:w="5285"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申请人情况</w:t>
            </w:r>
          </w:p>
        </w:tc>
      </w:tr>
      <w:tr>
        <w:tblPrEx>
          <w:tblCellMar>
            <w:top w:w="0" w:type="dxa"/>
            <w:left w:w="0" w:type="dxa"/>
            <w:bottom w:w="0" w:type="dxa"/>
            <w:right w:w="0" w:type="dxa"/>
          </w:tblCellMar>
        </w:tblPrEx>
        <w:trPr>
          <w:jc w:val="center"/>
        </w:trPr>
        <w:tc>
          <w:tcPr>
            <w:tcW w:w="9306"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70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自然人</w:t>
            </w:r>
          </w:p>
        </w:tc>
        <w:tc>
          <w:tcPr>
            <w:tcW w:w="389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法人或其他组织</w:t>
            </w:r>
          </w:p>
        </w:tc>
        <w:tc>
          <w:tcPr>
            <w:tcW w:w="67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总计</w:t>
            </w:r>
          </w:p>
        </w:tc>
      </w:tr>
      <w:tr>
        <w:tblPrEx>
          <w:tblCellMar>
            <w:top w:w="0" w:type="dxa"/>
            <w:left w:w="0" w:type="dxa"/>
            <w:bottom w:w="0" w:type="dxa"/>
            <w:right w:w="0" w:type="dxa"/>
          </w:tblCellMar>
        </w:tblPrEx>
        <w:trPr>
          <w:jc w:val="center"/>
        </w:trPr>
        <w:tc>
          <w:tcPr>
            <w:tcW w:w="9306"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5285" w:type="dxa"/>
            <w:vMerge w:val="continue"/>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商业企业</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科研机构</w:t>
            </w:r>
          </w:p>
        </w:tc>
        <w:tc>
          <w:tcPr>
            <w:tcW w:w="79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社会公益组织</w:t>
            </w:r>
          </w:p>
        </w:tc>
        <w:tc>
          <w:tcPr>
            <w:tcW w:w="9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法律服务机构</w:t>
            </w:r>
          </w:p>
        </w:tc>
        <w:tc>
          <w:tcPr>
            <w:tcW w:w="6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其他</w:t>
            </w:r>
          </w:p>
        </w:tc>
        <w:tc>
          <w:tcPr>
            <w:tcW w:w="678" w:type="dxa"/>
            <w:vMerge w:val="continue"/>
            <w:tcBorders>
              <w:top w:val="single" w:color="auto" w:sz="8" w:space="0"/>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r>
      <w:tr>
        <w:tblPrEx>
          <w:tblCellMar>
            <w:top w:w="0" w:type="dxa"/>
            <w:left w:w="0" w:type="dxa"/>
            <w:bottom w:w="0" w:type="dxa"/>
            <w:right w:w="0" w:type="dxa"/>
          </w:tblCellMar>
        </w:tblPrEx>
        <w:trPr>
          <w:jc w:val="center"/>
        </w:trPr>
        <w:tc>
          <w:tcPr>
            <w:tcW w:w="378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一、本年新收政府信息公开申请数量</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hint="eastAsia" w:ascii="微软雅黑" w:hAnsi="微软雅黑" w:eastAsia="微软雅黑" w:cs="Helvetica"/>
                <w:color w:val="333333"/>
                <w:kern w:val="0"/>
                <w:sz w:val="18"/>
                <w:szCs w:val="18"/>
                <w:lang w:eastAsia="zh-CN"/>
              </w:rPr>
            </w:pPr>
            <w:r>
              <w:rPr>
                <w:rFonts w:hint="eastAsia" w:ascii="微软雅黑" w:hAnsi="微软雅黑" w:eastAsia="微软雅黑" w:cs="Helvetica"/>
                <w:color w:val="333333"/>
                <w:kern w:val="0"/>
                <w:sz w:val="18"/>
                <w:szCs w:val="18"/>
                <w:lang w:val="en-US" w:eastAsia="zh-CN"/>
              </w:rPr>
              <w:t>2</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hint="eastAsia" w:ascii="微软雅黑" w:hAnsi="微软雅黑" w:eastAsia="微软雅黑" w:cs="Helvetica"/>
                <w:color w:val="333333"/>
                <w:kern w:val="0"/>
                <w:sz w:val="18"/>
                <w:szCs w:val="18"/>
                <w:lang w:eastAsia="zh-CN"/>
              </w:rPr>
            </w:pPr>
            <w:r>
              <w:rPr>
                <w:rFonts w:hint="eastAsia" w:ascii="微软雅黑" w:hAnsi="微软雅黑" w:eastAsia="微软雅黑" w:cs="Helvetica"/>
                <w:color w:val="333333"/>
                <w:kern w:val="0"/>
                <w:sz w:val="18"/>
                <w:szCs w:val="18"/>
                <w:lang w:val="en-US" w:eastAsia="zh-CN"/>
              </w:rPr>
              <w:t>2</w:t>
            </w:r>
          </w:p>
        </w:tc>
      </w:tr>
      <w:tr>
        <w:tblPrEx>
          <w:tblCellMar>
            <w:top w:w="0" w:type="dxa"/>
            <w:left w:w="0" w:type="dxa"/>
            <w:bottom w:w="0" w:type="dxa"/>
            <w:right w:w="0" w:type="dxa"/>
          </w:tblCellMar>
        </w:tblPrEx>
        <w:trPr>
          <w:jc w:val="center"/>
        </w:trPr>
        <w:tc>
          <w:tcPr>
            <w:tcW w:w="378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二、上年结转政府信息公开申请数量</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r>
      <w:tr>
        <w:tblPrEx>
          <w:tblCellMar>
            <w:top w:w="0" w:type="dxa"/>
            <w:left w:w="0" w:type="dxa"/>
            <w:bottom w:w="0" w:type="dxa"/>
            <w:right w:w="0" w:type="dxa"/>
          </w:tblCellMar>
        </w:tblPrEx>
        <w:trPr>
          <w:jc w:val="center"/>
        </w:trPr>
        <w:tc>
          <w:tcPr>
            <w:tcW w:w="61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三、本年度办理结果</w:t>
            </w:r>
          </w:p>
        </w:tc>
        <w:tc>
          <w:tcPr>
            <w:tcW w:w="316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（一）予以公开</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7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316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（二）部分公开（区分处理的，只计这一情形，不计其他情形）</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81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（三）不予公开</w:t>
            </w:r>
          </w:p>
        </w:tc>
        <w:tc>
          <w:tcPr>
            <w:tcW w:w="23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1.属于国家秘密</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7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3168" w:type="dxa"/>
            <w:vMerge w:val="continue"/>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23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2.其他法律行政法规禁止公开</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3168" w:type="dxa"/>
            <w:vMerge w:val="continue"/>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23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3.危及“三安全一稳定”</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3168" w:type="dxa"/>
            <w:vMerge w:val="continue"/>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23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4.保护第三方合法权益</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3168" w:type="dxa"/>
            <w:vMerge w:val="continue"/>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23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5.属于三类内部事务信息</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3168" w:type="dxa"/>
            <w:vMerge w:val="continue"/>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23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6.属于四类过程性信息</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3168" w:type="dxa"/>
            <w:vMerge w:val="continue"/>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23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7.属于行政执法案卷</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3168" w:type="dxa"/>
            <w:vMerge w:val="continue"/>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23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8.属于行政查询事项</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81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（四）无法提供</w:t>
            </w:r>
          </w:p>
        </w:tc>
        <w:tc>
          <w:tcPr>
            <w:tcW w:w="23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1.本机关不掌握相关政府信息</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3168" w:type="dxa"/>
            <w:vMerge w:val="continue"/>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23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2.没有现成信息需要另行制作</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3168" w:type="dxa"/>
            <w:vMerge w:val="continue"/>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23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3.补正后申请内容仍不明确</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81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（五）不予处理</w:t>
            </w:r>
          </w:p>
        </w:tc>
        <w:tc>
          <w:tcPr>
            <w:tcW w:w="23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1.信访举报投诉类申请</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3168" w:type="dxa"/>
            <w:vMerge w:val="continue"/>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23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2.重复申请</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3168" w:type="dxa"/>
            <w:vMerge w:val="continue"/>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23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3.要求提供公开出版物</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3168" w:type="dxa"/>
            <w:vMerge w:val="continue"/>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23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4.无正当理由大量反复申请</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3168" w:type="dxa"/>
            <w:vMerge w:val="continue"/>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23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5.要求行政机关确认或重新出具已获取信息</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316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（六）其他处理</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9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r>
      <w:tr>
        <w:tblPrEx>
          <w:tblCellMar>
            <w:top w:w="0" w:type="dxa"/>
            <w:left w:w="0" w:type="dxa"/>
            <w:bottom w:w="0" w:type="dxa"/>
            <w:right w:w="0" w:type="dxa"/>
          </w:tblCellMar>
        </w:tblPrEx>
        <w:trPr>
          <w:jc w:val="center"/>
        </w:trPr>
        <w:tc>
          <w:tcPr>
            <w:tcW w:w="3786"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Helvetica"/>
                <w:color w:val="333333"/>
                <w:kern w:val="0"/>
                <w:sz w:val="18"/>
                <w:szCs w:val="18"/>
              </w:rPr>
            </w:pPr>
          </w:p>
        </w:tc>
        <w:tc>
          <w:tcPr>
            <w:tcW w:w="3168" w:type="dxa"/>
            <w:gridSpan w:val="2"/>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（七）总计</w:t>
            </w:r>
          </w:p>
        </w:tc>
        <w:tc>
          <w:tcPr>
            <w:tcW w:w="70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hint="eastAsia" w:ascii="微软雅黑" w:hAnsi="微软雅黑" w:eastAsia="微软雅黑" w:cs="Helvetica"/>
                <w:color w:val="333333"/>
                <w:kern w:val="0"/>
                <w:sz w:val="18"/>
                <w:szCs w:val="18"/>
                <w:lang w:eastAsia="zh-CN"/>
              </w:rPr>
            </w:pPr>
            <w:r>
              <w:rPr>
                <w:rFonts w:hint="eastAsia" w:ascii="微软雅黑" w:hAnsi="微软雅黑" w:eastAsia="微软雅黑" w:cs="Helvetica"/>
                <w:color w:val="333333"/>
                <w:kern w:val="0"/>
                <w:sz w:val="18"/>
                <w:szCs w:val="18"/>
                <w:lang w:val="en-US" w:eastAsia="zh-CN"/>
              </w:rPr>
              <w:t>2</w:t>
            </w:r>
          </w:p>
        </w:tc>
        <w:tc>
          <w:tcPr>
            <w:tcW w:w="736"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36"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9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94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9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7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r>
      <w:tr>
        <w:tblPrEx>
          <w:tblCellMar>
            <w:top w:w="0" w:type="dxa"/>
            <w:left w:w="0" w:type="dxa"/>
            <w:bottom w:w="0" w:type="dxa"/>
            <w:right w:w="0" w:type="dxa"/>
          </w:tblCellMar>
        </w:tblPrEx>
        <w:trPr>
          <w:jc w:val="center"/>
        </w:trPr>
        <w:tc>
          <w:tcPr>
            <w:tcW w:w="3786" w:type="dxa"/>
            <w:gridSpan w:val="3"/>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四、结转下年度继续办理</w:t>
            </w:r>
          </w:p>
        </w:tc>
        <w:tc>
          <w:tcPr>
            <w:tcW w:w="709"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0</w:t>
            </w:r>
          </w:p>
        </w:tc>
        <w:tc>
          <w:tcPr>
            <w:tcW w:w="736"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36"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791"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941"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94"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c>
          <w:tcPr>
            <w:tcW w:w="678"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Helvetica"/>
                <w:color w:val="333333"/>
                <w:kern w:val="0"/>
                <w:sz w:val="18"/>
                <w:szCs w:val="18"/>
              </w:rPr>
            </w:pPr>
            <w:r>
              <w:rPr>
                <w:rFonts w:hint="eastAsia" w:ascii="微软雅黑" w:hAnsi="微软雅黑" w:eastAsia="微软雅黑" w:cs="Helvetica"/>
                <w:color w:val="333333"/>
                <w:kern w:val="0"/>
                <w:sz w:val="18"/>
                <w:szCs w:val="18"/>
              </w:rPr>
              <w:t xml:space="preserve">0 </w:t>
            </w:r>
          </w:p>
        </w:tc>
      </w:tr>
    </w:tbl>
    <w:p>
      <w:pPr>
        <w:widowControl/>
        <w:shd w:val="clear" w:color="auto" w:fill="FFFFFF"/>
        <w:spacing w:line="450" w:lineRule="atLeast"/>
        <w:ind w:firstLine="0" w:firstLineChars="0"/>
        <w:jc w:val="left"/>
        <w:rPr>
          <w:rFonts w:ascii="仿宋" w:hAnsi="仿宋" w:eastAsia="仿宋" w:cs="Arial"/>
          <w:bCs/>
          <w:color w:val="333333"/>
          <w:kern w:val="0"/>
          <w:sz w:val="32"/>
          <w:szCs w:val="32"/>
        </w:rPr>
      </w:pPr>
    </w:p>
    <w:p>
      <w:pPr>
        <w:widowControl/>
        <w:shd w:val="clear" w:color="auto" w:fill="FFFFFF"/>
        <w:spacing w:line="450" w:lineRule="atLeast"/>
        <w:ind w:firstLine="480" w:firstLineChars="150"/>
        <w:jc w:val="left"/>
        <w:rPr>
          <w:rFonts w:ascii="仿宋" w:hAnsi="仿宋" w:eastAsia="仿宋" w:cs="Arial"/>
          <w:bCs/>
          <w:color w:val="333333"/>
          <w:kern w:val="0"/>
          <w:sz w:val="32"/>
          <w:szCs w:val="32"/>
        </w:rPr>
      </w:pPr>
      <w:r>
        <w:rPr>
          <w:rFonts w:hint="eastAsia" w:ascii="仿宋" w:hAnsi="仿宋" w:eastAsia="仿宋" w:cs="Arial"/>
          <w:bCs/>
          <w:color w:val="333333"/>
          <w:kern w:val="0"/>
          <w:sz w:val="32"/>
          <w:szCs w:val="32"/>
        </w:rPr>
        <w:t>四、政府信息公开行政复议、行政诉讼情况</w:t>
      </w:r>
    </w:p>
    <w:p>
      <w:pPr>
        <w:widowControl/>
        <w:shd w:val="clear" w:color="auto" w:fill="FFFFFF"/>
        <w:spacing w:line="450" w:lineRule="atLeast"/>
        <w:ind w:firstLine="480" w:firstLineChars="150"/>
        <w:jc w:val="left"/>
        <w:rPr>
          <w:rFonts w:ascii="仿宋" w:hAnsi="仿宋" w:eastAsia="仿宋" w:cs="Arial"/>
          <w:bCs/>
          <w:color w:val="333333"/>
          <w:kern w:val="0"/>
          <w:sz w:val="32"/>
          <w:szCs w:val="32"/>
        </w:rPr>
      </w:pPr>
    </w:p>
    <w:tbl>
      <w:tblPr>
        <w:tblStyle w:val="5"/>
        <w:tblW w:w="9071" w:type="dxa"/>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总计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复议后起诉</w:t>
            </w:r>
          </w:p>
        </w:tc>
      </w:tr>
      <w:tr>
        <w:tblPrEx>
          <w:tblCellMar>
            <w:top w:w="0" w:type="dxa"/>
            <w:left w:w="0" w:type="dxa"/>
            <w:bottom w:w="0" w:type="dxa"/>
            <w:right w:w="0" w:type="dxa"/>
          </w:tblCellMar>
        </w:tblPrEx>
        <w:trPr>
          <w:jc w:val="center"/>
        </w:trPr>
        <w:tc>
          <w:tcPr>
            <w:tcW w:w="3074" w:type="dxa"/>
            <w:vMerge w:val="continue"/>
            <w:tcBorders>
              <w:top w:val="nil"/>
              <w:left w:val="single" w:color="auto" w:sz="8" w:space="0"/>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宋体"/>
                <w:color w:val="333333"/>
                <w:kern w:val="0"/>
                <w:sz w:val="18"/>
                <w:szCs w:val="18"/>
              </w:rPr>
            </w:pPr>
          </w:p>
        </w:tc>
        <w:tc>
          <w:tcPr>
            <w:tcW w:w="604" w:type="dxa"/>
            <w:vMerge w:val="continue"/>
            <w:tcBorders>
              <w:top w:val="nil"/>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宋体"/>
                <w:color w:val="333333"/>
                <w:kern w:val="0"/>
                <w:sz w:val="18"/>
                <w:szCs w:val="18"/>
              </w:rPr>
            </w:pPr>
          </w:p>
        </w:tc>
        <w:tc>
          <w:tcPr>
            <w:tcW w:w="604" w:type="dxa"/>
            <w:vMerge w:val="continue"/>
            <w:tcBorders>
              <w:top w:val="single" w:color="auto" w:sz="8" w:space="0"/>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宋体"/>
                <w:color w:val="333333"/>
                <w:kern w:val="0"/>
                <w:sz w:val="18"/>
                <w:szCs w:val="18"/>
              </w:rPr>
            </w:pPr>
          </w:p>
        </w:tc>
        <w:tc>
          <w:tcPr>
            <w:tcW w:w="604" w:type="dxa"/>
            <w:vMerge w:val="continue"/>
            <w:tcBorders>
              <w:top w:val="single" w:color="auto" w:sz="8" w:space="0"/>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宋体"/>
                <w:color w:val="333333"/>
                <w:kern w:val="0"/>
                <w:sz w:val="18"/>
                <w:szCs w:val="18"/>
              </w:rPr>
            </w:pPr>
          </w:p>
        </w:tc>
        <w:tc>
          <w:tcPr>
            <w:tcW w:w="658" w:type="dxa"/>
            <w:vMerge w:val="continue"/>
            <w:tcBorders>
              <w:top w:val="single" w:color="auto" w:sz="8" w:space="0"/>
              <w:left w:val="nil"/>
              <w:bottom w:val="single" w:color="auto" w:sz="8" w:space="0"/>
              <w:right w:val="single" w:color="auto" w:sz="8" w:space="0"/>
            </w:tcBorders>
            <w:shd w:val="clear" w:color="auto" w:fill="auto"/>
            <w:vAlign w:val="center"/>
          </w:tcPr>
          <w:p>
            <w:pPr>
              <w:widowControl/>
              <w:ind w:firstLine="0" w:firstLineChars="0"/>
              <w:jc w:val="left"/>
              <w:rPr>
                <w:rFonts w:ascii="微软雅黑" w:hAnsi="微软雅黑" w:eastAsia="微软雅黑" w:cs="宋体"/>
                <w:color w:val="333333"/>
                <w:kern w:val="0"/>
                <w:sz w:val="18"/>
                <w:szCs w:val="18"/>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尚未审结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其他结果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0" w:firstLineChars="0"/>
              <w:jc w:val="lef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0</w:t>
            </w:r>
          </w:p>
        </w:tc>
      </w:tr>
    </w:tbl>
    <w:p>
      <w:pPr>
        <w:widowControl/>
        <w:shd w:val="clear" w:color="auto" w:fill="FFFFFF"/>
        <w:spacing w:line="450" w:lineRule="atLeast"/>
        <w:ind w:firstLine="0" w:firstLineChars="0"/>
        <w:jc w:val="left"/>
        <w:rPr>
          <w:rFonts w:cs="黑体" w:asciiTheme="majorEastAsia" w:hAnsiTheme="majorEastAsia" w:eastAsiaTheme="majorEastAsia"/>
          <w:b/>
          <w:sz w:val="32"/>
          <w:szCs w:val="32"/>
        </w:rPr>
      </w:pPr>
    </w:p>
    <w:p>
      <w:pPr>
        <w:widowControl/>
        <w:shd w:val="clear" w:color="auto" w:fill="FFFFFF"/>
        <w:spacing w:line="450" w:lineRule="atLeast"/>
        <w:ind w:firstLine="643" w:firstLineChars="200"/>
        <w:jc w:val="left"/>
        <w:rPr>
          <w:rFonts w:cs="黑体" w:asciiTheme="majorEastAsia" w:hAnsiTheme="majorEastAsia" w:eastAsiaTheme="majorEastAsia"/>
          <w:b/>
          <w:sz w:val="32"/>
          <w:szCs w:val="32"/>
        </w:rPr>
      </w:pPr>
      <w:r>
        <w:rPr>
          <w:rFonts w:hint="eastAsia" w:cs="黑体" w:asciiTheme="majorEastAsia" w:hAnsiTheme="majorEastAsia" w:eastAsiaTheme="majorEastAsia"/>
          <w:b/>
          <w:sz w:val="32"/>
          <w:szCs w:val="32"/>
        </w:rPr>
        <w:t>五、存在的主要问题及改进情况</w:t>
      </w:r>
    </w:p>
    <w:p>
      <w:pPr>
        <w:widowControl/>
        <w:shd w:val="clear" w:color="auto" w:fill="FFFFFF"/>
        <w:spacing w:line="450" w:lineRule="atLeast"/>
        <w:ind w:firstLine="640" w:firstLineChars="200"/>
        <w:jc w:val="left"/>
        <w:rPr>
          <w:rFonts w:hint="eastAsia" w:ascii="仿宋" w:hAnsi="仿宋" w:eastAsia="仿宋"/>
          <w:sz w:val="32"/>
          <w:szCs w:val="32"/>
        </w:rPr>
      </w:pPr>
      <w:r>
        <w:rPr>
          <w:rFonts w:hint="eastAsia" w:ascii="仿宋" w:hAnsi="仿宋" w:eastAsia="仿宋"/>
          <w:sz w:val="32"/>
          <w:szCs w:val="32"/>
        </w:rPr>
        <w:t>1、信息公开渠道有待拓宽。目前主要公开方式</w:t>
      </w:r>
      <w:r>
        <w:rPr>
          <w:rFonts w:hint="eastAsia" w:ascii="仿宋" w:hAnsi="仿宋" w:eastAsia="仿宋"/>
          <w:sz w:val="32"/>
          <w:szCs w:val="32"/>
          <w:lang w:eastAsia="zh-CN"/>
        </w:rPr>
        <w:t>以</w:t>
      </w:r>
      <w:r>
        <w:rPr>
          <w:rFonts w:hint="eastAsia" w:ascii="仿宋" w:hAnsi="仿宋" w:eastAsia="仿宋"/>
          <w:sz w:val="32"/>
          <w:szCs w:val="32"/>
        </w:rPr>
        <w:t>县政府</w:t>
      </w:r>
      <w:r>
        <w:rPr>
          <w:rFonts w:hint="eastAsia" w:ascii="仿宋" w:hAnsi="仿宋" w:eastAsia="仿宋"/>
          <w:sz w:val="32"/>
          <w:szCs w:val="32"/>
          <w:lang w:eastAsia="zh-CN"/>
        </w:rPr>
        <w:t>门</w:t>
      </w:r>
      <w:r>
        <w:rPr>
          <w:rFonts w:hint="eastAsia" w:ascii="仿宋" w:hAnsi="仿宋" w:eastAsia="仿宋"/>
          <w:sz w:val="32"/>
          <w:szCs w:val="32"/>
        </w:rPr>
        <w:t>网站公开、部门办公场所公开</w:t>
      </w:r>
      <w:r>
        <w:rPr>
          <w:rFonts w:hint="eastAsia" w:ascii="仿宋" w:hAnsi="仿宋" w:eastAsia="仿宋"/>
          <w:sz w:val="32"/>
          <w:szCs w:val="32"/>
          <w:lang w:eastAsia="zh-CN"/>
        </w:rPr>
        <w:t>为主</w:t>
      </w:r>
      <w:r>
        <w:rPr>
          <w:rFonts w:hint="eastAsia" w:ascii="仿宋" w:hAnsi="仿宋" w:eastAsia="仿宋"/>
          <w:sz w:val="32"/>
          <w:szCs w:val="32"/>
        </w:rPr>
        <w:t>，公开渠道单一，不能很好适应新形势下信息公开的需要，还需进一步优化。</w:t>
      </w:r>
    </w:p>
    <w:p>
      <w:pPr>
        <w:widowControl/>
        <w:shd w:val="clear" w:color="auto" w:fill="FFFFFF"/>
        <w:spacing w:line="450" w:lineRule="atLeast"/>
        <w:ind w:firstLine="640" w:firstLineChars="200"/>
        <w:jc w:val="left"/>
        <w:rPr>
          <w:rFonts w:ascii="仿宋" w:hAnsi="仿宋" w:eastAsia="仿宋"/>
          <w:sz w:val="32"/>
          <w:szCs w:val="32"/>
        </w:rPr>
      </w:pPr>
      <w:r>
        <w:rPr>
          <w:rFonts w:hint="eastAsia" w:ascii="仿宋" w:hAnsi="仿宋" w:eastAsia="仿宋"/>
          <w:sz w:val="32"/>
          <w:szCs w:val="32"/>
        </w:rPr>
        <w:t xml:space="preserve">2、主动公开信息量较低，各类互动栏目使用率不高，还需进一步宣传推广。 </w:t>
      </w:r>
    </w:p>
    <w:p>
      <w:pPr>
        <w:widowControl/>
        <w:shd w:val="clear" w:color="auto" w:fill="FFFFFF"/>
        <w:spacing w:line="450" w:lineRule="atLeast"/>
        <w:ind w:firstLine="640" w:firstLineChars="200"/>
        <w:jc w:val="left"/>
        <w:rPr>
          <w:rFonts w:hint="eastAsia" w:ascii="仿宋" w:hAnsi="仿宋" w:eastAsia="仿宋"/>
          <w:sz w:val="32"/>
          <w:szCs w:val="32"/>
        </w:rPr>
      </w:pPr>
      <w:r>
        <w:rPr>
          <w:rFonts w:hint="eastAsia" w:ascii="仿宋" w:hAnsi="仿宋" w:eastAsia="仿宋"/>
          <w:sz w:val="32"/>
          <w:szCs w:val="32"/>
        </w:rPr>
        <w:t>对于以上问题，一</w:t>
      </w:r>
      <w:r>
        <w:rPr>
          <w:rFonts w:hint="eastAsia" w:ascii="仿宋" w:hAnsi="仿宋" w:eastAsia="仿宋"/>
          <w:sz w:val="32"/>
          <w:szCs w:val="32"/>
          <w:lang w:eastAsia="zh-CN"/>
        </w:rPr>
        <w:t>是</w:t>
      </w:r>
      <w:r>
        <w:rPr>
          <w:rFonts w:hint="eastAsia" w:ascii="仿宋" w:hAnsi="仿宋" w:eastAsia="仿宋"/>
          <w:sz w:val="32"/>
          <w:szCs w:val="32"/>
        </w:rPr>
        <w:t>强化多平台建设。通过公众号、业务自助终端、手机APP等方式方便群众</w:t>
      </w:r>
      <w:r>
        <w:rPr>
          <w:rFonts w:hint="eastAsia" w:ascii="仿宋" w:hAnsi="仿宋" w:eastAsia="仿宋"/>
          <w:sz w:val="32"/>
          <w:szCs w:val="32"/>
          <w:lang w:eastAsia="zh-CN"/>
        </w:rPr>
        <w:t>办事，</w:t>
      </w:r>
      <w:r>
        <w:rPr>
          <w:rFonts w:hint="eastAsia" w:ascii="仿宋" w:hAnsi="仿宋" w:eastAsia="仿宋"/>
          <w:sz w:val="32"/>
          <w:szCs w:val="32"/>
        </w:rPr>
        <w:t>提高信息公开的有效性、便民性；二要加大宣传力度。进一步增强政府信息的主动公开意识，不断丰富公开内容，创新公开形式，增加网站互动交流栏目，提高公众对政府信息公开的知晓率和参与度。</w:t>
      </w:r>
    </w:p>
    <w:p>
      <w:pPr>
        <w:widowControl/>
        <w:shd w:val="clear" w:color="auto" w:fill="FFFFFF"/>
        <w:spacing w:line="450" w:lineRule="atLeast"/>
        <w:ind w:firstLine="643" w:firstLineChars="200"/>
        <w:jc w:val="left"/>
        <w:rPr>
          <w:rFonts w:cs="黑体" w:asciiTheme="majorEastAsia" w:hAnsiTheme="majorEastAsia" w:eastAsiaTheme="majorEastAsia"/>
          <w:b/>
          <w:sz w:val="32"/>
          <w:szCs w:val="32"/>
        </w:rPr>
      </w:pPr>
      <w:r>
        <w:rPr>
          <w:rFonts w:hint="eastAsia" w:cs="黑体" w:asciiTheme="majorEastAsia" w:hAnsiTheme="majorEastAsia" w:eastAsiaTheme="majorEastAsia"/>
          <w:b/>
          <w:sz w:val="32"/>
          <w:szCs w:val="32"/>
        </w:rPr>
        <w:t>六、其他需报告的事项</w:t>
      </w:r>
    </w:p>
    <w:p>
      <w:pPr>
        <w:ind w:firstLine="800" w:firstLineChars="250"/>
        <w:jc w:val="left"/>
        <w:rPr>
          <w:rFonts w:ascii="仿宋" w:hAnsi="仿宋" w:eastAsia="仿宋"/>
          <w:sz w:val="32"/>
          <w:szCs w:val="32"/>
        </w:rPr>
      </w:pPr>
      <w:r>
        <w:rPr>
          <w:rFonts w:hint="eastAsia" w:ascii="仿宋" w:hAnsi="仿宋" w:eastAsia="仿宋"/>
          <w:sz w:val="32"/>
          <w:szCs w:val="32"/>
        </w:rPr>
        <w:t>无其他需报告的事项。</w:t>
      </w:r>
    </w:p>
    <w:p>
      <w:pPr>
        <w:ind w:firstLine="320"/>
        <w:jc w:val="left"/>
        <w:rPr>
          <w:rFonts w:ascii="仿宋" w:hAnsi="仿宋" w:eastAsia="仿宋"/>
          <w:sz w:val="32"/>
          <w:szCs w:val="32"/>
        </w:rPr>
      </w:pPr>
    </w:p>
    <w:p>
      <w:pPr>
        <w:ind w:right="160" w:firstLine="5280" w:firstLineChars="1650"/>
        <w:jc w:val="right"/>
        <w:rPr>
          <w:rFonts w:ascii="仿宋" w:hAnsi="仿宋" w:eastAsia="仿宋"/>
          <w:sz w:val="32"/>
          <w:szCs w:val="32"/>
        </w:rPr>
      </w:pPr>
      <w:r>
        <w:rPr>
          <w:rFonts w:hint="eastAsia" w:ascii="仿宋" w:hAnsi="仿宋" w:eastAsia="仿宋"/>
          <w:sz w:val="32"/>
          <w:szCs w:val="32"/>
        </w:rPr>
        <w:t>保德县人民政府</w:t>
      </w:r>
    </w:p>
    <w:p>
      <w:pPr>
        <w:ind w:firstLine="5120" w:firstLineChars="1600"/>
        <w:jc w:val="right"/>
        <w:rPr>
          <w:rFonts w:ascii="仿宋" w:hAnsi="仿宋" w:eastAsia="仿宋"/>
          <w:sz w:val="32"/>
          <w:szCs w:val="32"/>
        </w:rPr>
      </w:pPr>
      <w:r>
        <w:rPr>
          <w:rFonts w:hint="eastAsia" w:ascii="仿宋" w:hAnsi="仿宋" w:eastAsia="仿宋"/>
          <w:sz w:val="32"/>
          <w:szCs w:val="32"/>
        </w:rPr>
        <w:t xml:space="preserve"> 2021年2月1</w:t>
      </w:r>
      <w:r>
        <w:rPr>
          <w:rFonts w:hint="eastAsia" w:ascii="仿宋" w:hAnsi="仿宋" w:eastAsia="仿宋"/>
          <w:sz w:val="32"/>
          <w:szCs w:val="32"/>
          <w:lang w:val="en-US" w:eastAsia="zh-CN"/>
        </w:rPr>
        <w:t>9</w:t>
      </w:r>
      <w:r>
        <w:rPr>
          <w:rFonts w:hint="eastAsia" w:ascii="仿宋" w:hAnsi="仿宋" w:eastAsia="仿宋"/>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985"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6617"/>
      <w:docPartObj>
        <w:docPartGallery w:val="autotext"/>
      </w:docPartObj>
    </w:sdtPr>
    <w:sdtContent>
      <w:sdt>
        <w:sdtPr>
          <w:id w:val="171357217"/>
          <w:docPartObj>
            <w:docPartGallery w:val="autotext"/>
          </w:docPartObj>
        </w:sdtPr>
        <w:sdtContent>
          <w:p>
            <w:pPr>
              <w:pStyle w:val="3"/>
              <w:ind w:firstLine="18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3"/>
      <w:ind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CB1A0C"/>
    <w:rsid w:val="001325D7"/>
    <w:rsid w:val="001536C0"/>
    <w:rsid w:val="00154FCF"/>
    <w:rsid w:val="00186B96"/>
    <w:rsid w:val="0019526D"/>
    <w:rsid w:val="001B2C2B"/>
    <w:rsid w:val="001C7A03"/>
    <w:rsid w:val="002209A9"/>
    <w:rsid w:val="002254BB"/>
    <w:rsid w:val="002578B0"/>
    <w:rsid w:val="002F6F5D"/>
    <w:rsid w:val="003040C1"/>
    <w:rsid w:val="00311D2E"/>
    <w:rsid w:val="003B6989"/>
    <w:rsid w:val="003C58B5"/>
    <w:rsid w:val="00467AEB"/>
    <w:rsid w:val="004C79AB"/>
    <w:rsid w:val="00515824"/>
    <w:rsid w:val="00525276"/>
    <w:rsid w:val="0052702D"/>
    <w:rsid w:val="00535DE6"/>
    <w:rsid w:val="0056652C"/>
    <w:rsid w:val="005B5F6A"/>
    <w:rsid w:val="005D6B07"/>
    <w:rsid w:val="0066442A"/>
    <w:rsid w:val="006D6181"/>
    <w:rsid w:val="006F3F76"/>
    <w:rsid w:val="00723306"/>
    <w:rsid w:val="00732FD2"/>
    <w:rsid w:val="00760659"/>
    <w:rsid w:val="007833A7"/>
    <w:rsid w:val="007D2B10"/>
    <w:rsid w:val="007E4F7D"/>
    <w:rsid w:val="007E5C26"/>
    <w:rsid w:val="00801A02"/>
    <w:rsid w:val="00806584"/>
    <w:rsid w:val="0088656E"/>
    <w:rsid w:val="00894876"/>
    <w:rsid w:val="008C17EE"/>
    <w:rsid w:val="008C5810"/>
    <w:rsid w:val="008F3F2E"/>
    <w:rsid w:val="00902B4E"/>
    <w:rsid w:val="00953C06"/>
    <w:rsid w:val="009D6194"/>
    <w:rsid w:val="00A805A1"/>
    <w:rsid w:val="00AB6B76"/>
    <w:rsid w:val="00AC6BCE"/>
    <w:rsid w:val="00AF3BA0"/>
    <w:rsid w:val="00B0035B"/>
    <w:rsid w:val="00B27254"/>
    <w:rsid w:val="00BE086D"/>
    <w:rsid w:val="00CC50D9"/>
    <w:rsid w:val="00D4120E"/>
    <w:rsid w:val="00DD5C31"/>
    <w:rsid w:val="00DE1A56"/>
    <w:rsid w:val="00E027FB"/>
    <w:rsid w:val="00E07704"/>
    <w:rsid w:val="00E25C0F"/>
    <w:rsid w:val="00E2772F"/>
    <w:rsid w:val="00E55853"/>
    <w:rsid w:val="00E810C2"/>
    <w:rsid w:val="00E91471"/>
    <w:rsid w:val="00EE0262"/>
    <w:rsid w:val="00F32B08"/>
    <w:rsid w:val="00F4192C"/>
    <w:rsid w:val="00F67C35"/>
    <w:rsid w:val="00FA31B1"/>
    <w:rsid w:val="00FD34C5"/>
    <w:rsid w:val="010244EE"/>
    <w:rsid w:val="01741AFC"/>
    <w:rsid w:val="01F27E23"/>
    <w:rsid w:val="025630CE"/>
    <w:rsid w:val="036B3C28"/>
    <w:rsid w:val="04C7408E"/>
    <w:rsid w:val="0582519A"/>
    <w:rsid w:val="05CB1A0C"/>
    <w:rsid w:val="071A3CBB"/>
    <w:rsid w:val="07851BEB"/>
    <w:rsid w:val="0A255182"/>
    <w:rsid w:val="0BE2436E"/>
    <w:rsid w:val="0C7A19BF"/>
    <w:rsid w:val="0D530707"/>
    <w:rsid w:val="0D782D1C"/>
    <w:rsid w:val="0DC905AE"/>
    <w:rsid w:val="0E0E1AF2"/>
    <w:rsid w:val="0E3177E1"/>
    <w:rsid w:val="0FEE029E"/>
    <w:rsid w:val="11383EE8"/>
    <w:rsid w:val="13422F18"/>
    <w:rsid w:val="136E2D38"/>
    <w:rsid w:val="13B94C15"/>
    <w:rsid w:val="140D0BDF"/>
    <w:rsid w:val="14DA6879"/>
    <w:rsid w:val="18DD6B86"/>
    <w:rsid w:val="19287AAB"/>
    <w:rsid w:val="197F0966"/>
    <w:rsid w:val="1A5B4C74"/>
    <w:rsid w:val="1C033CC0"/>
    <w:rsid w:val="1C5076FB"/>
    <w:rsid w:val="1CB57A7E"/>
    <w:rsid w:val="1D2D6F58"/>
    <w:rsid w:val="1FA82779"/>
    <w:rsid w:val="20C41E3F"/>
    <w:rsid w:val="22667B0E"/>
    <w:rsid w:val="226D1D12"/>
    <w:rsid w:val="22A65978"/>
    <w:rsid w:val="23DE4B0B"/>
    <w:rsid w:val="245E3C02"/>
    <w:rsid w:val="248F67AC"/>
    <w:rsid w:val="2505651D"/>
    <w:rsid w:val="26650D77"/>
    <w:rsid w:val="26FC2A01"/>
    <w:rsid w:val="270465E5"/>
    <w:rsid w:val="29895151"/>
    <w:rsid w:val="2B150B58"/>
    <w:rsid w:val="2D1F5FBD"/>
    <w:rsid w:val="2D2E2C5E"/>
    <w:rsid w:val="2D6C78BB"/>
    <w:rsid w:val="2D8705A2"/>
    <w:rsid w:val="2DD31540"/>
    <w:rsid w:val="2E273B3D"/>
    <w:rsid w:val="2E297353"/>
    <w:rsid w:val="2E8B6DAC"/>
    <w:rsid w:val="2E8C23BC"/>
    <w:rsid w:val="2ECE68A7"/>
    <w:rsid w:val="30C95662"/>
    <w:rsid w:val="31197366"/>
    <w:rsid w:val="3166033D"/>
    <w:rsid w:val="32BE72AB"/>
    <w:rsid w:val="32D00578"/>
    <w:rsid w:val="349F22FC"/>
    <w:rsid w:val="35F71331"/>
    <w:rsid w:val="3684016A"/>
    <w:rsid w:val="3772651B"/>
    <w:rsid w:val="379C7F68"/>
    <w:rsid w:val="37A65779"/>
    <w:rsid w:val="3A5C7C8A"/>
    <w:rsid w:val="3F581491"/>
    <w:rsid w:val="3FE00686"/>
    <w:rsid w:val="401B539C"/>
    <w:rsid w:val="4096531D"/>
    <w:rsid w:val="41402127"/>
    <w:rsid w:val="416920E5"/>
    <w:rsid w:val="42476ADA"/>
    <w:rsid w:val="44716728"/>
    <w:rsid w:val="48505D2C"/>
    <w:rsid w:val="485F6CF1"/>
    <w:rsid w:val="48AA1FEA"/>
    <w:rsid w:val="498E16E1"/>
    <w:rsid w:val="49A139F3"/>
    <w:rsid w:val="49BC6C88"/>
    <w:rsid w:val="4AA204A7"/>
    <w:rsid w:val="4ABE7B36"/>
    <w:rsid w:val="4B3E25F1"/>
    <w:rsid w:val="4B9B1C1A"/>
    <w:rsid w:val="4D8D6FA6"/>
    <w:rsid w:val="4D90183F"/>
    <w:rsid w:val="4E2A6AA3"/>
    <w:rsid w:val="4E3342A3"/>
    <w:rsid w:val="4EF113A9"/>
    <w:rsid w:val="50272FA4"/>
    <w:rsid w:val="513D04E5"/>
    <w:rsid w:val="51AC57B9"/>
    <w:rsid w:val="529B56DD"/>
    <w:rsid w:val="52F42E19"/>
    <w:rsid w:val="53D9426E"/>
    <w:rsid w:val="55764A52"/>
    <w:rsid w:val="561D68C8"/>
    <w:rsid w:val="56B90A72"/>
    <w:rsid w:val="57860519"/>
    <w:rsid w:val="59E85AD3"/>
    <w:rsid w:val="5B3E66EB"/>
    <w:rsid w:val="5B4A309B"/>
    <w:rsid w:val="5D0F095C"/>
    <w:rsid w:val="5D891D6E"/>
    <w:rsid w:val="5DDC2FE3"/>
    <w:rsid w:val="5E09322B"/>
    <w:rsid w:val="5EA453DE"/>
    <w:rsid w:val="60D6076B"/>
    <w:rsid w:val="62682153"/>
    <w:rsid w:val="629041D1"/>
    <w:rsid w:val="6393160B"/>
    <w:rsid w:val="63D30730"/>
    <w:rsid w:val="63F50801"/>
    <w:rsid w:val="63F61452"/>
    <w:rsid w:val="653463B2"/>
    <w:rsid w:val="65BA1CDF"/>
    <w:rsid w:val="65F10B6B"/>
    <w:rsid w:val="663F548C"/>
    <w:rsid w:val="67591F4C"/>
    <w:rsid w:val="69821616"/>
    <w:rsid w:val="6B873F86"/>
    <w:rsid w:val="6EE0333C"/>
    <w:rsid w:val="6F456D2B"/>
    <w:rsid w:val="6F8D3630"/>
    <w:rsid w:val="6FF15A11"/>
    <w:rsid w:val="708E3E8F"/>
    <w:rsid w:val="70F3204D"/>
    <w:rsid w:val="71EF4102"/>
    <w:rsid w:val="72493B9D"/>
    <w:rsid w:val="72762325"/>
    <w:rsid w:val="72AF0E00"/>
    <w:rsid w:val="73733DBC"/>
    <w:rsid w:val="73D566CB"/>
    <w:rsid w:val="75AD0476"/>
    <w:rsid w:val="78C4373D"/>
    <w:rsid w:val="78CC7508"/>
    <w:rsid w:val="7AB42644"/>
    <w:rsid w:val="7AC74BFB"/>
    <w:rsid w:val="7B0441BE"/>
    <w:rsid w:val="7B600773"/>
    <w:rsid w:val="7BF451DD"/>
    <w:rsid w:val="7C256B4B"/>
    <w:rsid w:val="7C6C7DE7"/>
    <w:rsid w:val="7D165060"/>
    <w:rsid w:val="7DB46A7F"/>
    <w:rsid w:val="7E24176D"/>
    <w:rsid w:val="7F9952AA"/>
    <w:rsid w:val="7FCC03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0" w:firstLineChars="1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qFormat/>
    <w:uiPriority w:val="99"/>
    <w:pPr>
      <w:ind w:firstLine="420" w:firstLineChars="200"/>
    </w:pPr>
  </w:style>
  <w:style w:type="character" w:customStyle="1" w:styleId="8">
    <w:name w:val="页脚 Char"/>
    <w:basedOn w:val="6"/>
    <w:link w:val="3"/>
    <w:qFormat/>
    <w:uiPriority w:val="99"/>
    <w:rPr>
      <w:kern w:val="2"/>
      <w:sz w:val="18"/>
      <w:szCs w:val="18"/>
    </w:rPr>
  </w:style>
  <w:style w:type="character" w:customStyle="1" w:styleId="9">
    <w:name w:val="页眉 Char"/>
    <w:basedOn w:val="6"/>
    <w:link w:val="4"/>
    <w:qFormat/>
    <w:uiPriority w:val="99"/>
    <w:rPr>
      <w:kern w:val="2"/>
      <w:sz w:val="18"/>
      <w:szCs w:val="18"/>
    </w:rPr>
  </w:style>
  <w:style w:type="character" w:customStyle="1" w:styleId="10">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CEA6F7-2042-4CAB-B36D-B79555C1F2E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592</Words>
  <Characters>3377</Characters>
  <Lines>28</Lines>
  <Paragraphs>7</Paragraphs>
  <TotalTime>442</TotalTime>
  <ScaleCrop>false</ScaleCrop>
  <LinksUpToDate>false</LinksUpToDate>
  <CharactersWithSpaces>3962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2020-01-21T03:19:00Z</dcterms:created>
  <dc:creator>滴里嘟噜</dc:creator>
  <cp:lastModifiedBy>Administrator</cp:lastModifiedBy>
  <cp:lastPrinted>2021-02-19T10:17:00Z</cp:lastPrinted>
  <dcterms:modified xsi:type="dcterms:W3CDTF">2021-02-19T12:30:27Z</dcterms:modified>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