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exact"/>
        <w:jc w:val="center"/>
        <w:rPr>
          <w:rFonts w:hint="eastAsia" w:ascii="方正小标宋简体" w:hAnsi="仿宋" w:eastAsia="方正小标宋简体"/>
          <w:sz w:val="36"/>
          <w:szCs w:val="36"/>
        </w:rPr>
      </w:pPr>
    </w:p>
    <w:p>
      <w:pPr>
        <w:spacing w:before="156" w:beforeLines="50" w:after="156" w:afterLines="50" w:line="580" w:lineRule="exact"/>
        <w:jc w:val="center"/>
        <w:rPr>
          <w:rFonts w:hint="eastAsia" w:ascii="方正小标宋简体" w:hAnsi="仿宋" w:eastAsia="方正小标宋简体"/>
          <w:sz w:val="36"/>
          <w:szCs w:val="36"/>
        </w:rPr>
      </w:pPr>
    </w:p>
    <w:p>
      <w:pPr>
        <w:spacing w:before="156" w:beforeLines="50" w:after="156" w:afterLines="50" w:line="580" w:lineRule="exact"/>
        <w:jc w:val="center"/>
        <w:rPr>
          <w:rFonts w:hint="eastAsia" w:ascii="方正小标宋简体" w:hAnsi="仿宋" w:eastAsia="方正小标宋简体"/>
          <w:sz w:val="36"/>
          <w:szCs w:val="36"/>
        </w:rPr>
      </w:pPr>
    </w:p>
    <w:p>
      <w:pPr>
        <w:spacing w:before="156" w:beforeLines="50" w:after="156" w:afterLines="50" w:line="580" w:lineRule="exact"/>
        <w:jc w:val="center"/>
        <w:rPr>
          <w:rFonts w:hint="eastAsia" w:ascii="方正小标宋简体" w:hAnsi="仿宋" w:eastAsia="方正小标宋简体"/>
          <w:sz w:val="36"/>
          <w:szCs w:val="36"/>
        </w:rPr>
      </w:pPr>
    </w:p>
    <w:p>
      <w:pPr>
        <w:spacing w:before="156" w:beforeLines="50" w:after="156" w:afterLines="50" w:line="58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忻州市统计局</w:t>
      </w:r>
    </w:p>
    <w:p>
      <w:pPr>
        <w:spacing w:before="156" w:beforeLines="50" w:after="156" w:afterLines="50" w:line="58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 xml:space="preserve">2020年政府信息公开年度报告  </w:t>
      </w:r>
    </w:p>
    <w:p>
      <w:pPr>
        <w:spacing w:before="156" w:beforeLines="50" w:after="156" w:afterLines="50" w:line="580" w:lineRule="exact"/>
        <w:jc w:val="center"/>
        <w:rPr>
          <w:rFonts w:ascii="方正小标宋简体" w:hAnsi="仿宋" w:eastAsia="方正小标宋简体"/>
          <w:sz w:val="36"/>
          <w:szCs w:val="36"/>
        </w:rPr>
      </w:pPr>
    </w:p>
    <w:p>
      <w:pPr>
        <w:spacing w:before="156" w:beforeLines="50" w:after="156" w:afterLines="50" w:line="620" w:lineRule="exact"/>
        <w:ind w:firstLine="600" w:firstLineChars="200"/>
        <w:rPr>
          <w:rFonts w:ascii="仿宋_GB2312" w:hAnsi="仿宋" w:eastAsia="仿宋_GB2312"/>
          <w:sz w:val="30"/>
          <w:szCs w:val="30"/>
        </w:rPr>
      </w:pPr>
      <w:r>
        <w:rPr>
          <w:rFonts w:hint="eastAsia" w:ascii="仿宋_GB2312" w:hAnsi="仿宋" w:eastAsia="仿宋_GB2312"/>
          <w:sz w:val="30"/>
          <w:szCs w:val="30"/>
        </w:rPr>
        <w:t>根据《中华人民共和国政府信息公开条例》（以下简称《条例》）和《忻州市人民政府办公室关于做好政府信息公开平台及政府信息公开工作年报相关工作的通知》（忻政办发电〔2020〕1号）要求，结合工作实际，忻州市统计局编制了2020年度政府信息公开工作报告。所列数据的统计期限从2020年1月1日起至2020年12月31日止。报告的电子版可在“忻州市统计局”官方网站(http://tjj.sxxz.gov.cn/)查询下载。 </w:t>
      </w:r>
    </w:p>
    <w:p>
      <w:pPr>
        <w:spacing w:before="156" w:beforeLines="50" w:after="156" w:afterLines="50" w:line="620" w:lineRule="exact"/>
        <w:ind w:left="481" w:leftChars="229" w:firstLine="150" w:firstLineChars="50"/>
        <w:jc w:val="left"/>
        <w:rPr>
          <w:rFonts w:ascii="黑体" w:hAnsi="黑体" w:eastAsia="黑体"/>
          <w:sz w:val="30"/>
          <w:szCs w:val="30"/>
        </w:rPr>
      </w:pPr>
      <w:r>
        <w:rPr>
          <w:rFonts w:hint="eastAsia" w:ascii="黑体" w:hAnsi="黑体" w:eastAsia="黑体"/>
          <w:sz w:val="30"/>
          <w:szCs w:val="30"/>
        </w:rPr>
        <w:t>一、总体情况</w:t>
      </w:r>
    </w:p>
    <w:p>
      <w:pPr>
        <w:spacing w:before="156" w:beforeLines="50" w:after="156" w:afterLines="50" w:line="62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2020年以来，忻州市统计局紧紧围绕习近平总书记关于统计工作的重要讲话、重要指示批示精神和习近平总书记视察山西重要讲话重要指示，深入学习贯彻党的十九大和十九届二中、三中、四中、五中全会精神，认真贯彻落实市委、市政府决策部署，围绕全市经济转型升级大局，持续深化统计改革，创新统计服务，有序开展第七次全国人口普查，全力配合开展脱贫攻坚普查，扎实做好单位疫情防控工作，并严格按照市政府关于信息公开工作的部署要求，认真做好统计领域政府信息公开工作，确保统计工作的公开透明，切实保障人民群众的知情权和监督权。</w:t>
      </w:r>
    </w:p>
    <w:p>
      <w:pPr>
        <w:spacing w:before="156" w:beforeLines="50" w:after="156" w:afterLines="50" w:line="62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2020年度，忻州市统计局主动发布信息688条。接受公开统计信息咨询1100余次，其中电话咨询接听450余次，函件或当面咨询接待100余次，邮件咨询500余次，网络咨询45次。咨询的主要内容为分行业、分专业的统计数据，处理措施主要为直接电话回复、网络回复、提供相关统计资料等。“忻州统计”微信公众号，推送消息290余条。增设“第七次全国人口普查专栏”，本年推送50条政务信息。继续举办“统计开放日”“宪法宣传日”“第七次全国人口普查”等广场宣传活动，通过网站、公众号、广场宣传等渠道，紧密结合政府和群众对统计工作的关切，宣传统计新闻、统计数据、人口普查等重要内容。</w:t>
      </w:r>
    </w:p>
    <w:p>
      <w:pPr>
        <w:spacing w:before="156" w:beforeLines="50" w:after="156" w:afterLines="50" w:line="62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严格按照国家关于网站和网络新媒体管理要求，在市政府信息中心的指导下，切实完善网站和新媒体的更新和维护，确保全面落实网站和新媒体的日常检查监测机制和月度检查制度。坚持正确的舆论导向，认真宣传党的路线、方针、政策，及时传播国内外经济社会发展信息，及时发布统计数据、统计分析报告和统计工作信息等重点事项，按要求公布财政预算和财政决算，及时回复互动交流，严格政府公开信息审查，确保信息发布安全、规范、准确、及时。</w:t>
      </w:r>
    </w:p>
    <w:p>
      <w:pPr>
        <w:spacing w:line="540" w:lineRule="exact"/>
        <w:ind w:firstLine="750" w:firstLineChars="250"/>
        <w:jc w:val="left"/>
        <w:rPr>
          <w:rFonts w:hint="eastAsia" w:ascii="黑体" w:hAnsi="黑体" w:eastAsia="黑体"/>
          <w:sz w:val="30"/>
          <w:szCs w:val="30"/>
        </w:rPr>
      </w:pPr>
      <w:r>
        <w:rPr>
          <w:rFonts w:hint="eastAsia" w:ascii="黑体" w:hAnsi="黑体" w:eastAsia="黑体"/>
          <w:sz w:val="30"/>
          <w:szCs w:val="30"/>
        </w:rPr>
        <w:t>二、主动公开政府信息情况 </w:t>
      </w:r>
    </w:p>
    <w:p>
      <w:pPr>
        <w:spacing w:line="540" w:lineRule="exact"/>
        <w:ind w:firstLine="600" w:firstLineChars="200"/>
        <w:jc w:val="left"/>
        <w:rPr>
          <w:rFonts w:hint="eastAsia" w:ascii="黑体" w:hAnsi="黑体" w:eastAsia="黑体"/>
          <w:sz w:val="30"/>
          <w:szCs w:val="30"/>
        </w:rPr>
      </w:pPr>
      <w:r>
        <w:rPr>
          <w:rFonts w:hint="eastAsia" w:ascii="黑体" w:hAnsi="黑体" w:eastAsia="黑体"/>
          <w:sz w:val="30"/>
          <w:szCs w:val="30"/>
        </w:rPr>
        <w:t> </w:t>
      </w: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567" w:hRule="exac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第二十条第（一）项</w:t>
            </w:r>
          </w:p>
        </w:tc>
      </w:tr>
      <w:tr>
        <w:tblPrEx>
          <w:tblCellMar>
            <w:top w:w="0" w:type="dxa"/>
            <w:left w:w="0" w:type="dxa"/>
            <w:bottom w:w="0" w:type="dxa"/>
            <w:right w:w="0" w:type="dxa"/>
          </w:tblCellMar>
        </w:tblPrEx>
        <w:trPr>
          <w:trHeight w:val="45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本年新</w:t>
            </w:r>
            <w:r>
              <w:rPr>
                <w:rFonts w:hint="eastAsia" w:cs="宋体" w:asciiTheme="minorEastAsia" w:hAnsiTheme="minorEastAsia"/>
                <w:color w:val="000000"/>
                <w:kern w:val="0"/>
                <w:sz w:val="20"/>
                <w:szCs w:val="20"/>
              </w:rPr>
              <w:br w:type="textWrapping"/>
            </w:r>
            <w:r>
              <w:rPr>
                <w:rFonts w:hint="eastAsia" w:cs="宋体" w:asciiTheme="minorEastAsia" w:hAnsiTheme="minorEastAsia"/>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本年新</w:t>
            </w:r>
            <w:r>
              <w:rPr>
                <w:rFonts w:hint="eastAsia" w:cs="宋体" w:asciiTheme="minorEastAsia" w:hAnsiTheme="minorEastAsia"/>
                <w:color w:val="000000"/>
                <w:kern w:val="0"/>
                <w:sz w:val="20"/>
                <w:szCs w:val="20"/>
              </w:rPr>
              <w:br w:type="textWrapping"/>
            </w:r>
            <w:r>
              <w:rPr>
                <w:rFonts w:hint="eastAsia" w:cs="宋体" w:asciiTheme="minorEastAsia" w:hAnsiTheme="minorEastAsia"/>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对外公开总数量</w:t>
            </w:r>
          </w:p>
        </w:tc>
      </w:tr>
      <w:tr>
        <w:tblPrEx>
          <w:tblCellMar>
            <w:top w:w="0" w:type="dxa"/>
            <w:left w:w="0" w:type="dxa"/>
            <w:bottom w:w="0" w:type="dxa"/>
            <w:right w:w="0" w:type="dxa"/>
          </w:tblCellMar>
        </w:tblPrEx>
        <w:trPr>
          <w:trHeight w:val="45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　0</w:t>
            </w:r>
          </w:p>
        </w:tc>
      </w:tr>
      <w:tr>
        <w:tblPrEx>
          <w:tblCellMar>
            <w:top w:w="0" w:type="dxa"/>
            <w:left w:w="0" w:type="dxa"/>
            <w:bottom w:w="0" w:type="dxa"/>
            <w:right w:w="0" w:type="dxa"/>
          </w:tblCellMar>
        </w:tblPrEx>
        <w:trPr>
          <w:trHeight w:val="45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　0</w:t>
            </w:r>
          </w:p>
        </w:tc>
      </w:tr>
      <w:tr>
        <w:tblPrEx>
          <w:tblCellMar>
            <w:top w:w="0" w:type="dxa"/>
            <w:left w:w="0" w:type="dxa"/>
            <w:bottom w:w="0" w:type="dxa"/>
            <w:right w:w="0" w:type="dxa"/>
          </w:tblCellMar>
        </w:tblPrEx>
        <w:trPr>
          <w:trHeight w:val="652"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第二十条第（五）项</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rPr>
                <w:rFonts w:cs="宋体" w:asciiTheme="minorEastAsia" w:hAnsiTheme="minorEastAsia"/>
                <w:kern w:val="0"/>
                <w:sz w:val="20"/>
                <w:szCs w:val="20"/>
              </w:rPr>
            </w:pPr>
            <w:r>
              <w:rPr>
                <w:rFonts w:hint="eastAsia" w:cs="宋体" w:asciiTheme="minorEastAsia" w:hAnsiTheme="minorEastAsia"/>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处理决定数量</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p>
        </w:tc>
      </w:tr>
      <w:tr>
        <w:tblPrEx>
          <w:tblCellMar>
            <w:top w:w="0" w:type="dxa"/>
            <w:left w:w="0" w:type="dxa"/>
            <w:bottom w:w="0" w:type="dxa"/>
            <w:right w:w="0" w:type="dxa"/>
          </w:tblCellMar>
        </w:tblPrEx>
        <w:trPr>
          <w:trHeight w:val="652"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第二十条第（六）项</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rPr>
                <w:rFonts w:cs="宋体" w:asciiTheme="minorEastAsia" w:hAnsiTheme="minorEastAsia"/>
                <w:kern w:val="0"/>
                <w:sz w:val="20"/>
                <w:szCs w:val="20"/>
              </w:rPr>
            </w:pPr>
            <w:r>
              <w:rPr>
                <w:rFonts w:hint="eastAsia" w:cs="宋体" w:asciiTheme="minorEastAsia" w:hAnsiTheme="minorEastAsia"/>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处理决定数量</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r>
      <w:tr>
        <w:tblPrEx>
          <w:tblCellMar>
            <w:top w:w="0" w:type="dxa"/>
            <w:left w:w="0" w:type="dxa"/>
            <w:bottom w:w="0" w:type="dxa"/>
            <w:right w:w="0" w:type="dxa"/>
          </w:tblCellMar>
        </w:tblPrEx>
        <w:trPr>
          <w:trHeight w:val="652"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第二十条第（八）项</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本年增/减</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r>
      <w:tr>
        <w:tblPrEx>
          <w:tblCellMar>
            <w:top w:w="0" w:type="dxa"/>
            <w:left w:w="0" w:type="dxa"/>
            <w:bottom w:w="0" w:type="dxa"/>
            <w:right w:w="0" w:type="dxa"/>
          </w:tblCellMar>
        </w:tblPrEx>
        <w:trPr>
          <w:trHeight w:val="652"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第二十条第（九）项</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40" w:lineRule="exact"/>
              <w:ind w:firstLine="200"/>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采购总金额</w:t>
            </w:r>
          </w:p>
        </w:tc>
      </w:tr>
      <w:tr>
        <w:tblPrEx>
          <w:tblCellMar>
            <w:top w:w="0" w:type="dxa"/>
            <w:left w:w="0" w:type="dxa"/>
            <w:bottom w:w="0" w:type="dxa"/>
            <w:right w:w="0" w:type="dxa"/>
          </w:tblCellMar>
        </w:tblPrEx>
        <w:trPr>
          <w:trHeight w:val="652" w:hRule="exac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40" w:lineRule="exact"/>
              <w:ind w:firstLine="200"/>
              <w:jc w:val="left"/>
              <w:rPr>
                <w:rFonts w:cs="宋体" w:asciiTheme="minorEastAsia" w:hAnsiTheme="minorEastAsia"/>
                <w:kern w:val="0"/>
                <w:sz w:val="20"/>
                <w:szCs w:val="20"/>
              </w:rPr>
            </w:pPr>
            <w:r>
              <w:rPr>
                <w:rFonts w:hint="eastAsia" w:cs="宋体" w:asciiTheme="minorEastAsia" w:hAnsiTheme="minorEastAsia"/>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540" w:lineRule="exact"/>
              <w:jc w:val="center"/>
              <w:rPr>
                <w:rFonts w:hint="eastAsia"/>
              </w:rPr>
            </w:pPr>
            <w:r>
              <w:rPr>
                <w:rFonts w:hint="eastAsia"/>
              </w:rPr>
              <w:t>33</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spacing w:line="540" w:lineRule="exact"/>
              <w:jc w:val="center"/>
            </w:pPr>
            <w:r>
              <w:rPr>
                <w:rFonts w:hint="eastAsia"/>
              </w:rPr>
              <w:t>2996060.5元</w:t>
            </w:r>
          </w:p>
        </w:tc>
      </w:tr>
    </w:tbl>
    <w:p>
      <w:pPr>
        <w:spacing w:line="320" w:lineRule="exact"/>
        <w:ind w:firstLine="600" w:firstLineChars="200"/>
        <w:jc w:val="left"/>
        <w:rPr>
          <w:rFonts w:hint="eastAsia" w:ascii="黑体" w:hAnsi="黑体" w:eastAsia="黑体"/>
          <w:sz w:val="30"/>
          <w:szCs w:val="30"/>
        </w:rPr>
      </w:pPr>
    </w:p>
    <w:p>
      <w:pPr>
        <w:spacing w:line="320" w:lineRule="exact"/>
        <w:ind w:firstLine="600" w:firstLineChars="200"/>
        <w:jc w:val="left"/>
        <w:rPr>
          <w:rFonts w:hint="eastAsia" w:ascii="黑体" w:hAnsi="黑体" w:eastAsia="黑体"/>
          <w:sz w:val="30"/>
          <w:szCs w:val="30"/>
        </w:rPr>
      </w:pPr>
      <w:r>
        <w:rPr>
          <w:rFonts w:hint="eastAsia" w:ascii="黑体" w:hAnsi="黑体" w:eastAsia="黑体"/>
          <w:sz w:val="30"/>
          <w:szCs w:val="30"/>
        </w:rPr>
        <w:t>三、收到和处理政府信息公开申请情况 </w:t>
      </w:r>
    </w:p>
    <w:tbl>
      <w:tblPr>
        <w:tblStyle w:val="5"/>
        <w:tblW w:w="9071" w:type="dxa"/>
        <w:jc w:val="center"/>
        <w:tblLayout w:type="autofit"/>
        <w:tblCellMar>
          <w:top w:w="0" w:type="dxa"/>
          <w:left w:w="0" w:type="dxa"/>
          <w:bottom w:w="0" w:type="dxa"/>
          <w:right w:w="0" w:type="dxa"/>
        </w:tblCellMar>
      </w:tblPr>
      <w:tblGrid>
        <w:gridCol w:w="617"/>
        <w:gridCol w:w="854"/>
        <w:gridCol w:w="2246"/>
        <w:gridCol w:w="650"/>
        <w:gridCol w:w="754"/>
        <w:gridCol w:w="754"/>
        <w:gridCol w:w="812"/>
        <w:gridCol w:w="972"/>
        <w:gridCol w:w="711"/>
        <w:gridCol w:w="701"/>
      </w:tblGrid>
      <w:tr>
        <w:tblPrEx>
          <w:tblCellMar>
            <w:top w:w="0" w:type="dxa"/>
            <w:left w:w="0" w:type="dxa"/>
            <w:bottom w:w="0" w:type="dxa"/>
            <w:right w:w="0" w:type="dxa"/>
          </w:tblCellMar>
        </w:tblPrEx>
        <w:trPr>
          <w:jc w:val="center"/>
        </w:trPr>
        <w:tc>
          <w:tcPr>
            <w:tcW w:w="371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（本列数据的勾稽关系为：第一项加第二 项之和，等于第三项加第四项之和）</w:t>
            </w:r>
          </w:p>
        </w:tc>
        <w:tc>
          <w:tcPr>
            <w:tcW w:w="535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71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6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自然人</w:t>
            </w:r>
          </w:p>
        </w:tc>
        <w:tc>
          <w:tcPr>
            <w:tcW w:w="400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70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71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650" w:type="dxa"/>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商业企业</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科研机构</w:t>
            </w:r>
          </w:p>
        </w:tc>
        <w:tc>
          <w:tcPr>
            <w:tcW w:w="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9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r>
      <w:tr>
        <w:tblPrEx>
          <w:tblCellMar>
            <w:top w:w="0" w:type="dxa"/>
            <w:left w:w="0" w:type="dxa"/>
            <w:bottom w:w="0" w:type="dxa"/>
            <w:right w:w="0" w:type="dxa"/>
          </w:tblCellMar>
        </w:tblPrEx>
        <w:trPr>
          <w:trHeight w:val="740" w:hRule="atLeast"/>
          <w:jc w:val="center"/>
        </w:trPr>
        <w:tc>
          <w:tcPr>
            <w:tcW w:w="371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1100</w:t>
            </w:r>
          </w:p>
        </w:tc>
      </w:tr>
      <w:tr>
        <w:tblPrEx>
          <w:tblCellMar>
            <w:top w:w="0" w:type="dxa"/>
            <w:left w:w="0" w:type="dxa"/>
            <w:bottom w:w="0" w:type="dxa"/>
            <w:right w:w="0" w:type="dxa"/>
          </w:tblCellMar>
        </w:tblPrEx>
        <w:trPr>
          <w:trHeight w:val="680" w:hRule="atLeast"/>
          <w:jc w:val="center"/>
        </w:trPr>
        <w:tc>
          <w:tcPr>
            <w:tcW w:w="371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宋体" w:hAnsi="宋体" w:eastAsia="宋体" w:cs="宋体"/>
                <w:kern w:val="0"/>
                <w:sz w:val="20"/>
                <w:szCs w:val="20"/>
              </w:rPr>
              <w:t>三、本年度办理结果</w:t>
            </w:r>
          </w:p>
        </w:tc>
        <w:tc>
          <w:tcPr>
            <w:tcW w:w="31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（一）予以公开</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hint="eastAsia" w:ascii="Calibri" w:hAnsi="Calibri" w:eastAsia="宋体" w:cs="宋体"/>
                <w:kern w:val="0"/>
                <w:sz w:val="20"/>
                <w:szCs w:val="20"/>
              </w:rPr>
              <w:t>1094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31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（二）部分公开（区分处理的，只计这一情形，不计其他情形）</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（三）不予公开</w:t>
            </w: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1.属于国家秘密</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2.其他法律行政法规禁止公开</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3.危及“三安全一稳定”</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4.保护第三方合法权益</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5.属于三类内部事务信息</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6.属于四类过程性信息</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7.属于行政执法案卷</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8.属于行政查询事项</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（四）无法提供</w:t>
            </w: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1.本机关不掌握相关政府信息</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2.没有现成信息需要另行制作</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3.补正后申请内容仍不明确</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（五）不予处理</w:t>
            </w: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1.信访举报投诉类申请</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2.重复申请</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3.要求提供公开出版物</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4.无正当理由大量反复申请</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22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5.要求行政机关确认或重新出具已获取信息</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31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（六）其他处理</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320" w:lineRule="exact"/>
              <w:jc w:val="left"/>
              <w:rPr>
                <w:rFonts w:ascii="宋体" w:hAnsi="宋体" w:eastAsia="宋体" w:cs="宋体"/>
                <w:kern w:val="0"/>
                <w:sz w:val="24"/>
              </w:rPr>
            </w:pPr>
          </w:p>
        </w:tc>
        <w:tc>
          <w:tcPr>
            <w:tcW w:w="31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楷体" w:hAnsi="楷体" w:eastAsia="楷体" w:cs="宋体"/>
                <w:kern w:val="0"/>
                <w:sz w:val="20"/>
                <w:szCs w:val="20"/>
              </w:rPr>
              <w:t>（七）总计</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824" w:hRule="atLeast"/>
          <w:jc w:val="center"/>
        </w:trPr>
        <w:tc>
          <w:tcPr>
            <w:tcW w:w="371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Calibri" w:hAnsi="Calibri" w:eastAsia="宋体" w:cs="宋体"/>
                <w:kern w:val="0"/>
                <w:sz w:val="20"/>
                <w:szCs w:val="20"/>
              </w:rPr>
              <w:t> </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p>
        </w:tc>
      </w:tr>
    </w:tbl>
    <w:p>
      <w:pPr>
        <w:spacing w:line="320" w:lineRule="exact"/>
        <w:ind w:firstLine="600" w:firstLineChars="200"/>
        <w:jc w:val="left"/>
        <w:rPr>
          <w:rFonts w:hint="eastAsia" w:ascii="黑体" w:hAnsi="黑体" w:eastAsia="黑体"/>
          <w:sz w:val="30"/>
          <w:szCs w:val="30"/>
        </w:rPr>
      </w:pPr>
    </w:p>
    <w:p>
      <w:pPr>
        <w:spacing w:before="156" w:beforeLines="50" w:after="156" w:afterLines="50" w:line="580" w:lineRule="exact"/>
        <w:ind w:firstLine="600" w:firstLineChars="200"/>
        <w:jc w:val="left"/>
        <w:rPr>
          <w:rFonts w:hint="eastAsia" w:ascii="黑体" w:hAnsi="黑体" w:eastAsia="黑体"/>
          <w:sz w:val="30"/>
          <w:szCs w:val="30"/>
        </w:rPr>
      </w:pPr>
      <w:r>
        <w:rPr>
          <w:rFonts w:hint="eastAsia" w:ascii="黑体" w:hAnsi="黑体" w:eastAsia="黑体"/>
          <w:sz w:val="30"/>
          <w:szCs w:val="30"/>
        </w:rPr>
        <w:t>四、政府信息公开行政复议、行政诉讼情况 </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before="156" w:beforeLines="50" w:after="156" w:afterLines="50"/>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spacing w:before="156" w:beforeLines="50" w:after="156" w:afterLines="50"/>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before="156" w:beforeLines="50" w:after="156" w:afterLines="50"/>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before="156" w:beforeLines="50" w:after="156" w:afterLines="50"/>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before="156" w:beforeLines="50" w:after="156" w:afterLines="50"/>
              <w:jc w:val="left"/>
              <w:rPr>
                <w:rFonts w:ascii="宋体" w:hAnsi="宋体" w:eastAsia="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center"/>
              <w:rPr>
                <w:rFonts w:ascii="宋体" w:hAnsi="宋体" w:eastAsia="宋体" w:cs="宋体"/>
                <w:kern w:val="0"/>
                <w:sz w:val="24"/>
              </w:rPr>
            </w:pPr>
            <w:r>
              <w:rPr>
                <w:rFonts w:hint="eastAsia" w:ascii="宋体" w:hAnsi="宋体" w:eastAsia="宋体" w:cs="宋体"/>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56" w:beforeLines="50" w:after="156" w:afterLines="50"/>
              <w:jc w:val="left"/>
              <w:rPr>
                <w:rFonts w:ascii="宋体" w:hAnsi="宋体" w:eastAsia="宋体" w:cs="宋体"/>
                <w:kern w:val="0"/>
                <w:sz w:val="24"/>
              </w:rPr>
            </w:pPr>
            <w:r>
              <w:rPr>
                <w:rFonts w:hint="eastAsia" w:ascii="宋体" w:hAnsi="宋体" w:eastAsia="宋体" w:cs="宋体"/>
                <w:kern w:val="0"/>
                <w:sz w:val="24"/>
              </w:rPr>
              <w:t>0</w:t>
            </w:r>
          </w:p>
        </w:tc>
      </w:tr>
    </w:tbl>
    <w:p>
      <w:pPr>
        <w:spacing w:before="156" w:beforeLines="50" w:after="156" w:afterLines="50" w:line="580" w:lineRule="exact"/>
        <w:ind w:firstLine="600" w:firstLineChars="200"/>
        <w:jc w:val="left"/>
        <w:rPr>
          <w:rFonts w:ascii="黑体" w:hAnsi="黑体" w:eastAsia="黑体"/>
          <w:sz w:val="30"/>
          <w:szCs w:val="30"/>
        </w:rPr>
      </w:pPr>
      <w:r>
        <w:rPr>
          <w:rFonts w:hint="eastAsia" w:ascii="黑体" w:hAnsi="黑体" w:eastAsia="黑体"/>
          <w:sz w:val="30"/>
          <w:szCs w:val="30"/>
        </w:rPr>
        <w:t>五、存在的主要问题及改进情况 </w:t>
      </w:r>
    </w:p>
    <w:p>
      <w:pPr>
        <w:spacing w:before="156" w:beforeLines="50" w:after="156" w:afterLines="50"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2020年度，我局政务信息公开工作取得了一定的成效，但仍存在一些问题和不足，如政府信息公开的内容还需进一步深化扩展，重要经济指标解读精准度需进一步提高等。</w:t>
      </w:r>
    </w:p>
    <w:p>
      <w:pPr>
        <w:spacing w:before="156" w:beforeLines="50" w:after="156" w:afterLines="50" w:line="580" w:lineRule="exact"/>
        <w:ind w:firstLine="600" w:firstLineChars="200"/>
        <w:rPr>
          <w:rFonts w:ascii="仿宋_GB2312" w:hAnsi="仿宋" w:eastAsia="仿宋_GB2312"/>
          <w:sz w:val="30"/>
          <w:szCs w:val="30"/>
        </w:rPr>
      </w:pPr>
      <w:r>
        <w:rPr>
          <w:rFonts w:hint="eastAsia" w:ascii="仿宋_GB2312" w:hAnsi="仿宋" w:eastAsia="仿宋_GB2312"/>
          <w:sz w:val="30"/>
          <w:szCs w:val="30"/>
        </w:rPr>
        <w:t>下一步，我局将继续深入学习贯彻新《条例》相关规定要求，在公开的范围、内容、形式、渠道上进一步探索，拓展统计数据发布内容，完善数据解读机制，突出工作重点，体现统计特色，进一步提高政府信息质量，提升全局政务公开工作水平，增强统计工作的公信力和影响力。</w:t>
      </w:r>
    </w:p>
    <w:p>
      <w:pPr>
        <w:spacing w:before="156" w:beforeLines="50" w:after="156" w:afterLines="50" w:line="580" w:lineRule="exact"/>
        <w:ind w:firstLine="600" w:firstLineChars="200"/>
        <w:jc w:val="left"/>
        <w:rPr>
          <w:rFonts w:ascii="黑体" w:hAnsi="黑体" w:eastAsia="黑体"/>
          <w:sz w:val="30"/>
          <w:szCs w:val="30"/>
        </w:rPr>
      </w:pPr>
      <w:r>
        <w:rPr>
          <w:rFonts w:hint="eastAsia" w:ascii="黑体" w:hAnsi="黑体" w:eastAsia="黑体"/>
          <w:sz w:val="30"/>
          <w:szCs w:val="30"/>
        </w:rPr>
        <w:t>六、没有其他需要报告的事项   </w:t>
      </w:r>
    </w:p>
    <w:p>
      <w:pPr>
        <w:pStyle w:val="4"/>
        <w:widowControl/>
        <w:spacing w:before="156" w:beforeLines="50" w:beforeAutospacing="0" w:after="156" w:afterLines="50" w:afterAutospacing="0" w:line="504" w:lineRule="atLeast"/>
        <w:jc w:val="both"/>
        <w:rPr>
          <w:rFonts w:ascii="宋体" w:hAnsi="宋体" w:eastAsia="宋体" w:cs="宋体"/>
          <w:color w:val="333333"/>
        </w:rPr>
      </w:pPr>
    </w:p>
    <w:p>
      <w:pPr>
        <w:pStyle w:val="4"/>
        <w:widowControl/>
        <w:spacing w:before="156" w:beforeLines="50" w:beforeAutospacing="0" w:after="156" w:afterLines="50" w:afterAutospacing="0" w:line="504" w:lineRule="atLeast"/>
        <w:jc w:val="both"/>
        <w:rPr>
          <w:rFonts w:ascii="宋体" w:hAnsi="宋体" w:eastAsia="宋体" w:cs="宋体"/>
          <w:color w:val="333333"/>
        </w:rPr>
      </w:pPr>
    </w:p>
    <w:p>
      <w:pPr>
        <w:spacing w:before="156" w:beforeLines="50" w:after="156" w:afterLines="50" w:line="580" w:lineRule="exact"/>
        <w:ind w:firstLine="480" w:firstLineChars="200"/>
        <w:jc w:val="left"/>
        <w:rPr>
          <w:rFonts w:ascii="仿宋_GB2312" w:hAnsi="仿宋" w:eastAsia="仿宋_GB2312"/>
          <w:sz w:val="30"/>
          <w:szCs w:val="30"/>
        </w:rPr>
      </w:pPr>
      <w:r>
        <w:rPr>
          <w:rFonts w:hint="eastAsia" w:ascii="宋体" w:hAnsi="宋体" w:eastAsia="宋体" w:cs="宋体"/>
          <w:color w:val="333333"/>
          <w:sz w:val="24"/>
        </w:rPr>
        <w:t>　　       </w:t>
      </w:r>
      <w:r>
        <w:rPr>
          <w:rFonts w:hint="eastAsia" w:ascii="仿宋_GB2312" w:hAnsi="仿宋" w:eastAsia="仿宋_GB2312"/>
          <w:sz w:val="30"/>
          <w:szCs w:val="30"/>
        </w:rPr>
        <w:t>            </w:t>
      </w:r>
      <w:r>
        <w:rPr>
          <w:rFonts w:hint="eastAsia" w:ascii="仿宋_GB2312" w:hAnsi="仿宋" w:eastAsia="仿宋_GB2312"/>
          <w:sz w:val="30"/>
          <w:szCs w:val="30"/>
          <w:lang w:val="en-US" w:eastAsia="zh-CN"/>
        </w:rPr>
        <w:t xml:space="preserve">         </w:t>
      </w:r>
      <w:bookmarkStart w:id="0" w:name="_GoBack"/>
      <w:bookmarkEnd w:id="0"/>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忻州市统计局 </w:t>
      </w:r>
    </w:p>
    <w:p>
      <w:pPr>
        <w:spacing w:before="156" w:beforeLines="50" w:after="156" w:afterLines="50" w:line="58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　　            </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   2020年1月29日 </w:t>
      </w:r>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2D"/>
    <w:rsid w:val="00042515"/>
    <w:rsid w:val="0041692F"/>
    <w:rsid w:val="0048122D"/>
    <w:rsid w:val="006916DF"/>
    <w:rsid w:val="04B96A65"/>
    <w:rsid w:val="08B36EC0"/>
    <w:rsid w:val="08B8335E"/>
    <w:rsid w:val="10777D2A"/>
    <w:rsid w:val="12E123AA"/>
    <w:rsid w:val="15DD23F9"/>
    <w:rsid w:val="1D8D4AC4"/>
    <w:rsid w:val="1FF91F67"/>
    <w:rsid w:val="21647938"/>
    <w:rsid w:val="21D84184"/>
    <w:rsid w:val="24C317F0"/>
    <w:rsid w:val="25A56159"/>
    <w:rsid w:val="290C7E82"/>
    <w:rsid w:val="2D5E4CEF"/>
    <w:rsid w:val="31412595"/>
    <w:rsid w:val="35856C03"/>
    <w:rsid w:val="358D4E25"/>
    <w:rsid w:val="35B41F21"/>
    <w:rsid w:val="35EB7394"/>
    <w:rsid w:val="368004C0"/>
    <w:rsid w:val="3E21784B"/>
    <w:rsid w:val="40FC42AE"/>
    <w:rsid w:val="4984448F"/>
    <w:rsid w:val="499300D3"/>
    <w:rsid w:val="4B5C07C9"/>
    <w:rsid w:val="4DB500CA"/>
    <w:rsid w:val="5A9349F7"/>
    <w:rsid w:val="5AAA04AC"/>
    <w:rsid w:val="5B0149A6"/>
    <w:rsid w:val="62B63355"/>
    <w:rsid w:val="64BC6525"/>
    <w:rsid w:val="65D93F26"/>
    <w:rsid w:val="685A1632"/>
    <w:rsid w:val="6C85371D"/>
    <w:rsid w:val="73117A20"/>
    <w:rsid w:val="796F6BAC"/>
    <w:rsid w:val="7DF81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386</Words>
  <Characters>2206</Characters>
  <Lines>18</Lines>
  <Paragraphs>5</Paragraphs>
  <TotalTime>12</TotalTime>
  <ScaleCrop>false</ScaleCrop>
  <LinksUpToDate>false</LinksUpToDate>
  <CharactersWithSpaces>2587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郭佑安(拟稿)</cp:lastModifiedBy>
  <cp:lastPrinted>2021-01-29T07:53:00Z</cp:lastPrinted>
  <dcterms:modified xsi:type="dcterms:W3CDTF">2021-01-29T08:24:41Z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