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uto" w:line="240"/>
        <w:ind w:firstLine="420"/>
        <w:jc w:val="center"/>
        <w:textAlignment w:val="baseline"/>
        <w:rPr>
          <w:rFonts w:ascii="方正小标宋_GBK" w:cs="方正小标宋_GBK" w:eastAsia="方正小标宋_GBK" w:hAnsi="方正小标宋_GBK"/>
          <w:b w:val="false"/>
          <w:i w:val="false"/>
          <w:caps w:val="false"/>
          <w:color w:val="333333"/>
          <w:spacing w:val="0"/>
          <w:w w:val="100"/>
          <w:sz w:val="36"/>
          <w:szCs w:val="36"/>
          <w:shd w:val="clear" w:color="auto" w:fill="ffffff"/>
        </w:rPr>
      </w:pPr>
      <w:r>
        <w:rPr>
          <w:rFonts w:ascii="方正小标宋_GBK" w:cs="方正小标宋_GBK" w:eastAsia="方正小标宋_GBK" w:hAnsi="方正小标宋_GBK" w:hint="eastAsia"/>
          <w:b w:val="false"/>
          <w:i w:val="false"/>
          <w:caps w:val="false"/>
          <w:color w:val="333333"/>
          <w:spacing w:val="0"/>
          <w:w w:val="100"/>
          <w:sz w:val="36"/>
          <w:szCs w:val="36"/>
          <w:shd w:val="clear" w:color="auto" w:fill="ffffff"/>
        </w:rPr>
        <w:t>忻州市文化和旅游局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uto" w:line="240"/>
        <w:ind w:firstLine="420"/>
        <w:jc w:val="center"/>
        <w:textAlignment w:val="baseline"/>
        <w:rPr>
          <w:rFonts w:ascii="方正小标宋_GBK" w:cs="方正小标宋_GBK" w:eastAsia="方正小标宋_GBK" w:hAnsi="方正小标宋_GBK"/>
          <w:b w:val="false"/>
          <w:i w:val="false"/>
          <w:caps w:val="false"/>
          <w:color w:val="333333"/>
          <w:spacing w:val="0"/>
          <w:w w:val="100"/>
          <w:sz w:val="36"/>
          <w:szCs w:val="36"/>
          <w:shd w:val="clear" w:color="auto" w:fill="ffffff"/>
        </w:rPr>
      </w:pPr>
      <w:r>
        <w:rPr>
          <w:rFonts w:ascii="方正小标宋_GBK" w:cs="方正小标宋_GBK" w:eastAsia="方正小标宋_GBK" w:hAnsi="方正小标宋_GBK" w:hint="eastAsia"/>
          <w:b w:val="false"/>
          <w:i w:val="false"/>
          <w:caps w:val="false"/>
          <w:color w:val="333333"/>
          <w:spacing w:val="0"/>
          <w:w w:val="100"/>
          <w:sz w:val="36"/>
          <w:szCs w:val="36"/>
          <w:shd w:val="clear" w:color="auto" w:fill="ffffff"/>
        </w:rPr>
        <w:t>2020年度政府信息公开年度报告</w:t>
      </w:r>
    </w:p>
    <w:p>
      <w:pPr>
        <w:pStyle w:val="style94"/>
        <w:widowControl/>
        <w:numPr>
          <w:ilvl w:val="0"/>
          <w:numId w:val="1"/>
        </w:numPr>
        <w:shd w:val="clear" w:color="auto" w:fill="ffffff"/>
        <w:snapToGrid/>
        <w:spacing w:before="0" w:beforeAutospacing="false" w:after="0" w:afterAutospacing="false" w:lineRule="auto" w:line="240"/>
        <w:ind w:firstLine="420"/>
        <w:jc w:val="both"/>
        <w:textAlignment w:val="baseline"/>
        <w:rPr>
          <w:rFonts w:ascii="楷体" w:cs="楷体" w:eastAsia="楷体" w:hAnsi="楷体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</w:pPr>
      <w:r>
        <w:rPr>
          <w:rFonts w:ascii="楷体" w:cs="楷体" w:eastAsia="楷体" w:hAnsi="楷体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总体情况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</w:rPr>
      </w:pP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2020年，忻州市文化和旅游局在市委、市政府的领导下，认真贯彻落实《中华人民共和国政府信息公开条例》，强化组织领导、健全机制保障，完善政务公开载体、创新政务公开形式、营造政务公开氛围。使政务公开制度更加健全、内容更加丰富、载体更加完善，公开更加主动，安全更加保障。年度公开信息总量为4780条。其中忻州市文化和旅游局官网发布2427条。工作动态为732 条，占总公开数量的 30%；政策法规为 144条，占总公开数量的 6%；通知公告 233条，占总公开数量的 10%；部门文件 19 条，占总公开数量的 1%；文件解读量为 14 条，解读数量 73%；国务院政策解读2条，省政府政策解读3条；其他为 1252 条，占总公开数量的 51%政务微博发布数量2353条，粉丝数量为18506人。本年度具体做了以下工作：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</w:pPr>
      <w:r>
        <w:rPr>
          <w:rFonts w:ascii="楷体" w:cs="楷体" w:eastAsia="楷体" w:hAnsi="楷体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（一）切实加强政务公开工作的组织领导。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文化和旅游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局高度重视政务公开工作，成立了由主要领导牵头，分管领导分工负责，各科室负责人为责任人的政务公开工作领导小组，负责指导、协调和监督局政务公开工作的开展。领导小组下设办公室，由局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旅游服务中心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负责日常工作，指定专人负责收集、整理、发布有关政府信息。在局党组的领导下，通过领导小组的积极协调，相关科室的认真配合，较好地保障了政务公开工作的有序开展。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</w:pPr>
      <w:r>
        <w:rPr>
          <w:rFonts w:ascii="楷体" w:cs="楷体" w:eastAsia="楷体" w:hAnsi="楷体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ascii="楷体" w:cs="楷体" w:eastAsia="楷体" w:hAnsi="楷体" w:hint="eastAsia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二</w:t>
      </w:r>
      <w:r>
        <w:rPr>
          <w:rFonts w:ascii="楷体" w:cs="楷体" w:eastAsia="楷体" w:hAnsi="楷体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）大力加强政务信息公开载体建设</w:t>
      </w:r>
      <w:r>
        <w:rPr>
          <w:rStyle w:val="style87"/>
          <w:rFonts w:ascii="方正仿宋简体" w:cs="方正仿宋简体" w:eastAsia="方正仿宋简体" w:hAnsi="方正仿宋简体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根据政务公开工作要求，大力加强部门政府政务公开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内容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网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络信息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建设。主动公开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工作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概况、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行业资讯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行政执法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等信息，进一步完善政策法规、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政策解读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文旅服务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优化营商环境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等信息专栏，指定专人负责及时维护更新网站内容。同时，鼓励各科室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积极创新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信息发布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内容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，通过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忻州市文化旅游局官网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、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忻州网、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官方微博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、抖音快手平台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等方式及时发布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忻州文旅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信息，提高工作的透明度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和文旅服务覆盖面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</w:pPr>
      <w:r>
        <w:rPr>
          <w:rStyle w:val="style87"/>
          <w:rFonts w:ascii="楷体_GB2312" w:cs="楷体_GB2312" w:eastAsia="楷体_GB2312" w:hAnsi="Times New Roman"/>
          <w:b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Style w:val="style87"/>
          <w:rFonts w:ascii="楷体_GB2312" w:cs="楷体_GB2312" w:eastAsia="楷体_GB2312" w:hAnsi="Times New Roman" w:hint="eastAsia"/>
          <w:b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三</w:t>
      </w:r>
      <w:r>
        <w:rPr>
          <w:rStyle w:val="style87"/>
          <w:rFonts w:ascii="楷体_GB2312" w:cs="楷体_GB2312" w:eastAsia="楷体_GB2312" w:hAnsi="Times New Roman"/>
          <w:b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）严密组织政务公开</w:t>
      </w:r>
      <w:r>
        <w:rPr>
          <w:rStyle w:val="style87"/>
          <w:rFonts w:ascii="方正仿宋简体" w:cs="方正仿宋简体" w:eastAsia="方正仿宋简体" w:hAnsi="方正仿宋简体"/>
          <w:b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。</w:t>
      </w:r>
      <w:r>
        <w:rPr>
          <w:rFonts w:ascii="方正仿宋_GB2312" w:cs="方正仿宋_GB2312" w:eastAsia="方正仿宋_GB2312" w:hAnsi="方正仿宋_GB2312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一是抓好固定性内容的公开。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对文化旅游行业标准，文化旅游政策法规和文化旅游发展规划等内容，做到长期公开，及时更新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；</w:t>
      </w:r>
      <w:r>
        <w:rPr>
          <w:rFonts w:ascii="方正仿宋_GB2312" w:cs="方正仿宋_GB2312" w:eastAsia="方正仿宋_GB2312" w:hAnsi="方正仿宋_GB2312" w:hint="eastAsia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二是抓好人事动态的公开。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对局人事任免、公务员考录、行业表彰等重点工作做到按时公开；</w:t>
      </w:r>
      <w:r>
        <w:rPr>
          <w:rFonts w:ascii="方正仿宋_GB2312" w:cs="方正仿宋_GB2312" w:eastAsia="方正仿宋_GB2312" w:hAnsi="方正仿宋_GB2312" w:hint="eastAsia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三</w:t>
      </w:r>
      <w:r>
        <w:rPr>
          <w:rFonts w:ascii="方正仿宋_GB2312" w:cs="方正仿宋_GB2312" w:eastAsia="方正仿宋_GB2312" w:hAnsi="方正仿宋_GB2312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是抓好“三公”经费公开。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在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忻州市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政务公开平台公开了2020年部门预算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等八项内容；</w:t>
      </w:r>
      <w:r>
        <w:rPr>
          <w:rFonts w:ascii="方正仿宋_GB2312" w:cs="方正仿宋_GB2312" w:eastAsia="方正仿宋_GB2312" w:hAnsi="方正仿宋_GB2312" w:hint="eastAsia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四</w:t>
      </w:r>
      <w:r>
        <w:rPr>
          <w:rFonts w:ascii="方正仿宋_GB2312" w:cs="方正仿宋_GB2312" w:eastAsia="方正仿宋_GB2312" w:hAnsi="方正仿宋_GB2312"/>
          <w:b/>
          <w:bCs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是抓好文化旅游咨询投诉受理。</w:t>
      </w:r>
      <w:r>
        <w:rPr>
          <w:rFonts w:ascii="方正仿宋_GB2312" w:cs="方正仿宋_GB2312" w:eastAsia="方正仿宋_GB2312" w:hAnsi="方正仿宋_GB2312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对投诉始终做到热情接待、依法办理、认真答复，确保群众权益。</w:t>
      </w:r>
      <w:r>
        <w:rPr>
          <w:rFonts w:ascii="方正仿宋_GB2312" w:cs="方正仿宋_GB2312" w:eastAsia="方正仿宋_GB2312" w:hAnsi="方正仿宋_GB2312" w:hint="eastAsia"/>
          <w:b w:val="false"/>
          <w:i w:val="false"/>
          <w:caps w:val="false"/>
          <w:color w:val="333333"/>
          <w:spacing w:val="0"/>
          <w:w w:val="100"/>
          <w:sz w:val="32"/>
          <w:szCs w:val="32"/>
          <w:shd w:val="clear" w:color="auto" w:fill="ffffff"/>
        </w:rPr>
        <w:t>全年网站互动留言 28条，回复率满意率百分之百。做到了及时认真处理网站和微博留言、12345市民热线与旅游投诉热线的所有问题。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黑体" w:cs="黑体" w:eastAsia="黑体" w:hAnsi="宋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二、主动公开政府信息情况</w:t>
      </w: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黑体" w:cs="黑体" w:eastAsia="黑体" w:hAnsi="宋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</w:pPr>
      <w:r>
        <w:rPr>
          <w:b w:val="false"/>
          <w:i w:val="false"/>
          <w:caps w:val="false"/>
          <w:spacing w:val="0"/>
          <w:w w:val="100"/>
          <w:sz w:val="20"/>
        </w:rPr>
        <w:br w:type="page"/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615"/>
        <w:ind w:firstLine="645"/>
        <w:jc w:val="both"/>
        <w:textAlignment w:val="baseline"/>
        <w:rPr>
          <w:rFonts w:ascii="黑体" w:cs="黑体" w:eastAsia="黑体" w:hAnsi="宋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</w:pPr>
    </w:p>
    <w:tbl>
      <w:tblPr>
        <w:tblStyle w:val="style105"/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0"/>
        <w:gridCol w:w="1905"/>
        <w:gridCol w:w="2010"/>
        <w:gridCol w:w="1860"/>
      </w:tblGrid>
      <w:tr>
        <w:trPr>
          <w:trHeight w:val="495" w:hRule="atLeast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Style w:val="style87"/>
                <w:rFonts w:ascii="Times New Roman" w:hAnsi="Times New Roman"/>
                <w:b/>
                <w:i w:val="false"/>
                <w:caps w:val="false"/>
                <w:color w:val="333333"/>
                <w:spacing w:val="0"/>
                <w:w w:val="100"/>
                <w:sz w:val="24"/>
              </w:rPr>
              <w:t>第二十条第（一）项</w:t>
            </w:r>
          </w:p>
        </w:tc>
      </w:tr>
      <w:tr>
        <w:tblPrEx/>
        <w:trPr>
          <w:trHeight w:val="88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本年新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制作数量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本年新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公开数量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对外公开总数量</w:t>
            </w:r>
          </w:p>
        </w:tc>
      </w:tr>
      <w:tr>
        <w:tblPrEx/>
        <w:trPr>
          <w:trHeight w:val="76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规章（设区的市、自治州人民政府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应提供相关数据）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</w:tr>
      <w:tr>
        <w:tblPrEx/>
        <w:trPr>
          <w:trHeight w:val="184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规范性文件（行政机关制定发布的决定、公告、通告、意见、通知，以及标题采用“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规定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办法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细则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规范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规程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规则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1"/>
                <w:szCs w:val="21"/>
              </w:rPr>
              <w:t>等字样的公文，一般情况下属于规范性文件）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148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233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233</w:t>
            </w:r>
          </w:p>
        </w:tc>
      </w:tr>
      <w:tr>
        <w:tblPrEx/>
        <w:trPr>
          <w:trHeight w:val="178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其他主动公开文件（含以本单位或本单位办公室名义正式签发的、除规范性文件以外的主动公开文件，可参考本单位政府信息公开平台“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其他主动公开文件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”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栏目数据）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19</w:t>
            </w:r>
          </w:p>
        </w:tc>
      </w:tr>
      <w:tr>
        <w:tblPrEx/>
        <w:trPr>
          <w:trHeight w:val="555" w:hRule="atLeast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Style w:val="style87"/>
                <w:rFonts w:ascii="Times New Roman" w:hAnsi="Times New Roman"/>
                <w:b/>
                <w:i w:val="false"/>
                <w:caps w:val="false"/>
                <w:spacing w:val="0"/>
                <w:w w:val="100"/>
                <w:sz w:val="24"/>
              </w:rPr>
              <w:t>第二十条第（五）项</w:t>
            </w:r>
          </w:p>
        </w:tc>
      </w:tr>
      <w:tr>
        <w:tblPrEx/>
        <w:trPr>
          <w:trHeight w:val="630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上一年项目数量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（指2019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年事项数）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本年增/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年增加或减少的事项数，减用负值表示，如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-8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处理决定数量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年办件量）</w:t>
            </w:r>
          </w:p>
        </w:tc>
      </w:tr>
      <w:tr>
        <w:tblPrEx/>
        <w:trPr>
          <w:trHeight w:val="52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行政许可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default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  <w:lang w:eastAsia="zh-CN"/>
              </w:rPr>
              <w:t>－2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4"/>
                <w:lang w:eastAsia="zh-CN"/>
              </w:rPr>
              <w:t>6</w:t>
            </w:r>
          </w:p>
        </w:tc>
      </w:tr>
      <w:tr>
        <w:tblPrEx/>
        <w:trPr>
          <w:trHeight w:val="1890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default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12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default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Style w:val="style87"/>
                <w:rFonts w:ascii="Times New Roman" w:hAnsi="Times New Roman"/>
                <w:b/>
                <w:i w:val="false"/>
                <w:caps w:val="false"/>
                <w:spacing w:val="0"/>
                <w:w w:val="100"/>
                <w:sz w:val="24"/>
              </w:rPr>
              <w:t>第二十条第（六）项</w:t>
            </w:r>
          </w:p>
        </w:tc>
      </w:tr>
      <w:tr>
        <w:tblPrEx/>
        <w:trPr>
          <w:trHeight w:val="169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上一年项目数量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（指2019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年事项数）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本年增/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年增加或减少的事项数，减用负值表示，如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-8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处理决定数量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年办件量）</w:t>
            </w:r>
          </w:p>
        </w:tc>
      </w:tr>
      <w:tr>
        <w:tblPrEx/>
        <w:trPr>
          <w:trHeight w:val="43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行政处罚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default"/>
                <w:b w:val="false"/>
                <w:i w:val="false"/>
                <w:caps w:val="false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123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0"/>
                <w:lang w:eastAsia="zh-CN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0"/>
                <w:lang w:eastAsia="zh-CN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  <w:lang w:val="en-US" w:eastAsia="zh-CN"/>
              </w:rPr>
              <w:t>9</w:t>
            </w:r>
          </w:p>
        </w:tc>
      </w:tr>
      <w:tr>
        <w:tblPrEx/>
        <w:trPr>
          <w:trHeight w:val="40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行政强制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  <w:t>0</w:t>
            </w:r>
          </w:p>
        </w:tc>
      </w:tr>
      <w:tr>
        <w:tblPrEx/>
        <w:trPr>
          <w:trHeight w:val="540" w:hRule="atLeast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Style w:val="style87"/>
                <w:rFonts w:ascii="Times New Roman" w:hAnsi="Times New Roman"/>
                <w:b/>
                <w:i w:val="false"/>
                <w:caps w:val="false"/>
                <w:spacing w:val="0"/>
                <w:w w:val="100"/>
                <w:sz w:val="24"/>
              </w:rPr>
              <w:t>第二十条第（八）项</w:t>
            </w:r>
          </w:p>
        </w:tc>
      </w:tr>
      <w:tr>
        <w:tblPrEx/>
        <w:trPr>
          <w:trHeight w:val="1140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上一年项目数量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（指2019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年收费项目数）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本年增/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年增加的收费项目数，减用负值表示，如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-8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）</w:t>
            </w:r>
          </w:p>
        </w:tc>
      </w:tr>
      <w:tr>
        <w:tblPrEx/>
        <w:trPr>
          <w:trHeight w:val="55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行政事业性收费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0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Style w:val="style87"/>
                <w:rFonts w:ascii="Times New Roman" w:hAnsi="Times New Roman"/>
                <w:b/>
                <w:i w:val="false"/>
                <w:caps w:val="false"/>
                <w:spacing w:val="0"/>
                <w:w w:val="100"/>
                <w:sz w:val="24"/>
              </w:rPr>
              <w:t>第二十条第（九）项</w:t>
            </w:r>
          </w:p>
        </w:tc>
      </w:tr>
      <w:tr>
        <w:tblPrEx/>
        <w:trPr>
          <w:trHeight w:val="585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采购项目数量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年以政府集中采购方式采购的项目总个数）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采购总金额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（指2020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spacing w:val="0"/>
                <w:w w:val="100"/>
                <w:sz w:val="24"/>
              </w:rPr>
              <w:t>年以政府集中采购方式采购的项目已支付的总金额）</w:t>
            </w:r>
          </w:p>
        </w:tc>
      </w:tr>
      <w:tr>
        <w:tblPrEx/>
        <w:trPr>
          <w:trHeight w:val="540" w:hRule="atLeast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政府集中采购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15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ascii="Times New Roman" w:cs="Times New Roman" w:hAnsi="Times New Roman" w:hint="eastAsia"/>
                <w:b w:val="false"/>
                <w:i w:val="false"/>
                <w:caps w:val="false"/>
                <w:spacing w:val="0"/>
                <w:w w:val="100"/>
                <w:sz w:val="24"/>
              </w:rPr>
              <w:t>88479733</w:t>
            </w:r>
          </w:p>
        </w:tc>
      </w:tr>
    </w:tbl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黑体" w:cs="黑体" w:eastAsia="黑体" w:hAnsi="宋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</w:pPr>
      <w:r>
        <w:rPr>
          <w:b w:val="false"/>
          <w:i w:val="false"/>
          <w:caps w:val="false"/>
          <w:spacing w:val="0"/>
          <w:w w:val="100"/>
          <w:sz w:val="20"/>
        </w:rPr>
        <w:br w:type="page"/>
      </w:r>
    </w:p>
    <w:p>
      <w:pPr>
        <w:pStyle w:val="style94"/>
        <w:widowControl/>
        <w:shd w:val="clear" w:color="auto" w:fill="ffffff"/>
        <w:snapToGrid/>
        <w:spacing w:before="0" w:beforeAutospacing="false" w:after="240" w:afterAutospacing="false" w:lineRule="atLeast" w:line="30"/>
        <w:ind w:firstLine="420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Style w:val="style105"/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59"/>
        <w:gridCol w:w="2649"/>
        <w:gridCol w:w="1063"/>
        <w:gridCol w:w="929"/>
        <w:gridCol w:w="929"/>
        <w:gridCol w:w="749"/>
        <w:gridCol w:w="899"/>
        <w:gridCol w:w="674"/>
        <w:gridCol w:w="659"/>
      </w:tblGrid>
      <w:tr>
        <w:trPr>
          <w:trHeight w:val="555" w:hRule="atLeast"/>
          <w:jc w:val="center"/>
        </w:trPr>
        <w:tc>
          <w:tcPr>
            <w:tcW w:w="46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申请人情况</w:t>
            </w:r>
          </w:p>
        </w:tc>
      </w:tr>
      <w:tr>
        <w:tblPrEx/>
        <w:trPr>
          <w:trHeight w:val="600" w:hRule="atLeast"/>
          <w:jc w:val="center"/>
        </w:trPr>
        <w:tc>
          <w:tcPr>
            <w:tcW w:w="4635" w:type="dxa"/>
            <w:gridSpan w:val="3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自然人</w:t>
            </w:r>
          </w:p>
        </w:tc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总计</w:t>
            </w:r>
          </w:p>
        </w:tc>
      </w:tr>
      <w:tr>
        <w:tblPrEx/>
        <w:trPr>
          <w:trHeight w:val="1080" w:hRule="atLeast"/>
          <w:jc w:val="center"/>
        </w:trPr>
        <w:tc>
          <w:tcPr>
            <w:tcW w:w="4635" w:type="dxa"/>
            <w:gridSpan w:val="3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商业企业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科研机构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社会公益组织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法律服务机构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</w:tr>
      <w:tr>
        <w:tblPrEx/>
        <w:trPr>
          <w:trHeight w:val="615" w:hRule="atLeast"/>
          <w:jc w:val="center"/>
        </w:trPr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一、本年新收政府信息公开申请数量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二、上年结转政府信息公开申请数量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三、本年度办理结果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（一）予以公开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（三）不予公开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属于国家秘密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2.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其他法律行政法规禁止公开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3.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危及</w:t>
            </w: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“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三安全一稳定</w:t>
            </w: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”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4.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保护第三方合法权益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5.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属于三类内部事务信息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6.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属于四类过程性信息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7.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属于行政执法案卷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8.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属于行政查询事项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（四）无法提供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本机关不掌握相关政府信息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2.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没有现成信息需要另行制作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3.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补正后申请内容仍不明确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（五）不予处理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1.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信访举报投诉类申请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2.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重复申请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3.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要求提供公开出版物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4.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无正当理由大量反复申请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5.</w:t>
            </w:r>
            <w:r>
              <w:rPr>
                <w:rFonts w:ascii="方正仿宋简体" w:cs="方正仿宋简体" w:eastAsia="方正仿宋简体" w:hAnsi="方正仿宋简体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要求行政机关确认或重新出具已获取信息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（六）其他处理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72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（七）总计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left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color w:val="333333"/>
                <w:spacing w:val="0"/>
                <w:w w:val="100"/>
                <w:sz w:val="24"/>
              </w:rPr>
              <w:t>四、结转下年度继续办理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</w:tbl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420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四、政府信息公开行政复议、行政诉讼情况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420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24"/>
          <w:shd w:val="clear" w:color="auto" w:fill="ffffff"/>
        </w:rPr>
        <w:t> </w:t>
      </w:r>
    </w:p>
    <w:tbl>
      <w:tblPr>
        <w:tblStyle w:val="style105"/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rPr>
          <w:trHeight w:val="450" w:hRule="atLeast"/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行政诉讼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复议后起诉</w:t>
            </w:r>
          </w:p>
        </w:tc>
      </w:tr>
      <w:tr>
        <w:tblPrEx/>
        <w:trPr>
          <w:jc w:val="center"/>
        </w:trPr>
        <w:tc>
          <w:tcPr>
            <w:tcW w:w="60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tLeast" w:line="315"/>
              <w:jc w:val="center"/>
              <w:textAlignment w:val="baseline"/>
              <w:rPr>
                <w:rFonts w:cs="Times New Roman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sz w:val="24"/>
              </w:rPr>
              <w:t>总计</w:t>
            </w:r>
          </w:p>
        </w:tc>
      </w:tr>
      <w:tr>
        <w:tblPrEx/>
        <w:trPr>
          <w:trHeight w:val="570" w:hRule="atLeast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napToGrid/>
              <w:spacing w:before="0" w:beforeAutospacing="false" w:after="180" w:afterAutospacing="false" w:lineRule="atLeast" w:line="315"/>
              <w:jc w:val="center"/>
              <w:textAlignment w:val="baseline"/>
              <w:rPr>
                <w:b w:val="false"/>
                <w:i w:val="false"/>
                <w:caps w:val="false"/>
                <w:spacing w:val="0"/>
                <w:w w:val="100"/>
                <w:sz w:val="20"/>
              </w:rPr>
            </w:pPr>
            <w:r>
              <w:rPr>
                <w:rFonts w:hint="eastAsia"/>
                <w:b w:val="false"/>
                <w:i w:val="false"/>
                <w:caps w:val="false"/>
                <w:spacing w:val="0"/>
                <w:w w:val="100"/>
                <w:sz w:val="21"/>
              </w:rPr>
              <w:t>0</w:t>
            </w:r>
          </w:p>
        </w:tc>
      </w:tr>
    </w:tbl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黑体" w:cs="黑体" w:eastAsia="黑体" w:hAnsi="宋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</w:pPr>
      <w:r>
        <w:rPr>
          <w:b w:val="false"/>
          <w:i w:val="false"/>
          <w:caps w:val="false"/>
          <w:spacing w:val="0"/>
          <w:w w:val="100"/>
          <w:sz w:val="20"/>
        </w:rPr>
        <w:br w:type="page"/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五、存在的主要问题及改进情况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今年，</w:t>
      </w:r>
      <w:r>
        <w:rPr>
          <w:rFonts w:ascii="方正仿宋简体" w:cs="方正仿宋简体" w:eastAsia="方正仿宋简体" w:hAnsi="方正仿宋简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市文旅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局政务公开工作围绕全局的中心工作开展，取得了一定成绩，但工作开展的深度和力度还不足。一是主动公开意识还不强，少数内容未能及时更新；二是公开内容需要进一步深化，载体建设需要进一步完善。结合工作中存在问题和不足，下一步我局将着重做好以下工作：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Style w:val="style87"/>
          <w:rFonts w:ascii="方正仿宋简体" w:cs="方正仿宋简体" w:eastAsia="方正仿宋简体" w:hAnsi="方正仿宋简体"/>
          <w:b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（一）进一步建立和完善政府信息公开工作制度。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通过修订局政务公开制度、编制公开目录，并注重抓好制度落实，力争在政务公开工作的全面性、时效性方面有新改进，切实提高机关干部对做好政务信息公开工作的认识。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Style w:val="style87"/>
          <w:rFonts w:ascii="方正仿宋简体" w:cs="方正仿宋简体" w:eastAsia="方正仿宋简体" w:hAnsi="方正仿宋简体"/>
          <w:b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（二）进一步深化信息公开内容，扩大公开范围。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在继续增强政务公开时效性的基础上，进一步做好规范性文件、行政许可、行政处罚等政府信息公开工作；创新政务公开的方式方法，以信息公开促进办事公开，以办事公开带动便民服务。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Style w:val="style87"/>
          <w:rFonts w:ascii="方正仿宋简体" w:cs="方正仿宋简体" w:eastAsia="方正仿宋简体" w:hAnsi="方正仿宋简体"/>
          <w:b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（三）进一步加强政务公开载体建设，丰富公开形式。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进一步发挥我局在市政府信息公开网的公开主渠道作用，通过网站相关栏目及时、准确、全面发布文化旅游政务信息；充分利用网络微博的及时性，向社会公布文化旅游工作事项，方便公众更加便捷了解我市文化旅游工作动态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黑体" w:cs="黑体" w:eastAsia="黑体" w:hAnsi="宋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六、其他需要报告的事项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firstLine="645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无其他需要报告的事项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jc w:val="both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left="646" w:right="316"/>
        <w:jc w:val="right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Times New Roman" w:eastAsia="微软雅黑" w:hAnsi="Times New Roman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                        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</w:t>
      </w:r>
      <w:r>
        <w:rPr>
          <w:rFonts w:ascii="方正仿宋简体" w:cs="方正仿宋简体" w:eastAsia="方正仿宋简体" w:hAnsi="方正仿宋简体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忻州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市文化和旅游局</w:t>
      </w:r>
    </w:p>
    <w:p>
      <w:pPr>
        <w:pStyle w:val="style94"/>
        <w:widowControl/>
        <w:shd w:val="clear" w:color="auto" w:fill="ffffff"/>
        <w:snapToGrid/>
        <w:spacing w:before="0" w:beforeAutospacing="false" w:after="0" w:afterAutospacing="false" w:lineRule="atLeast" w:line="30"/>
        <w:ind w:left="646" w:right="646"/>
        <w:jc w:val="right"/>
        <w:textAlignment w:val="baseline"/>
        <w:rPr>
          <w:rFonts w:ascii="微软雅黑" w:cs="微软雅黑" w:eastAsia="微软雅黑" w:hAnsi="微软雅黑"/>
          <w:b w:val="false"/>
          <w:i w:val="false"/>
          <w:caps w:val="false"/>
          <w:color w:val="333333"/>
          <w:spacing w:val="0"/>
          <w:w w:val="100"/>
          <w:sz w:val="24"/>
        </w:rPr>
      </w:pPr>
      <w:r>
        <w:rPr>
          <w:rFonts w:ascii="Times New Roman" w:eastAsia="微软雅黑" w:hAnsi="Times New Roman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       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                 </w:t>
      </w:r>
      <w:r>
        <w:rPr>
          <w:rFonts w:ascii="Times New Roman" w:eastAsia="微软雅黑" w:hAnsi="Times New Roman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 202</w:t>
      </w:r>
      <w:r>
        <w:rPr>
          <w:rFonts w:ascii="Times New Roman" w:eastAsia="微软雅黑" w:hAnsi="Times New Roman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1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年</w:t>
      </w:r>
      <w:r>
        <w:rPr>
          <w:rFonts w:ascii="Times New Roman" w:eastAsia="微软雅黑" w:hAnsi="Times New Roman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1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月</w:t>
      </w:r>
      <w:r>
        <w:rPr>
          <w:rFonts w:ascii="Times New Roman" w:eastAsia="微软雅黑" w:hAnsi="Times New Roman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2</w:t>
      </w:r>
      <w:r>
        <w:rPr>
          <w:rFonts w:ascii="Times New Roman" w:eastAsia="微软雅黑" w:hAnsi="Times New Roman" w:hint="eastAsia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ascii="方正仿宋简体" w:cs="方正仿宋简体" w:eastAsia="方正仿宋简体" w:hAnsi="方正仿宋简体"/>
          <w:b w:val="false"/>
          <w:i w:val="false"/>
          <w:caps w:val="false"/>
          <w:color w:val="333333"/>
          <w:spacing w:val="0"/>
          <w:w w:val="100"/>
          <w:sz w:val="31"/>
          <w:szCs w:val="31"/>
          <w:shd w:val="clear" w:color="auto" w:fill="ffffff"/>
        </w:rPr>
        <w:t>日</w:t>
      </w:r>
    </w:p>
    <w:p>
      <w:pPr>
        <w:pStyle w:val="style0"/>
        <w:widowControl/>
        <w:snapToGrid/>
        <w:spacing w:before="0" w:beforeAutospacing="false" w:after="0" w:afterAutospacing="false" w:lineRule="atLeast" w:line="30"/>
        <w:jc w:val="both"/>
        <w:textAlignment w:val="baseline"/>
        <w:rPr>
          <w:b w:val="false"/>
          <w:i w:val="false"/>
          <w:caps w:val="false"/>
          <w:color w:val="333333"/>
          <w:spacing w:val="0"/>
          <w:w w:val="100"/>
          <w:sz w:val="24"/>
        </w:rPr>
      </w:pPr>
    </w:p>
    <w:bookmarkStart w:id="0" w:name="_GoBack"/>
    <w:bookmarkEnd w:id="0"/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b w:val="false"/>
          <w:i w:val="false"/>
          <w:caps w:val="false"/>
          <w:spacing w:val="0"/>
          <w:w w:val="100"/>
          <w:sz w:val="20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AA8A4CE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uiPriority w:val="0"/>
    <w:rPr>
      <w:rFonts w:ascii="微软雅黑" w:cs="微软雅黑" w:eastAsia="微软雅黑" w:hAnsi="微软雅黑"/>
      <w:color w:val="333333"/>
      <w:u w:val="none"/>
    </w:rPr>
  </w:style>
  <w:style w:type="character" w:styleId="style85">
    <w:name w:val="Hyperlink"/>
    <w:basedOn w:val="style65"/>
    <w:next w:val="style85"/>
    <w:uiPriority w:val="0"/>
    <w:rPr>
      <w:rFonts w:ascii="微软雅黑" w:cs="微软雅黑" w:eastAsia="微软雅黑" w:hAnsi="微软雅黑" w:hint="eastAsia"/>
      <w:color w:val="333333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2753</Words>
  <Pages>10</Pages>
  <Characters>2928</Characters>
  <Application>WPS Office</Application>
  <DocSecurity>0</DocSecurity>
  <Paragraphs>420</Paragraphs>
  <ScaleCrop>false</ScaleCrop>
  <LinksUpToDate>false</LinksUpToDate>
  <CharactersWithSpaces>2944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2021-02-04T09:33:06Z</dcterms:created>
  <dc:creator>胡宸玮</dc:creator>
  <lastModifiedBy>Mi 10 Pro</lastModifiedBy>
  <lastPrinted>2021-01-27T11:40:17Z</lastPrinted>
  <dcterms:modified xsi:type="dcterms:W3CDTF">2021-02-04T09:33:06Z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