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7"/>
          <w:rFonts w:ascii="方正小标宋简体" w:hAnsi="方正小标宋简体" w:eastAsia="方正小标宋简体"/>
          <w:b w:val="0"/>
          <w:i w:val="0"/>
          <w:caps w:val="0"/>
          <w:color w:val="000000" w:themeColor="text1"/>
          <w:spacing w:val="0"/>
          <w:w w:val="100"/>
          <w:kern w:val="2"/>
          <w:sz w:val="44"/>
          <w:szCs w:val="4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7"/>
          <w:rFonts w:ascii="方正小标宋简体" w:hAnsi="方正小标宋简体" w:eastAsia="方正小标宋简体"/>
          <w:b w:val="0"/>
          <w:i w:val="0"/>
          <w:caps w:val="0"/>
          <w:color w:val="000000" w:themeColor="text1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7"/>
          <w:rFonts w:ascii="方正小标宋简体" w:hAnsi="方正小标宋简体" w:eastAsia="方正小标宋简体"/>
          <w:b w:val="0"/>
          <w:i w:val="0"/>
          <w:caps w:val="0"/>
          <w:color w:val="000000" w:themeColor="text1"/>
          <w:spacing w:val="0"/>
          <w:w w:val="100"/>
          <w:kern w:val="2"/>
          <w:sz w:val="44"/>
          <w:szCs w:val="44"/>
          <w:lang w:val="en-US" w:eastAsia="zh-CN" w:bidi="ar-SA"/>
        </w:rPr>
        <w:t>忻州市农业农村局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7"/>
          <w:rFonts w:ascii="方正小标宋简体" w:hAnsi="方正小标宋简体" w:eastAsia="方正小标宋简体"/>
          <w:b w:val="0"/>
          <w:i w:val="0"/>
          <w:caps w:val="0"/>
          <w:color w:val="000000" w:themeColor="text1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7"/>
          <w:rFonts w:ascii="方正小标宋简体" w:hAnsi="方正小标宋简体" w:eastAsia="方正小标宋简体"/>
          <w:b w:val="0"/>
          <w:i w:val="0"/>
          <w:caps w:val="0"/>
          <w:color w:val="000000" w:themeColor="text1"/>
          <w:spacing w:val="0"/>
          <w:w w:val="100"/>
          <w:kern w:val="2"/>
          <w:sz w:val="44"/>
          <w:szCs w:val="44"/>
          <w:lang w:val="en-US" w:eastAsia="zh-CN" w:bidi="ar-SA"/>
        </w:rPr>
        <w:t>20</w:t>
      </w:r>
      <w:r>
        <w:rPr>
          <w:rStyle w:val="7"/>
          <w:rFonts w:hint="eastAsia" w:ascii="方正小标宋简体" w:hAnsi="方正小标宋简体" w:eastAsia="方正小标宋简体"/>
          <w:b w:val="0"/>
          <w:i w:val="0"/>
          <w:caps w:val="0"/>
          <w:color w:val="000000" w:themeColor="text1"/>
          <w:spacing w:val="0"/>
          <w:w w:val="100"/>
          <w:kern w:val="2"/>
          <w:sz w:val="44"/>
          <w:szCs w:val="44"/>
          <w:lang w:val="en-US" w:eastAsia="zh-CN" w:bidi="ar-SA"/>
        </w:rPr>
        <w:t>20</w:t>
      </w:r>
      <w:r>
        <w:rPr>
          <w:rStyle w:val="7"/>
          <w:rFonts w:ascii="方正小标宋简体" w:hAnsi="方正小标宋简体" w:eastAsia="方正小标宋简体"/>
          <w:b w:val="0"/>
          <w:i w:val="0"/>
          <w:caps w:val="0"/>
          <w:color w:val="000000" w:themeColor="text1"/>
          <w:spacing w:val="0"/>
          <w:w w:val="100"/>
          <w:kern w:val="2"/>
          <w:sz w:val="44"/>
          <w:szCs w:val="44"/>
          <w:lang w:val="en-US" w:eastAsia="zh-CN" w:bidi="ar-SA"/>
        </w:rPr>
        <w:t>年政府信息公开年度报告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7"/>
          <w:rFonts w:ascii="方正小标宋简体" w:hAnsi="方正小标宋简体" w:eastAsia="方正小标宋简体"/>
          <w:b w:val="0"/>
          <w:i w:val="0"/>
          <w:caps w:val="0"/>
          <w:color w:val="000000" w:themeColor="text1"/>
          <w:spacing w:val="0"/>
          <w:w w:val="100"/>
          <w:kern w:val="2"/>
          <w:sz w:val="44"/>
          <w:szCs w:val="4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7"/>
          <w:rFonts w:ascii="方正小标宋简体" w:hAnsi="方正小标宋简体" w:eastAsia="方正小标宋简体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方正小标宋简体" w:hAnsi="方正小标宋简体" w:eastAsia="方正小标宋简体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</w:rPr>
        <w:t>一、总体情况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7"/>
          <w:rFonts w:ascii="仿宋" w:hAnsi="仿宋" w:eastAsia="仿宋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" w:hAnsi="仿宋" w:eastAsia="仿宋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</w:rPr>
        <w:t>本年报是根据《中华人民共和国政府信息公开条例》（以下简称条例）、《山西省人民政府信息公开规定》等有关要求，由忻州市农业农村局编制的2020年度政府信息公开年度报告。该报告由概述、主动公开政府信息情况、政府信息公开重点工作完成情况、重点领域政府信息公开情况、依申请公开政府信息情况、行政复议和行政诉讼情况、存在的主要问题和改进措施等内容组成。本年报中所列数据的统计期限自2020年1月1日起至2020年12月31日止。如对本报告有任何疑问，请与忻州市农业农村局办公室联系（地址：忻州市七一北路48号，邮编：034000，电话：3031625）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ascii="仿宋" w:hAnsi="仿宋" w:eastAsia="仿宋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" w:hAnsi="仿宋" w:eastAsia="仿宋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</w:rPr>
        <w:t>　　2020年以来，忻州市农业农村局按照市委、市政府关于政务公开工作的系列决策部署，坚持以公开为常态，不公开为例外，围绕2020年农业农村重点工作、把握农村经济和社会发展的重点、热点、难点问题和农民群众关切。以保障公民、法人和其他组织依法获取农业政府信息，充分发挥农业政府信息对经济社会活动的服务作用，提高农业工作透明度，强化对行政权力的运行监督，畅通与人民群众的沟通渠道，促进依法行政为出发点和落脚点，扎实推进政府信息公开的各项工作，取得了较好成效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ascii="仿宋" w:hAnsi="仿宋" w:eastAsia="仿宋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" w:hAnsi="仿宋" w:eastAsia="仿宋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</w:rPr>
        <w:t>　　我局继续完善制度，形成工作的长效机制，推进政府信息公开审核贯穿公文生成全过程，建立健全政府信息主动公开程序、信息更新程序、申请公开程序、网上咨询答复程序、信息公开目录编制规范、信息统计要求、政府信息公开第三方意见征询工作办法等各项工作制度。按规范编制并主动公开了政府信息公开指南，并根据实际情况，及时更新政府信息公开指南。认真做好政府信息主动公开、咨询、申请、答复情况的统计工作；加强分析研究，及时向市政府信息公开办公室和市政府门户网站报送文件数据，按规范编制并及时报送信息公开年度报告，做好重大决定草案公开情况和免予公开政府信息类目的备案工作。建立公开属性源头认定机制，提高信息公开工作效率，确保信息公开工作依法、有序。</w:t>
      </w:r>
    </w:p>
    <w:p>
      <w:pPr>
        <w:numPr>
          <w:ilvl w:val="0"/>
          <w:numId w:val="0"/>
        </w:numPr>
        <w:snapToGrid/>
        <w:spacing w:before="0" w:beforeAutospacing="0" w:after="0" w:afterAutospacing="0" w:line="240" w:lineRule="auto"/>
        <w:ind w:leftChars="0" w:firstLine="640" w:firstLineChars="200"/>
        <w:jc w:val="both"/>
        <w:textAlignment w:val="baseline"/>
        <w:rPr>
          <w:rStyle w:val="7"/>
          <w:rFonts w:ascii="仿宋" w:hAnsi="仿宋" w:eastAsia="仿宋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hint="eastAsia" w:ascii="仿宋" w:hAnsi="仿宋" w:eastAsia="仿宋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</w:rPr>
        <w:t>1、</w:t>
      </w:r>
      <w:r>
        <w:rPr>
          <w:rStyle w:val="7"/>
          <w:rFonts w:ascii="仿宋" w:hAnsi="仿宋" w:eastAsia="仿宋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</w:rPr>
        <w:t>主动公开政府信息情况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7"/>
          <w:rFonts w:ascii="仿宋" w:hAnsi="仿宋" w:eastAsia="仿宋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" w:hAnsi="仿宋" w:eastAsia="仿宋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</w:rPr>
        <w:t>2020年我局依托忻州市农业农村局官网（nyncj.sxxz.gov.cn）共发布信息887条。其中概况类信息2条、政务动态类信息604条、信息公开目录172条、</w:t>
      </w:r>
      <w:r>
        <w:rPr>
          <w:rStyle w:val="6"/>
          <w:rFonts w:ascii="仿宋" w:hAnsi="仿宋" w:eastAsia="仿宋" w:cs="仿宋"/>
          <w:b w:val="0"/>
          <w:bCs/>
          <w:i w:val="0"/>
          <w:caps w:val="0"/>
          <w:color w:val="000000" w:themeColor="text1"/>
          <w:spacing w:val="8"/>
          <w:w w:val="100"/>
          <w:kern w:val="2"/>
          <w:sz w:val="32"/>
          <w:szCs w:val="32"/>
          <w:lang w:val="en-US" w:eastAsia="zh-CN" w:bidi="ar-SA"/>
        </w:rPr>
        <w:t>独立用户访问总量25100个，网站总访问量93060次，互动交流留言数量31条。</w:t>
      </w:r>
      <w:r>
        <w:rPr>
          <w:rStyle w:val="7"/>
          <w:rFonts w:ascii="仿宋" w:hAnsi="仿宋" w:eastAsia="仿宋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</w:rPr>
        <w:t>我局积极推进“两微一端”政务新媒体平台建设，围绕民生改善推进政务公开。积极宣传涉及民生、群众关心的涉农事项和政策，</w:t>
      </w:r>
      <w:r>
        <w:rPr>
          <w:rStyle w:val="6"/>
          <w:rFonts w:ascii="仿宋" w:hAnsi="仿宋" w:eastAsia="仿宋" w:cs="仿宋"/>
          <w:b w:val="0"/>
          <w:bCs/>
          <w:i w:val="0"/>
          <w:caps w:val="0"/>
          <w:color w:val="000000" w:themeColor="text1"/>
          <w:spacing w:val="8"/>
          <w:w w:val="100"/>
          <w:kern w:val="2"/>
          <w:sz w:val="32"/>
          <w:szCs w:val="32"/>
          <w:lang w:val="en-US" w:eastAsia="zh-CN" w:bidi="ar-SA"/>
        </w:rPr>
        <w:t>2020年忻州市农业农村局党建平台关注粉丝数350人，累计发布信息13条。忻州农业微博关注粉丝数452人，累计发布信息495条。及时发布可以公开的政府信息。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ascii="仿宋" w:hAnsi="仿宋" w:eastAsia="仿宋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" w:hAnsi="仿宋" w:eastAsia="仿宋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</w:rPr>
        <w:t>　　2、政府信息公开重点工作完成情况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7"/>
          <w:rFonts w:ascii="仿宋" w:hAnsi="仿宋" w:eastAsia="仿宋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" w:hAnsi="仿宋" w:eastAsia="仿宋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</w:rPr>
        <w:t>（一）围绕农业农村重点工作加强政策解读。2020年，我局在官网上发布农业政策法规信息20条，其中涉及有机旱作农业发展、农业产业化发展相关政策措施、重点强农惠农政策等多个方面。其中非纯文字解读量占政策解读总量达到90%。在官网做好政策解读的同时，我局还通过忻州农业微博、下乡宣传、编制宣传手册、科普丛书等方式做好政策解读工作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ascii="仿宋" w:hAnsi="仿宋" w:eastAsia="仿宋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" w:hAnsi="仿宋" w:eastAsia="仿宋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</w:rPr>
        <w:t>　　（二）加强公共平台建设，推进农业政务公开制度化规范化。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ascii="仿宋" w:hAnsi="仿宋" w:eastAsia="仿宋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" w:hAnsi="仿宋" w:eastAsia="仿宋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</w:rPr>
        <w:t>　　学习贯彻落实政府信息公开条例。我局积极主动学习贯彻落实政府信息公开条例并在官网发布了《中华人民共和国政府信息公开条例》、《国务院办公厅关于施行&lt;中华人民共和国政府信息公开条例&gt;若干问题的意见》、《关于全面推进政务公开工作的意见》等相关信息。对照条例要求全面梳理主动公开的政府信息，扎实推进政务公开的各项工作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ascii="仿宋" w:hAnsi="仿宋" w:eastAsia="仿宋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" w:hAnsi="仿宋" w:eastAsia="仿宋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</w:rPr>
        <w:t>　　编制信息主动公开基本目录。我局参照上级要求，编制出台了信息公开指南、信息公开规定、信息公开年报、信息公开目录、通知公告、部门文件、组织机构、行政执法、财政信息、政策法规、政策解读、权责清单、依申请公开等专栏，充分体现“五公开”，更加便利群众行使知情权、参与权、监督权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ascii="仿宋" w:hAnsi="仿宋" w:eastAsia="仿宋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" w:hAnsi="仿宋" w:eastAsia="仿宋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</w:rPr>
        <w:t>　　3、重点领域政府信息公开情况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ascii="仿宋" w:hAnsi="仿宋" w:eastAsia="仿宋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" w:hAnsi="仿宋" w:eastAsia="仿宋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</w:rPr>
        <w:t>　　（一）推进财政预决算公开。按照规定在官网上设立财政信息专栏，对我局上年决算情况和当年预算情况进行公开，方便公众查阅和监督。我局2019年决算和2020年预算分别在官网进行了公开。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ascii="仿宋" w:hAnsi="仿宋" w:eastAsia="仿宋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" w:hAnsi="仿宋" w:eastAsia="仿宋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</w:rPr>
        <w:t>　　（二）涉农“放管服效”改革信息公开。一是按照科站清理、单位汇总，党委审核，市廉政风险防控办、市政府法制科、市编办审签的程序，对权限范围内的行政权力进行了全面清理。二是我局按照“谁抽查、谁公示”的原则，制定随机抽查事项清单及执法人员、监管对象名录库，全面推行“双随机、一公开”监管。进一步加大对农药、兽药、种子等市场的依法监管力度，提升监管效能和公正性，为农业生产营造公平竞争发展环境。三是编制了我市农业领域公共服务事项清单，共梳理公共服务事项两大类信息共38条，已在“互联网+政务服务平台”完成录入，</w:t>
      </w:r>
      <w:r>
        <w:rPr>
          <w:rStyle w:val="7"/>
          <w:rFonts w:hint="eastAsia" w:ascii="仿宋" w:hAnsi="仿宋" w:eastAsia="仿宋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</w:rPr>
        <w:t>并在</w:t>
      </w:r>
      <w:r>
        <w:rPr>
          <w:rStyle w:val="7"/>
          <w:rFonts w:ascii="仿宋" w:hAnsi="仿宋" w:eastAsia="仿宋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</w:rPr>
        <w:t>门户网站</w:t>
      </w:r>
      <w:r>
        <w:rPr>
          <w:rStyle w:val="7"/>
          <w:rFonts w:hint="eastAsia" w:ascii="仿宋" w:hAnsi="仿宋" w:eastAsia="仿宋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</w:rPr>
        <w:t>进行</w:t>
      </w:r>
      <w:r>
        <w:rPr>
          <w:rStyle w:val="7"/>
          <w:rFonts w:ascii="仿宋" w:hAnsi="仿宋" w:eastAsia="仿宋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</w:rPr>
        <w:t>公示。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ascii="仿宋" w:hAnsi="仿宋" w:eastAsia="仿宋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" w:hAnsi="仿宋" w:eastAsia="仿宋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</w:rPr>
        <w:t>　　4、依申请公开政府信息情况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ascii="仿宋" w:hAnsi="仿宋" w:eastAsia="仿宋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" w:hAnsi="仿宋" w:eastAsia="仿宋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</w:rPr>
        <w:t>　　2020年我单位没有收到受理信息公开申请。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ascii="仿宋" w:hAnsi="仿宋" w:eastAsia="仿宋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" w:hAnsi="仿宋" w:eastAsia="仿宋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</w:rPr>
        <w:t>　　5、行政复议和行政诉讼情况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7"/>
          <w:rFonts w:ascii="仿宋" w:hAnsi="仿宋" w:eastAsia="仿宋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" w:hAnsi="仿宋" w:eastAsia="仿宋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</w:rPr>
        <w:t>我单位2020年度未发生件针对本部门有关政府信息公开事务的行政复议案；未发生针对本部门有关政府信息公开事务的行政诉讼案。</w:t>
      </w:r>
    </w:p>
    <w:p>
      <w:pPr>
        <w:shd w:val="solid" w:color="FFFFFF" w:fill="000000"/>
        <w:snapToGrid/>
        <w:spacing w:before="0" w:beforeAutospacing="0" w:after="0" w:afterAutospacing="0" w:line="240" w:lineRule="auto"/>
        <w:ind w:left="0" w:leftChars="0" w:firstLine="420"/>
        <w:jc w:val="both"/>
        <w:textAlignment w:val="baseline"/>
        <w:rPr>
          <w:rStyle w:val="7"/>
          <w:rFonts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</w:rPr>
        <w:t>二、主动公开政府信息情况</w:t>
      </w:r>
    </w:p>
    <w:tbl>
      <w:tblPr>
        <w:tblStyle w:val="4"/>
        <w:tblW w:w="815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61"/>
        <w:gridCol w:w="2036"/>
        <w:gridCol w:w="34"/>
        <w:gridCol w:w="1480"/>
        <w:gridCol w:w="18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5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C6D9F1" w:fill="000000"/>
            <w:vAlign w:val="center"/>
          </w:tcPr>
          <w:p>
            <w:pPr>
              <w:shd w:val="solid" w:color="C6D9F1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shd w:val="clear" w:color="auto" w:fill="C6D9F1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shd w:val="clear" w:color="auto" w:fill="C6D9F1"/>
                <w:lang w:val="en-US" w:eastAsia="zh-CN" w:bidi="ar-SA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27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>信息内容</w:t>
            </w:r>
          </w:p>
        </w:tc>
        <w:tc>
          <w:tcPr>
            <w:tcW w:w="20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>本年新</w:t>
            </w: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>制作数量</w:t>
            </w:r>
          </w:p>
        </w:tc>
        <w:tc>
          <w:tcPr>
            <w:tcW w:w="151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>本年新</w:t>
            </w: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>公开数量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27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>规章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hint="default"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hint="default"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hint="default"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7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>规范性文件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tabs>
                <w:tab w:val="center" w:pos="1008"/>
              </w:tabs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hint="default"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>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tabs>
                <w:tab w:val="center" w:pos="747"/>
              </w:tabs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hint="default"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hint="default"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51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C6D9F1" w:fill="000000"/>
            <w:vAlign w:val="center"/>
          </w:tcPr>
          <w:p>
            <w:pPr>
              <w:shd w:val="solid" w:color="C6D9F1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shd w:val="clear" w:color="auto" w:fill="C6D9F1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shd w:val="clear" w:color="auto" w:fill="C6D9F1"/>
                <w:lang w:val="en-US" w:eastAsia="zh-CN" w:bidi="ar-SA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27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>信息内容</w:t>
            </w:r>
          </w:p>
        </w:tc>
        <w:tc>
          <w:tcPr>
            <w:tcW w:w="20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>上一年项目数量</w:t>
            </w:r>
          </w:p>
        </w:tc>
        <w:tc>
          <w:tcPr>
            <w:tcW w:w="151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>本年增/减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27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>-11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27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>其他对外管理服务事项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>36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51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C6D9F1" w:fill="000000"/>
            <w:vAlign w:val="center"/>
          </w:tcPr>
          <w:p>
            <w:pPr>
              <w:shd w:val="solid" w:color="C6D9F1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shd w:val="clear" w:color="auto" w:fill="C6D9F1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shd w:val="clear" w:color="auto" w:fill="C6D9F1"/>
                <w:lang w:val="en-US" w:eastAsia="zh-CN" w:bidi="ar-SA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27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>信息内容</w:t>
            </w:r>
          </w:p>
        </w:tc>
        <w:tc>
          <w:tcPr>
            <w:tcW w:w="20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>上一年项目数量</w:t>
            </w:r>
          </w:p>
        </w:tc>
        <w:tc>
          <w:tcPr>
            <w:tcW w:w="151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>本年增/减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27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>行政处罚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27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>行政强制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51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C6D9F1" w:fill="000000"/>
            <w:vAlign w:val="center"/>
          </w:tcPr>
          <w:p>
            <w:pPr>
              <w:shd w:val="solid" w:color="C6D9F1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shd w:val="clear" w:color="auto" w:fill="C6D9F1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shd w:val="clear" w:color="auto" w:fill="C6D9F1"/>
                <w:lang w:val="en-US" w:eastAsia="zh-CN" w:bidi="ar-SA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7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>信息内容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>上一年项目数量</w:t>
            </w:r>
          </w:p>
        </w:tc>
        <w:tc>
          <w:tcPr>
            <w:tcW w:w="332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>本年增/减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27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>行政事业性收费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>0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hint="default"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51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C6D9F1" w:fill="000000"/>
            <w:vAlign w:val="center"/>
          </w:tcPr>
          <w:p>
            <w:pPr>
              <w:shd w:val="solid" w:color="C6D9F1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shd w:val="clear" w:color="auto" w:fill="C6D9F1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shd w:val="clear" w:color="auto" w:fill="C6D9F1"/>
                <w:lang w:val="en-US" w:eastAsia="zh-CN" w:bidi="ar-SA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7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>信息内容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>采购项目数量</w:t>
            </w:r>
          </w:p>
        </w:tc>
        <w:tc>
          <w:tcPr>
            <w:tcW w:w="332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27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>政府集中采购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hint="default"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22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0" w:afterAutospacing="0" w:line="240" w:lineRule="auto"/>
              <w:ind w:left="0" w:leftChars="0" w:firstLine="0"/>
              <w:jc w:val="center"/>
              <w:textAlignment w:val="center"/>
              <w:rPr>
                <w:rStyle w:val="7"/>
                <w:rFonts w:hint="eastAsia"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3055270.74元</w:t>
            </w:r>
          </w:p>
        </w:tc>
      </w:tr>
    </w:tbl>
    <w:p>
      <w:pPr>
        <w:shd w:val="solid" w:color="FFFFFF" w:fill="000000"/>
        <w:snapToGrid/>
        <w:spacing w:before="0" w:beforeAutospacing="0" w:after="0" w:afterAutospacing="0" w:line="240" w:lineRule="auto"/>
        <w:ind w:left="0" w:leftChars="0" w:firstLine="420"/>
        <w:jc w:val="center"/>
        <w:textAlignment w:val="baseline"/>
        <w:rPr>
          <w:rStyle w:val="7"/>
          <w:rFonts w:ascii="宋体" w:hAnsi="宋体" w:eastAsia="宋体"/>
          <w:b w:val="0"/>
          <w:i w:val="0"/>
          <w:caps w:val="0"/>
          <w:color w:val="000000" w:themeColor="text1"/>
          <w:spacing w:val="0"/>
          <w:w w:val="100"/>
          <w:kern w:val="2"/>
          <w:sz w:val="24"/>
          <w:szCs w:val="24"/>
          <w:lang w:val="en-US" w:eastAsia="zh-CN" w:bidi="ar-SA"/>
        </w:rPr>
      </w:pPr>
    </w:p>
    <w:p>
      <w:pPr>
        <w:shd w:val="solid" w:color="FFFFFF" w:fill="000000"/>
        <w:snapToGrid/>
        <w:spacing w:before="0" w:beforeAutospacing="0" w:after="0" w:afterAutospacing="0" w:line="240" w:lineRule="auto"/>
        <w:ind w:left="0" w:leftChars="0" w:firstLine="420"/>
        <w:jc w:val="center"/>
        <w:textAlignment w:val="baseline"/>
        <w:rPr>
          <w:rStyle w:val="7"/>
          <w:rFonts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</w:rPr>
        <w:t>三、收到和处理政府信息公开申请情况</w:t>
      </w:r>
    </w:p>
    <w:tbl>
      <w:tblPr>
        <w:tblStyle w:val="4"/>
        <w:tblW w:w="9067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6"/>
        <w:gridCol w:w="1225"/>
        <w:gridCol w:w="1607"/>
        <w:gridCol w:w="812"/>
        <w:gridCol w:w="784"/>
        <w:gridCol w:w="784"/>
        <w:gridCol w:w="812"/>
        <w:gridCol w:w="887"/>
        <w:gridCol w:w="764"/>
        <w:gridCol w:w="75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68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>（本列数据的勾稽关系为：第一项加第二项之和，等于第三项加第四项之和）</w:t>
            </w:r>
          </w:p>
        </w:tc>
        <w:tc>
          <w:tcPr>
            <w:tcW w:w="5599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>申请人情况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68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>自然人</w:t>
            </w:r>
          </w:p>
        </w:tc>
        <w:tc>
          <w:tcPr>
            <w:tcW w:w="4031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>法人或其他组织</w:t>
            </w:r>
          </w:p>
        </w:tc>
        <w:tc>
          <w:tcPr>
            <w:tcW w:w="75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>总计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68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0" w:afterAutospacing="0" w:line="240" w:lineRule="auto"/>
              <w:ind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>商业企业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>科研机构</w:t>
            </w:r>
          </w:p>
        </w:tc>
        <w:tc>
          <w:tcPr>
            <w:tcW w:w="8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>社会公益组织</w:t>
            </w:r>
          </w:p>
        </w:tc>
        <w:tc>
          <w:tcPr>
            <w:tcW w:w="88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>法律服务机构</w:t>
            </w:r>
          </w:p>
        </w:tc>
        <w:tc>
          <w:tcPr>
            <w:tcW w:w="7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>其他</w:t>
            </w:r>
          </w:p>
        </w:tc>
        <w:tc>
          <w:tcPr>
            <w:tcW w:w="75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68" w:type="dxa"/>
            <w:gridSpan w:val="3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>一、本年新收政府信息公开申请数量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hint="default"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hint="default"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hint="default"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>二、上年结转政府信息公开申请数量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hint="default"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6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>三、本年度办理结果</w:t>
            </w:r>
          </w:p>
        </w:tc>
        <w:tc>
          <w:tcPr>
            <w:tcW w:w="2832" w:type="dxa"/>
            <w:gridSpan w:val="2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楷体" w:hAnsi="楷体" w:eastAsia="楷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>（一）予以公开</w:t>
            </w:r>
          </w:p>
        </w:tc>
        <w:tc>
          <w:tcPr>
            <w:tcW w:w="812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楷体" w:hAnsi="楷体" w:eastAsia="楷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>（二）部分公开（区分处理的，只计这一情形，不计其他情形）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楷体" w:hAnsi="楷体" w:eastAsia="楷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>（三）不予公开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楷体" w:hAnsi="楷体" w:eastAsia="楷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>1.属于国家秘密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0" w:afterAutospacing="0" w:line="240" w:lineRule="auto"/>
              <w:ind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楷体" w:hAnsi="楷体" w:eastAsia="楷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>2.其他法律行政法规禁止公开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0" w:afterAutospacing="0" w:line="240" w:lineRule="auto"/>
              <w:ind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楷体" w:hAnsi="楷体" w:eastAsia="楷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>3.危及“三安全一稳定”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0" w:afterAutospacing="0" w:line="240" w:lineRule="auto"/>
              <w:ind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楷体" w:hAnsi="楷体" w:eastAsia="楷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>4.保护第三方合法权益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0" w:afterAutospacing="0" w:line="240" w:lineRule="auto"/>
              <w:ind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楷体" w:hAnsi="楷体" w:eastAsia="楷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>5.属于三类内部事务信息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0" w:afterAutospacing="0" w:line="240" w:lineRule="auto"/>
              <w:ind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楷体" w:hAnsi="楷体" w:eastAsia="楷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>6.属于四类过程性信息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0" w:afterAutospacing="0" w:line="240" w:lineRule="auto"/>
              <w:ind w:firstLine="0"/>
              <w:jc w:val="both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left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楷体" w:hAnsi="楷体" w:eastAsia="楷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>7.属于行政执法案卷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0" w:afterAutospacing="0" w:line="240" w:lineRule="auto"/>
              <w:ind w:firstLine="0"/>
              <w:jc w:val="both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left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楷体" w:hAnsi="楷体" w:eastAsia="楷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>8.属于行政查询事项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left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楷体" w:hAnsi="楷体" w:eastAsia="楷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>（四）无法提供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left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楷体" w:hAnsi="楷体" w:eastAsia="楷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>1.本机关不掌握相关政府信息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0" w:afterAutospacing="0" w:line="240" w:lineRule="auto"/>
              <w:ind w:firstLine="0"/>
              <w:jc w:val="both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left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楷体" w:hAnsi="楷体" w:eastAsia="楷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>2.没有现成信息需要另行制作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0" w:afterAutospacing="0" w:line="240" w:lineRule="auto"/>
              <w:ind w:firstLine="0"/>
              <w:jc w:val="both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left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楷体" w:hAnsi="楷体" w:eastAsia="楷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>3.补正后申请内容仍不明确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solid" w:color="FFFFFF" w:fill="00000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left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楷体" w:hAnsi="楷体" w:eastAsia="楷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>（五）不予处理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left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楷体" w:hAnsi="楷体" w:eastAsia="楷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>1.信访举报投诉类申请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solid" w:color="FFFFFF" w:fill="00000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0" w:afterAutospacing="0" w:line="240" w:lineRule="auto"/>
              <w:ind w:firstLine="0"/>
              <w:jc w:val="both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left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楷体" w:hAnsi="楷体" w:eastAsia="楷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>2.重复申请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solid" w:color="FFFFFF" w:fill="00000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0" w:afterAutospacing="0" w:line="240" w:lineRule="auto"/>
              <w:ind w:firstLine="0"/>
              <w:jc w:val="both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left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楷体" w:hAnsi="楷体" w:eastAsia="楷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>3.要求提供公开出版物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solid" w:color="FFFFFF" w:fill="00000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0" w:afterAutospacing="0" w:line="240" w:lineRule="auto"/>
              <w:ind w:firstLine="0"/>
              <w:jc w:val="both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left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楷体" w:hAnsi="楷体" w:eastAsia="楷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>4.无正当理由大量反复申请</w:t>
            </w:r>
          </w:p>
        </w:tc>
        <w:tc>
          <w:tcPr>
            <w:tcW w:w="812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812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887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764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756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solid" w:color="FFFFFF" w:fill="00000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0" w:afterAutospacing="0" w:line="240" w:lineRule="auto"/>
              <w:ind w:firstLine="0"/>
              <w:jc w:val="both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left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楷体" w:hAnsi="楷体" w:eastAsia="楷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>5.要求行政机关确认或重新出具已获取信息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left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楷体" w:hAnsi="楷体" w:eastAsia="楷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>（六）其他处理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tabs>
                <w:tab w:val="left" w:pos="338"/>
                <w:tab w:val="center" w:pos="478"/>
              </w:tabs>
              <w:snapToGrid/>
              <w:spacing w:before="0" w:beforeAutospacing="0" w:after="180" w:afterAutospacing="0" w:line="240" w:lineRule="auto"/>
              <w:ind w:left="0" w:leftChars="0" w:firstLine="240" w:firstLineChars="100"/>
              <w:jc w:val="left"/>
              <w:textAlignment w:val="baseline"/>
              <w:rPr>
                <w:rStyle w:val="7"/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/>
            <w:bookmarkEnd w:id="0"/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0</w:t>
            </w: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ab/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left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楷体" w:hAnsi="楷体" w:eastAsia="楷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>（七）总计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firstLine="240" w:firstLineChars="100"/>
              <w:jc w:val="both"/>
              <w:textAlignment w:val="baseline"/>
              <w:rPr>
                <w:rStyle w:val="7"/>
                <w:rFonts w:hint="default"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68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left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>四、结转下年度继续办理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0" w:afterAutospacing="0" w:line="240" w:lineRule="auto"/>
              <w:ind w:left="0" w:leftChars="0" w:firstLine="240" w:firstLineChars="100"/>
              <w:jc w:val="both"/>
              <w:textAlignment w:val="center"/>
              <w:rPr>
                <w:rStyle w:val="7"/>
                <w:rFonts w:hint="default"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</w:tr>
    </w:tbl>
    <w:p>
      <w:pPr>
        <w:shd w:val="solid" w:color="FFFFFF" w:fill="000000"/>
        <w:snapToGrid/>
        <w:spacing w:before="0" w:beforeAutospacing="0" w:after="0" w:afterAutospacing="0" w:line="240" w:lineRule="auto"/>
        <w:ind w:left="0" w:leftChars="0" w:firstLine="420"/>
        <w:jc w:val="both"/>
        <w:textAlignment w:val="baseline"/>
        <w:rPr>
          <w:rStyle w:val="7"/>
          <w:rFonts w:ascii="宋体" w:hAnsi="宋体" w:eastAsia="宋体"/>
          <w:b w:val="0"/>
          <w:i w:val="0"/>
          <w:caps w:val="0"/>
          <w:color w:val="000000" w:themeColor="text1"/>
          <w:spacing w:val="0"/>
          <w:w w:val="100"/>
          <w:kern w:val="2"/>
          <w:sz w:val="24"/>
          <w:szCs w:val="24"/>
          <w:lang w:val="en-US" w:eastAsia="zh-CN" w:bidi="ar-SA"/>
        </w:rPr>
      </w:pPr>
    </w:p>
    <w:p>
      <w:pPr>
        <w:shd w:val="solid" w:color="FFFFFF" w:fill="000000"/>
        <w:snapToGrid/>
        <w:spacing w:before="0" w:beforeAutospacing="0" w:after="0" w:afterAutospacing="0" w:line="240" w:lineRule="auto"/>
        <w:ind w:left="0" w:leftChars="0" w:firstLine="420"/>
        <w:jc w:val="both"/>
        <w:textAlignment w:val="baseline"/>
        <w:rPr>
          <w:rStyle w:val="7"/>
          <w:rFonts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</w:rPr>
        <w:t>四、政府信息公开行政复议、行政诉讼情况</w:t>
      </w:r>
    </w:p>
    <w:p>
      <w:pPr>
        <w:shd w:val="solid" w:color="FFFFFF" w:fill="000000"/>
        <w:snapToGrid/>
        <w:spacing w:before="0" w:beforeAutospacing="0" w:after="0" w:afterAutospacing="0" w:line="240" w:lineRule="auto"/>
        <w:ind w:left="0" w:leftChars="0" w:firstLine="420"/>
        <w:jc w:val="both"/>
        <w:textAlignment w:val="baseline"/>
        <w:rPr>
          <w:rStyle w:val="7"/>
          <w:rFonts w:ascii="宋体" w:hAnsi="宋体" w:eastAsia="宋体"/>
          <w:b w:val="0"/>
          <w:i w:val="0"/>
          <w:caps w:val="0"/>
          <w:color w:val="000000" w:themeColor="text1"/>
          <w:spacing w:val="0"/>
          <w:w w:val="100"/>
          <w:kern w:val="2"/>
          <w:sz w:val="24"/>
          <w:szCs w:val="24"/>
          <w:lang w:val="en-US" w:eastAsia="zh-CN" w:bidi="ar-SA"/>
        </w:rPr>
      </w:pPr>
    </w:p>
    <w:tbl>
      <w:tblPr>
        <w:tblStyle w:val="4"/>
        <w:tblW w:w="9071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>行政诉讼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>复议后起诉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  <w:jc w:val="center"/>
        </w:trPr>
        <w:tc>
          <w:tcPr>
            <w:tcW w:w="6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0" w:afterAutospacing="0" w:line="240" w:lineRule="auto"/>
              <w:ind w:firstLine="0"/>
              <w:jc w:val="both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0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0" w:afterAutospacing="0" w:line="240" w:lineRule="auto"/>
              <w:ind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0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5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>结果纠正</w:t>
            </w:r>
          </w:p>
        </w:tc>
        <w:tc>
          <w:tcPr>
            <w:tcW w:w="6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>其他结果</w:t>
            </w:r>
          </w:p>
        </w:tc>
        <w:tc>
          <w:tcPr>
            <w:tcW w:w="6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>尚未审结</w:t>
            </w:r>
          </w:p>
        </w:tc>
        <w:tc>
          <w:tcPr>
            <w:tcW w:w="6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>总计</w:t>
            </w:r>
          </w:p>
        </w:tc>
        <w:tc>
          <w:tcPr>
            <w:tcW w:w="6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>结果维持</w:t>
            </w:r>
          </w:p>
        </w:tc>
        <w:tc>
          <w:tcPr>
            <w:tcW w:w="6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>结果纠正</w:t>
            </w:r>
          </w:p>
        </w:tc>
        <w:tc>
          <w:tcPr>
            <w:tcW w:w="6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>其他结果</w:t>
            </w:r>
          </w:p>
        </w:tc>
        <w:tc>
          <w:tcPr>
            <w:tcW w:w="6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>尚未审结</w:t>
            </w:r>
          </w:p>
        </w:tc>
        <w:tc>
          <w:tcPr>
            <w:tcW w:w="6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>总计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hAnsi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>0</w:t>
            </w:r>
            <w:r>
              <w:rPr>
                <w:rStyle w:val="7"/>
                <w:rFonts w:ascii="Calibri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hint="default"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 xml:space="preserve"> </w:t>
            </w: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180" w:afterAutospacing="0" w:line="240" w:lineRule="auto"/>
              <w:ind w:left="0" w:leftChars="0" w:firstLine="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napToGrid/>
              <w:spacing w:before="0" w:beforeAutospacing="0" w:after="0" w:afterAutospacing="0" w:line="240" w:lineRule="auto"/>
              <w:ind w:left="0" w:leftChars="0" w:firstLine="240" w:firstLineChars="100"/>
              <w:jc w:val="both"/>
              <w:textAlignment w:val="center"/>
              <w:rPr>
                <w:rStyle w:val="7"/>
                <w:rFonts w:hint="default"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</w:tr>
    </w:tbl>
    <w:p>
      <w:pPr>
        <w:tabs>
          <w:tab w:val="left" w:pos="6288"/>
        </w:tabs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ascii="仿宋" w:hAnsi="仿宋" w:eastAsia="仿宋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" w:hAnsi="仿宋" w:eastAsia="仿宋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</w:rPr>
        <w:tab/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ascii="方正小标宋简体" w:hAnsi="方正小标宋简体" w:eastAsia="方正小标宋简体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方正小标宋简体" w:hAnsi="方正小标宋简体" w:eastAsia="方正小标宋简体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</w:rPr>
        <w:t>　　五、存在的主要问题和改进措施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ascii="仿宋" w:hAnsi="仿宋" w:eastAsia="仿宋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" w:hAnsi="仿宋" w:eastAsia="仿宋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</w:rPr>
        <w:t>　　存在的主要问题：因人事调整政务公开工作人员有变动，新人员业务不熟练，影响了工作的推进。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ascii="Calibri" w:hAnsi="Calibri" w:eastAsia="宋体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7"/>
          <w:rFonts w:ascii="仿宋" w:hAnsi="仿宋" w:eastAsia="仿宋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</w:rPr>
        <w:t>　　改进措施：一是进一步做好公开属性认定工作，完善主动公开的政府信息目录，加强对公众关注度高的政府热点信息的梳理，及时公开农业农村重点工作；二是指定专人负责政务公开工作，让工作人员熟悉政务公开各项规章制度、工作流程和重要性。及时、高效完成政务公开工作；三是完善长效工作机制。在目前政务公开工作基础上，不断总结经验，逐步完善信息公开审查、发布制度，确保政务公开工作制度化、规范化发展，做到深入、持续、高效地开展政务公开工作。</w:t>
      </w:r>
    </w:p>
    <w:sectPr>
      <w:footerReference r:id="rId3" w:type="default"/>
      <w:pgSz w:w="11906" w:h="16838"/>
      <w:pgMar w:top="1440" w:right="1800" w:bottom="1440" w:left="180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hdrShapeDefaults>
    <o:shapelayout v:ext="edit">
      <o:idmap v:ext="edit" data="3,4"/>
    </o:shapelayout>
  </w:hdrShapeDefaults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047B1F53"/>
    <w:rsid w:val="088E4787"/>
    <w:rsid w:val="092E7CF6"/>
    <w:rsid w:val="0A72313B"/>
    <w:rsid w:val="0D845032"/>
    <w:rsid w:val="10966719"/>
    <w:rsid w:val="10C4234D"/>
    <w:rsid w:val="111D2C4F"/>
    <w:rsid w:val="139C78D3"/>
    <w:rsid w:val="15703499"/>
    <w:rsid w:val="170C5E97"/>
    <w:rsid w:val="1E9D2A79"/>
    <w:rsid w:val="228C30C5"/>
    <w:rsid w:val="27823A5E"/>
    <w:rsid w:val="2AC730C7"/>
    <w:rsid w:val="2B823845"/>
    <w:rsid w:val="2CD57D88"/>
    <w:rsid w:val="34AC360F"/>
    <w:rsid w:val="366B1C73"/>
    <w:rsid w:val="3ADE641B"/>
    <w:rsid w:val="44B12F4F"/>
    <w:rsid w:val="466D7954"/>
    <w:rsid w:val="4BCA433B"/>
    <w:rsid w:val="4C15734D"/>
    <w:rsid w:val="4D8A2BFC"/>
    <w:rsid w:val="50097A31"/>
    <w:rsid w:val="55AA5409"/>
    <w:rsid w:val="58226B4A"/>
    <w:rsid w:val="5B7663A9"/>
    <w:rsid w:val="5D5F02D6"/>
    <w:rsid w:val="5E2D33B5"/>
    <w:rsid w:val="5EF64A67"/>
    <w:rsid w:val="6480366E"/>
    <w:rsid w:val="65832066"/>
    <w:rsid w:val="6A2B038A"/>
    <w:rsid w:val="6EB3253B"/>
    <w:rsid w:val="70772186"/>
    <w:rsid w:val="730805A2"/>
    <w:rsid w:val="76B5734F"/>
    <w:rsid w:val="7AC761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paragraph" w:styleId="3">
    <w:name w:val="header"/>
    <w:basedOn w:val="1"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spacing w:line="240" w:lineRule="auto"/>
      <w:jc w:val="both"/>
      <w:textAlignment w:val="baseline"/>
    </w:pPr>
    <w:rPr>
      <w:rFonts w:ascii="Times New Roman" w:hAnsi="Times New Roman" w:eastAsia="宋体"/>
      <w:kern w:val="2"/>
      <w:sz w:val="18"/>
      <w:szCs w:val="24"/>
      <w:lang w:val="en-US" w:eastAsia="zh-CN" w:bidi="ar-SA"/>
    </w:rPr>
  </w:style>
  <w:style w:type="character" w:styleId="6">
    <w:name w:val="Strong"/>
    <w:link w:val="1"/>
    <w:uiPriority w:val="0"/>
    <w:rPr>
      <w:b/>
    </w:rPr>
  </w:style>
  <w:style w:type="character" w:customStyle="1" w:styleId="7">
    <w:name w:val="NormalCharacter"/>
    <w:link w:val="1"/>
    <w:uiPriority w:val="0"/>
  </w:style>
  <w:style w:type="table" w:customStyle="1" w:styleId="8">
    <w:name w:val="TableNormal"/>
    <w:uiPriority w:val="0"/>
  </w:style>
  <w:style w:type="paragraph" w:customStyle="1" w:styleId="9">
    <w:name w:val="HtmlNormal"/>
    <w:basedOn w:val="1"/>
    <w:uiPriority w:val="0"/>
    <w:pPr>
      <w:spacing w:before="100" w:beforeAutospacing="1" w:after="100" w:afterAutospacing="1"/>
      <w:ind w:left="0" w:right="0"/>
      <w:jc w:val="left"/>
      <w:textAlignment w:val="baseline"/>
    </w:pPr>
    <w:rPr>
      <w:rFonts w:ascii="Calibri" w:hAnsi="Calibri" w:eastAsia="宋体"/>
      <w:kern w:val="0"/>
      <w:sz w:val="24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29</TotalTime>
  <ScaleCrop>false</ScaleCrop>
  <LinksUpToDate>false</LinksUpToDate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2021-01-31T08:33:00Z</dcterms:created>
  <dc:creator>Administrator</dc:creator>
  <cp:lastModifiedBy>Administrator</cp:lastModifiedBy>
  <dcterms:modified xsi:type="dcterms:W3CDTF">2021-02-01T01:47:44Z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