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w:t>
      </w:r>
      <w:r w:rsidR="00397F78">
        <w:rPr>
          <w:rFonts w:eastAsia="仿宋_GB2312" w:hint="eastAsia"/>
          <w:color w:val="000000"/>
          <w:sz w:val="32"/>
          <w:szCs w:val="32"/>
        </w:rPr>
        <w:t>规</w:t>
      </w:r>
      <w:r>
        <w:rPr>
          <w:rFonts w:eastAsia="仿宋_GB2312"/>
          <w:color w:val="000000"/>
          <w:sz w:val="32"/>
          <w:szCs w:val="32"/>
        </w:rPr>
        <w:t>〔</w:t>
      </w:r>
      <w:r>
        <w:rPr>
          <w:rFonts w:eastAsia="仿宋_GB2312"/>
          <w:color w:val="000000"/>
          <w:sz w:val="32"/>
          <w:szCs w:val="32"/>
        </w:rPr>
        <w:t>202</w:t>
      </w:r>
      <w:r w:rsidR="004E6952">
        <w:rPr>
          <w:rFonts w:eastAsia="仿宋_GB2312" w:hint="eastAsia"/>
          <w:color w:val="000000"/>
          <w:sz w:val="32"/>
          <w:szCs w:val="32"/>
        </w:rPr>
        <w:t>4</w:t>
      </w:r>
      <w:r>
        <w:rPr>
          <w:rFonts w:eastAsia="仿宋_GB2312"/>
          <w:color w:val="000000"/>
          <w:sz w:val="32"/>
          <w:szCs w:val="32"/>
        </w:rPr>
        <w:t>〕</w:t>
      </w:r>
      <w:r w:rsidR="00435C15">
        <w:rPr>
          <w:rFonts w:eastAsia="仿宋_GB2312" w:hint="eastAsia"/>
          <w:color w:val="000000"/>
          <w:sz w:val="32"/>
          <w:szCs w:val="32"/>
        </w:rPr>
        <w:t>4</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206FAF" w:rsidRPr="00206FAF" w:rsidRDefault="00206FAF" w:rsidP="00206FAF">
      <w:pPr>
        <w:spacing w:line="560" w:lineRule="exact"/>
        <w:jc w:val="center"/>
        <w:rPr>
          <w:rFonts w:eastAsia="方正大标宋简体"/>
          <w:sz w:val="44"/>
          <w:szCs w:val="44"/>
        </w:rPr>
      </w:pPr>
      <w:r w:rsidRPr="00206FAF">
        <w:rPr>
          <w:rFonts w:eastAsia="方正大标宋简体"/>
          <w:sz w:val="44"/>
          <w:szCs w:val="44"/>
        </w:rPr>
        <w:t>关于印发</w:t>
      </w:r>
      <w:r w:rsidRPr="00206FAF">
        <w:rPr>
          <w:rFonts w:eastAsia="方正大标宋简体" w:hint="eastAsia"/>
          <w:sz w:val="44"/>
          <w:szCs w:val="44"/>
        </w:rPr>
        <w:t>忻州市城市绿线管理办法</w:t>
      </w:r>
      <w:r w:rsidRPr="00206FAF">
        <w:rPr>
          <w:rFonts w:eastAsia="方正大标宋简体"/>
          <w:sz w:val="44"/>
          <w:szCs w:val="44"/>
        </w:rPr>
        <w:t>的通知</w:t>
      </w:r>
    </w:p>
    <w:p w:rsidR="00206FAF" w:rsidRPr="00206FAF" w:rsidRDefault="00206FAF" w:rsidP="00206FAF">
      <w:pPr>
        <w:pStyle w:val="BodyText"/>
        <w:spacing w:after="0" w:line="560" w:lineRule="exact"/>
        <w:rPr>
          <w:rFonts w:eastAsia="仿宋_GB2312"/>
          <w:sz w:val="32"/>
          <w:szCs w:val="32"/>
        </w:rPr>
      </w:pPr>
    </w:p>
    <w:p w:rsidR="00206FAF" w:rsidRPr="00206FAF" w:rsidRDefault="00206FAF" w:rsidP="00206FAF">
      <w:pPr>
        <w:pStyle w:val="BodyText"/>
        <w:spacing w:after="0" w:line="560" w:lineRule="exact"/>
        <w:rPr>
          <w:rFonts w:eastAsia="仿宋_GB2312"/>
          <w:sz w:val="32"/>
          <w:szCs w:val="32"/>
        </w:rPr>
      </w:pPr>
      <w:r w:rsidRPr="00206FAF">
        <w:rPr>
          <w:rFonts w:eastAsia="仿宋_GB2312"/>
          <w:sz w:val="32"/>
          <w:szCs w:val="32"/>
        </w:rPr>
        <w:t>各县（市、区）人民政府，忻州经济开发区管委会，五台山风景名胜区管委会，市人民政府各委、办、局：</w:t>
      </w:r>
    </w:p>
    <w:p w:rsidR="00206FAF" w:rsidRPr="00206FAF" w:rsidRDefault="00206FAF" w:rsidP="00206FAF">
      <w:pPr>
        <w:pStyle w:val="BodyText"/>
        <w:spacing w:after="0" w:line="560" w:lineRule="exact"/>
        <w:ind w:firstLineChars="200" w:firstLine="640"/>
        <w:rPr>
          <w:rFonts w:eastAsia="仿宋_GB2312"/>
          <w:sz w:val="32"/>
          <w:szCs w:val="32"/>
        </w:rPr>
      </w:pPr>
      <w:r w:rsidRPr="00206FAF">
        <w:rPr>
          <w:rFonts w:eastAsia="仿宋_GB2312"/>
          <w:sz w:val="32"/>
          <w:szCs w:val="32"/>
        </w:rPr>
        <w:t>《忻州市城市绿线管理办法》已经市人民政府同意，现印发给你们，请认真贯彻执行。</w:t>
      </w:r>
    </w:p>
    <w:p w:rsidR="00206FAF" w:rsidRPr="00206FAF" w:rsidRDefault="00206FAF" w:rsidP="00206FAF">
      <w:pPr>
        <w:pStyle w:val="BodyText"/>
        <w:spacing w:after="0" w:line="560" w:lineRule="exact"/>
        <w:ind w:firstLineChars="200" w:firstLine="640"/>
        <w:rPr>
          <w:rFonts w:eastAsia="仿宋_GB2312"/>
          <w:sz w:val="32"/>
          <w:szCs w:val="32"/>
        </w:rPr>
      </w:pPr>
    </w:p>
    <w:p w:rsidR="00206FAF" w:rsidRDefault="00206FAF" w:rsidP="00206FAF">
      <w:pPr>
        <w:pStyle w:val="BodyText"/>
        <w:spacing w:after="0" w:line="560" w:lineRule="exact"/>
        <w:ind w:firstLineChars="200" w:firstLine="640"/>
        <w:rPr>
          <w:rFonts w:eastAsia="仿宋_GB2312" w:hint="eastAsia"/>
          <w:sz w:val="32"/>
          <w:szCs w:val="32"/>
        </w:rPr>
      </w:pPr>
    </w:p>
    <w:p w:rsidR="00206FAF" w:rsidRPr="00206FAF" w:rsidRDefault="00206FAF" w:rsidP="00206FAF">
      <w:pPr>
        <w:pStyle w:val="BodyText"/>
        <w:spacing w:after="0" w:line="560" w:lineRule="exact"/>
        <w:ind w:firstLineChars="200" w:firstLine="640"/>
        <w:rPr>
          <w:rFonts w:eastAsia="仿宋_GB2312"/>
          <w:sz w:val="32"/>
          <w:szCs w:val="32"/>
        </w:rPr>
      </w:pPr>
    </w:p>
    <w:p w:rsidR="00206FAF" w:rsidRPr="00206FAF" w:rsidRDefault="00206FAF" w:rsidP="00206FAF">
      <w:pPr>
        <w:pStyle w:val="BodyText"/>
        <w:wordWrap w:val="0"/>
        <w:spacing w:after="0" w:line="560" w:lineRule="exact"/>
        <w:jc w:val="right"/>
        <w:rPr>
          <w:rFonts w:eastAsia="仿宋_GB2312"/>
          <w:sz w:val="32"/>
          <w:szCs w:val="32"/>
        </w:rPr>
      </w:pPr>
      <w:r w:rsidRPr="00206FAF">
        <w:rPr>
          <w:rFonts w:eastAsia="仿宋_GB2312" w:hAnsi="仿宋_GB2312"/>
          <w:sz w:val="32"/>
          <w:szCs w:val="32"/>
        </w:rPr>
        <w:t>忻州市人民政府办公室</w:t>
      </w:r>
      <w:r>
        <w:rPr>
          <w:rFonts w:eastAsia="仿宋_GB2312" w:hAnsi="仿宋_GB2312" w:hint="eastAsia"/>
          <w:sz w:val="32"/>
          <w:szCs w:val="32"/>
        </w:rPr>
        <w:t xml:space="preserve">      </w:t>
      </w:r>
    </w:p>
    <w:p w:rsidR="00206FAF" w:rsidRPr="00206FAF" w:rsidRDefault="00206FAF" w:rsidP="00206FAF">
      <w:pPr>
        <w:pStyle w:val="BodyText"/>
        <w:wordWrap w:val="0"/>
        <w:spacing w:after="0" w:line="560" w:lineRule="exact"/>
        <w:ind w:firstLineChars="200" w:firstLine="640"/>
        <w:jc w:val="right"/>
        <w:rPr>
          <w:rFonts w:eastAsia="仿宋_GB2312"/>
          <w:sz w:val="32"/>
          <w:szCs w:val="32"/>
        </w:rPr>
      </w:pPr>
      <w:r w:rsidRPr="00206FAF">
        <w:rPr>
          <w:rFonts w:eastAsia="仿宋_GB2312"/>
          <w:sz w:val="32"/>
          <w:szCs w:val="32"/>
        </w:rPr>
        <w:t>2024</w:t>
      </w:r>
      <w:r w:rsidRPr="00206FAF">
        <w:rPr>
          <w:rFonts w:eastAsia="仿宋_GB2312" w:hAnsi="仿宋_GB2312"/>
          <w:sz w:val="32"/>
          <w:szCs w:val="32"/>
        </w:rPr>
        <w:t>年</w:t>
      </w:r>
      <w:r w:rsidRPr="00206FAF">
        <w:rPr>
          <w:rFonts w:eastAsia="仿宋_GB2312"/>
          <w:sz w:val="32"/>
          <w:szCs w:val="32"/>
        </w:rPr>
        <w:t>2</w:t>
      </w:r>
      <w:r w:rsidRPr="00206FAF">
        <w:rPr>
          <w:rFonts w:eastAsia="仿宋_GB2312" w:hAnsi="仿宋_GB2312"/>
          <w:sz w:val="32"/>
          <w:szCs w:val="32"/>
        </w:rPr>
        <w:t>月</w:t>
      </w:r>
      <w:r w:rsidRPr="00206FAF">
        <w:rPr>
          <w:rFonts w:eastAsia="仿宋_GB2312"/>
          <w:sz w:val="32"/>
          <w:szCs w:val="32"/>
        </w:rPr>
        <w:t>26</w:t>
      </w:r>
      <w:r w:rsidRPr="00206FAF">
        <w:rPr>
          <w:rFonts w:eastAsia="仿宋_GB2312" w:hAnsi="仿宋_GB2312"/>
          <w:sz w:val="32"/>
          <w:szCs w:val="32"/>
        </w:rPr>
        <w:t>日</w:t>
      </w:r>
      <w:r>
        <w:rPr>
          <w:rFonts w:eastAsia="仿宋_GB2312" w:hAnsi="仿宋_GB2312" w:hint="eastAsia"/>
          <w:sz w:val="32"/>
          <w:szCs w:val="32"/>
        </w:rPr>
        <w:t xml:space="preserve">        </w:t>
      </w:r>
    </w:p>
    <w:p w:rsidR="00206FAF" w:rsidRPr="00206FAF" w:rsidRDefault="00206FAF" w:rsidP="00206FAF">
      <w:pPr>
        <w:pStyle w:val="BodyText"/>
        <w:spacing w:after="0" w:line="560" w:lineRule="exact"/>
        <w:ind w:firstLineChars="200" w:firstLine="640"/>
        <w:rPr>
          <w:rFonts w:eastAsia="方正小标宋简体"/>
          <w:kern w:val="0"/>
          <w:sz w:val="44"/>
          <w:szCs w:val="44"/>
        </w:rPr>
      </w:pPr>
      <w:r w:rsidRPr="00206FAF">
        <w:rPr>
          <w:rFonts w:eastAsia="仿宋_GB2312"/>
          <w:sz w:val="32"/>
          <w:szCs w:val="32"/>
        </w:rPr>
        <w:t>（此件公开发布）</w:t>
      </w:r>
      <w:r w:rsidRPr="00206FAF">
        <w:rPr>
          <w:rFonts w:eastAsia="方正小标宋简体"/>
          <w:sz w:val="44"/>
          <w:szCs w:val="44"/>
        </w:rPr>
        <w:br w:type="page"/>
      </w:r>
    </w:p>
    <w:p w:rsidR="00206FAF" w:rsidRDefault="00206FAF" w:rsidP="00206FAF">
      <w:pPr>
        <w:tabs>
          <w:tab w:val="left" w:pos="1680"/>
          <w:tab w:val="left" w:pos="1890"/>
        </w:tabs>
        <w:spacing w:line="560" w:lineRule="exact"/>
        <w:rPr>
          <w:rFonts w:eastAsia="方正小标宋简体" w:hAnsi="方正小标宋简体" w:hint="eastAsia"/>
          <w:kern w:val="0"/>
          <w:sz w:val="44"/>
          <w:szCs w:val="44"/>
        </w:rPr>
      </w:pPr>
    </w:p>
    <w:p w:rsidR="00206FAF" w:rsidRPr="00206FAF" w:rsidRDefault="00206FAF" w:rsidP="00206FAF">
      <w:pPr>
        <w:tabs>
          <w:tab w:val="left" w:pos="1680"/>
          <w:tab w:val="left" w:pos="1890"/>
        </w:tabs>
        <w:spacing w:line="560" w:lineRule="exact"/>
        <w:jc w:val="center"/>
        <w:rPr>
          <w:rFonts w:ascii="方正大标宋简体" w:eastAsia="方正大标宋简体" w:hint="eastAsia"/>
          <w:kern w:val="0"/>
          <w:sz w:val="44"/>
          <w:szCs w:val="44"/>
        </w:rPr>
      </w:pPr>
      <w:r w:rsidRPr="00206FAF">
        <w:rPr>
          <w:rFonts w:ascii="方正大标宋简体" w:eastAsia="方正大标宋简体" w:hAnsi="方正小标宋简体" w:hint="eastAsia"/>
          <w:kern w:val="0"/>
          <w:sz w:val="44"/>
          <w:szCs w:val="44"/>
        </w:rPr>
        <w:t>忻州市城市绿线管理办法</w:t>
      </w:r>
    </w:p>
    <w:p w:rsidR="00206FAF" w:rsidRPr="00206FAF" w:rsidRDefault="00206FAF" w:rsidP="00206FAF">
      <w:pPr>
        <w:tabs>
          <w:tab w:val="left" w:pos="1680"/>
          <w:tab w:val="left" w:pos="1890"/>
        </w:tabs>
        <w:spacing w:line="560" w:lineRule="exact"/>
        <w:rPr>
          <w:rFonts w:eastAsia="方正小标宋简体"/>
          <w:kern w:val="0"/>
          <w:sz w:val="44"/>
          <w:szCs w:val="44"/>
        </w:rPr>
      </w:pP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第一条</w:t>
      </w:r>
      <w:r w:rsidRPr="00206FAF">
        <w:rPr>
          <w:rFonts w:eastAsia="仿宋_GB2312"/>
          <w:kern w:val="0"/>
          <w:sz w:val="32"/>
          <w:szCs w:val="32"/>
        </w:rPr>
        <w:t xml:space="preserve">  </w:t>
      </w:r>
      <w:r w:rsidRPr="00206FAF">
        <w:rPr>
          <w:rFonts w:eastAsia="仿宋_GB2312" w:hAnsi="仿宋_GB2312"/>
          <w:kern w:val="0"/>
          <w:sz w:val="32"/>
          <w:szCs w:val="32"/>
        </w:rPr>
        <w:t>为加强城市绿化管理，严格实施城市绿地系统规划，提高本市绿化的总体水平，根据《中华人民共和国城乡规划法》《中华人民共和国土地管理法》《城市绿化条例》（国务院令第</w:t>
      </w:r>
      <w:r w:rsidRPr="00206FAF">
        <w:rPr>
          <w:rFonts w:eastAsia="仿宋_GB2312"/>
          <w:kern w:val="0"/>
          <w:sz w:val="32"/>
          <w:szCs w:val="32"/>
        </w:rPr>
        <w:t>100</w:t>
      </w:r>
      <w:r w:rsidRPr="00206FAF">
        <w:rPr>
          <w:rFonts w:eastAsia="仿宋_GB2312" w:hAnsi="仿宋_GB2312"/>
          <w:kern w:val="0"/>
          <w:sz w:val="32"/>
          <w:szCs w:val="32"/>
        </w:rPr>
        <w:t>号）《城市绿线管理办法》（建设部令第</w:t>
      </w:r>
      <w:r w:rsidRPr="00206FAF">
        <w:rPr>
          <w:rFonts w:eastAsia="仿宋_GB2312"/>
          <w:kern w:val="0"/>
          <w:sz w:val="32"/>
          <w:szCs w:val="32"/>
        </w:rPr>
        <w:t>112</w:t>
      </w:r>
      <w:r w:rsidRPr="00206FAF">
        <w:rPr>
          <w:rFonts w:eastAsia="仿宋_GB2312" w:hAnsi="仿宋_GB2312"/>
          <w:kern w:val="0"/>
          <w:sz w:val="32"/>
          <w:szCs w:val="32"/>
        </w:rPr>
        <w:t>号）《山西省城市绿化办法》（省政府令第</w:t>
      </w:r>
      <w:r w:rsidRPr="00206FAF">
        <w:rPr>
          <w:rFonts w:eastAsia="仿宋_GB2312"/>
          <w:kern w:val="0"/>
          <w:sz w:val="32"/>
          <w:szCs w:val="32"/>
        </w:rPr>
        <w:t>305</w:t>
      </w:r>
      <w:r w:rsidRPr="00206FAF">
        <w:rPr>
          <w:rFonts w:eastAsia="仿宋_GB2312" w:hAnsi="仿宋_GB2312"/>
          <w:kern w:val="0"/>
          <w:sz w:val="32"/>
          <w:szCs w:val="32"/>
        </w:rPr>
        <w:t>号）等相关法律法规规章的规定，结合本市实际，制定本办法。</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第二条</w:t>
      </w:r>
      <w:r w:rsidRPr="00206FAF">
        <w:rPr>
          <w:rFonts w:eastAsia="仿宋_GB2312"/>
          <w:kern w:val="0"/>
          <w:sz w:val="32"/>
          <w:szCs w:val="32"/>
        </w:rPr>
        <w:t xml:space="preserve">  </w:t>
      </w:r>
      <w:r w:rsidRPr="00206FAF">
        <w:rPr>
          <w:rFonts w:eastAsia="仿宋_GB2312" w:hAnsi="仿宋_GB2312"/>
          <w:kern w:val="0"/>
          <w:sz w:val="32"/>
          <w:szCs w:val="32"/>
        </w:rPr>
        <w:t>本办法所称城市绿线，是指城市各类绿地范围的控制线。</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第三条</w:t>
      </w:r>
      <w:r w:rsidRPr="00206FAF">
        <w:rPr>
          <w:rFonts w:eastAsia="仿宋_GB2312"/>
          <w:kern w:val="0"/>
          <w:sz w:val="32"/>
          <w:szCs w:val="32"/>
        </w:rPr>
        <w:t xml:space="preserve">  </w:t>
      </w:r>
      <w:r w:rsidRPr="00206FAF">
        <w:rPr>
          <w:rFonts w:eastAsia="仿宋_GB2312" w:hAnsi="仿宋_GB2312"/>
          <w:kern w:val="0"/>
          <w:sz w:val="32"/>
          <w:szCs w:val="32"/>
        </w:rPr>
        <w:t>本办法适用于本市国土空间规划确定的中心城区范围内城市绿线的划定、监督和管理。</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第四条</w:t>
      </w:r>
      <w:r w:rsidRPr="00206FAF">
        <w:rPr>
          <w:rFonts w:eastAsia="仿宋_GB2312"/>
          <w:kern w:val="0"/>
          <w:sz w:val="32"/>
          <w:szCs w:val="32"/>
        </w:rPr>
        <w:t xml:space="preserve">  </w:t>
      </w:r>
      <w:r w:rsidRPr="00206FAF">
        <w:rPr>
          <w:rFonts w:eastAsia="仿宋_GB2312" w:hAnsi="仿宋_GB2312"/>
          <w:kern w:val="0"/>
          <w:sz w:val="32"/>
          <w:szCs w:val="32"/>
        </w:rPr>
        <w:t>市规划和自然资源、绿化行政主管部门按照职责分工，分别负责本市规划中心城区范围内城市绿线的规划划定和监督管理工作。</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政府其他有关部门依照各自职责，协助做好城市绿线的监督和管理工作。</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第五条</w:t>
      </w:r>
      <w:r w:rsidRPr="00206FAF">
        <w:rPr>
          <w:rFonts w:eastAsia="仿宋_GB2312"/>
          <w:kern w:val="0"/>
          <w:sz w:val="32"/>
          <w:szCs w:val="32"/>
        </w:rPr>
        <w:t xml:space="preserve">  </w:t>
      </w:r>
      <w:r w:rsidRPr="00206FAF">
        <w:rPr>
          <w:rFonts w:eastAsia="仿宋_GB2312" w:hAnsi="仿宋_GB2312"/>
          <w:kern w:val="0"/>
          <w:sz w:val="32"/>
          <w:szCs w:val="32"/>
        </w:rPr>
        <w:t>城市绿线由市规划和自然资源、绿化行政主管部门按照城市现有绿地、风景名胜、自然地貌以及已批准的国土空间规划、城市绿地系统规划所涉及的绿化地域予以划定，经原审批机关批准后实施。</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第六条</w:t>
      </w:r>
      <w:r w:rsidRPr="00206FAF">
        <w:rPr>
          <w:rFonts w:eastAsia="仿宋_GB2312"/>
          <w:kern w:val="0"/>
          <w:sz w:val="32"/>
          <w:szCs w:val="32"/>
        </w:rPr>
        <w:t xml:space="preserve">  </w:t>
      </w:r>
      <w:r w:rsidRPr="00206FAF">
        <w:rPr>
          <w:rFonts w:eastAsia="仿宋_GB2312" w:hAnsi="仿宋_GB2312"/>
          <w:kern w:val="0"/>
          <w:sz w:val="32"/>
          <w:szCs w:val="32"/>
        </w:rPr>
        <w:t>经批准的城市绿线应向社会公布，接受公众监督。</w:t>
      </w:r>
      <w:r w:rsidRPr="00206FAF">
        <w:rPr>
          <w:rFonts w:eastAsia="仿宋_GB2312" w:hAnsi="仿宋_GB2312"/>
          <w:kern w:val="0"/>
          <w:sz w:val="32"/>
          <w:szCs w:val="32"/>
        </w:rPr>
        <w:lastRenderedPageBreak/>
        <w:t>任何单位和个人都有保护城市绿地、服从城市绿线管理的义务，有监督城市绿线管理、举报投诉城市绿线管理违法行为的权利。</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第七条</w:t>
      </w:r>
      <w:r w:rsidRPr="00206FAF">
        <w:rPr>
          <w:rFonts w:eastAsia="仿宋_GB2312"/>
          <w:kern w:val="0"/>
          <w:sz w:val="32"/>
          <w:szCs w:val="32"/>
        </w:rPr>
        <w:t xml:space="preserve">  </w:t>
      </w:r>
      <w:r w:rsidRPr="00206FAF">
        <w:rPr>
          <w:rFonts w:eastAsia="仿宋_GB2312" w:hAnsi="仿宋_GB2312"/>
          <w:kern w:val="0"/>
          <w:sz w:val="32"/>
          <w:szCs w:val="32"/>
        </w:rPr>
        <w:t>下列区域应当划定城市绿线：</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（一）现有的和规划的公园绿地、防护绿地、广场用地、附属绿地及区域绿地等城市绿地；</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（二）规划中心城区内的河流、湖泊、水塘、湿地、山体等城市景观生态控制区域；</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（三）规划中心城区内的风景名胜区、散生林植被、古树名木规定的保护范围等；</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（四）其他对城市生态和景观产生积极作用的区域。</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第八条</w:t>
      </w:r>
      <w:r w:rsidRPr="00206FAF">
        <w:rPr>
          <w:rFonts w:eastAsia="仿宋_GB2312"/>
          <w:kern w:val="0"/>
          <w:sz w:val="32"/>
          <w:szCs w:val="32"/>
        </w:rPr>
        <w:t xml:space="preserve">  </w:t>
      </w:r>
      <w:r w:rsidRPr="00206FAF">
        <w:rPr>
          <w:rFonts w:eastAsia="仿宋_GB2312" w:hAnsi="仿宋_GB2312"/>
          <w:kern w:val="0"/>
          <w:sz w:val="32"/>
          <w:szCs w:val="32"/>
        </w:rPr>
        <w:t>市规划和自然资源、绿化行政主管部门应密切合作，组织编制城市绿地系统规划，确定城市绿化目标和布局，规定城市各类绿地的控制原则，按照规定标准确定绿地面积，分层次合理布局公园绿地、防护绿地、广场用地等各类绿地，并划定城市绿线。</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第九条</w:t>
      </w:r>
      <w:r w:rsidRPr="00206FAF">
        <w:rPr>
          <w:rFonts w:eastAsia="仿宋_GB2312"/>
          <w:kern w:val="0"/>
          <w:sz w:val="32"/>
          <w:szCs w:val="32"/>
        </w:rPr>
        <w:t xml:space="preserve">  </w:t>
      </w:r>
      <w:r w:rsidRPr="00206FAF">
        <w:rPr>
          <w:rFonts w:eastAsia="仿宋_GB2312" w:hAnsi="仿宋_GB2312"/>
          <w:kern w:val="0"/>
          <w:sz w:val="32"/>
          <w:szCs w:val="32"/>
        </w:rPr>
        <w:t>国土空间详细规划应当提出不同类型用地的界线、规划绿地率控制指标和绿化用地界限的具体坐标。</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第十条</w:t>
      </w:r>
      <w:r w:rsidRPr="00206FAF">
        <w:rPr>
          <w:rFonts w:eastAsia="仿宋_GB2312"/>
          <w:kern w:val="0"/>
          <w:sz w:val="32"/>
          <w:szCs w:val="32"/>
        </w:rPr>
        <w:t xml:space="preserve">  </w:t>
      </w:r>
      <w:r w:rsidRPr="00206FAF">
        <w:rPr>
          <w:rFonts w:eastAsia="仿宋_GB2312" w:hAnsi="仿宋_GB2312"/>
          <w:kern w:val="0"/>
          <w:sz w:val="32"/>
          <w:szCs w:val="32"/>
        </w:rPr>
        <w:t>确实需要调整城市绿线的，应当依法调整国土空间规划，调整后的城市绿线随调整后的国土空间规划一并报原审批机关批准。</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第十一条</w:t>
      </w:r>
      <w:r w:rsidRPr="00206FAF">
        <w:rPr>
          <w:rFonts w:eastAsia="仿宋_GB2312"/>
          <w:kern w:val="0"/>
          <w:sz w:val="32"/>
          <w:szCs w:val="32"/>
        </w:rPr>
        <w:t xml:space="preserve">  </w:t>
      </w:r>
      <w:r w:rsidRPr="00206FAF">
        <w:rPr>
          <w:rFonts w:eastAsia="仿宋_GB2312" w:hAnsi="仿宋_GB2312"/>
          <w:kern w:val="0"/>
          <w:sz w:val="32"/>
          <w:szCs w:val="32"/>
        </w:rPr>
        <w:t>城市绿线的审批、调整，按照《中华人民共和国城乡规划法》《城市绿化条例》（国务院令第</w:t>
      </w:r>
      <w:r w:rsidRPr="00206FAF">
        <w:rPr>
          <w:rFonts w:eastAsia="仿宋_GB2312"/>
          <w:kern w:val="0"/>
          <w:sz w:val="32"/>
          <w:szCs w:val="32"/>
        </w:rPr>
        <w:t>100</w:t>
      </w:r>
      <w:r w:rsidRPr="00206FAF">
        <w:rPr>
          <w:rFonts w:eastAsia="仿宋_GB2312" w:hAnsi="仿宋_GB2312"/>
          <w:kern w:val="0"/>
          <w:sz w:val="32"/>
          <w:szCs w:val="32"/>
        </w:rPr>
        <w:t>号）《中华人民共和国土地管理法》的规定进行。</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lastRenderedPageBreak/>
        <w:t>第十二条</w:t>
      </w:r>
      <w:r w:rsidRPr="00206FAF">
        <w:rPr>
          <w:rFonts w:eastAsia="仿宋_GB2312"/>
          <w:kern w:val="0"/>
          <w:sz w:val="32"/>
          <w:szCs w:val="32"/>
        </w:rPr>
        <w:t xml:space="preserve">  </w:t>
      </w:r>
      <w:r w:rsidRPr="00206FAF">
        <w:rPr>
          <w:rFonts w:eastAsia="仿宋_GB2312" w:hAnsi="仿宋_GB2312"/>
          <w:kern w:val="0"/>
          <w:sz w:val="32"/>
          <w:szCs w:val="32"/>
        </w:rPr>
        <w:t>城市绿线范围内的公园绿地、防护绿地、广场用地、附属绿地及区域绿地，按照《公园设计规范》《山西省城市绿化办法》（省政府令第</w:t>
      </w:r>
      <w:r w:rsidRPr="00206FAF">
        <w:rPr>
          <w:rFonts w:eastAsia="仿宋_GB2312"/>
          <w:kern w:val="0"/>
          <w:sz w:val="32"/>
          <w:szCs w:val="32"/>
        </w:rPr>
        <w:t>305</w:t>
      </w:r>
      <w:r w:rsidRPr="00206FAF">
        <w:rPr>
          <w:rFonts w:eastAsia="仿宋_GB2312" w:hAnsi="仿宋_GB2312"/>
          <w:kern w:val="0"/>
          <w:sz w:val="32"/>
          <w:szCs w:val="32"/>
        </w:rPr>
        <w:t>号）等标准，进行绿地建设。</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第十三条</w:t>
      </w:r>
      <w:r w:rsidRPr="00206FAF">
        <w:rPr>
          <w:rFonts w:eastAsia="仿宋_GB2312"/>
          <w:kern w:val="0"/>
          <w:sz w:val="32"/>
          <w:szCs w:val="32"/>
        </w:rPr>
        <w:t xml:space="preserve">  </w:t>
      </w:r>
      <w:r w:rsidRPr="00206FAF">
        <w:rPr>
          <w:rFonts w:eastAsia="仿宋_GB2312" w:hAnsi="仿宋_GB2312"/>
          <w:kern w:val="0"/>
          <w:sz w:val="32"/>
          <w:szCs w:val="32"/>
        </w:rPr>
        <w:t>市绿化行政主管部门要科学选用适宜当地种植的植物品种进行绿化建设。</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第十四条</w:t>
      </w:r>
      <w:r w:rsidRPr="00206FAF">
        <w:rPr>
          <w:rFonts w:eastAsia="仿宋_GB2312"/>
          <w:kern w:val="0"/>
          <w:sz w:val="32"/>
          <w:szCs w:val="32"/>
        </w:rPr>
        <w:t xml:space="preserve">  </w:t>
      </w:r>
      <w:r w:rsidRPr="00206FAF">
        <w:rPr>
          <w:rFonts w:eastAsia="仿宋_GB2312" w:hAnsi="仿宋_GB2312"/>
          <w:kern w:val="0"/>
          <w:sz w:val="32"/>
          <w:szCs w:val="32"/>
        </w:rPr>
        <w:t>规划中心城区范围内新建工程项目的用地选址，必须符合国土空间规划、城市绿地系统规划的要求。</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第十五条</w:t>
      </w:r>
      <w:r w:rsidRPr="00206FAF">
        <w:rPr>
          <w:rFonts w:eastAsia="仿宋_GB2312"/>
          <w:kern w:val="0"/>
          <w:sz w:val="32"/>
          <w:szCs w:val="32"/>
        </w:rPr>
        <w:t xml:space="preserve">  </w:t>
      </w:r>
      <w:r w:rsidRPr="00206FAF">
        <w:rPr>
          <w:rFonts w:eastAsia="仿宋_GB2312" w:hAnsi="仿宋_GB2312"/>
          <w:kern w:val="0"/>
          <w:sz w:val="32"/>
          <w:szCs w:val="32"/>
        </w:rPr>
        <w:t>居住区绿化、单位绿化及各类建设项目的配套绿化都要达到《城市绿化规划建设指标的规定》</w:t>
      </w:r>
      <w:r w:rsidR="00897B76">
        <w:rPr>
          <w:rFonts w:eastAsia="仿宋_GB2312" w:hAnsi="仿宋_GB2312" w:hint="eastAsia"/>
          <w:kern w:val="0"/>
          <w:sz w:val="32"/>
          <w:szCs w:val="32"/>
        </w:rPr>
        <w:t>有关</w:t>
      </w:r>
      <w:r w:rsidRPr="00206FAF">
        <w:rPr>
          <w:rFonts w:eastAsia="仿宋_GB2312" w:hAnsi="仿宋_GB2312"/>
          <w:kern w:val="0"/>
          <w:sz w:val="32"/>
          <w:szCs w:val="32"/>
        </w:rPr>
        <w:t>标准。</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各类建设工程要与其配套的绿化工程同步设计，同步施工，同步验收。达不到规定标准的，不得投入使用。</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第十六条</w:t>
      </w:r>
      <w:r w:rsidRPr="00206FAF">
        <w:rPr>
          <w:rFonts w:eastAsia="仿宋_GB2312"/>
          <w:kern w:val="0"/>
          <w:sz w:val="32"/>
          <w:szCs w:val="32"/>
        </w:rPr>
        <w:t xml:space="preserve">  </w:t>
      </w:r>
      <w:r w:rsidRPr="00206FAF">
        <w:rPr>
          <w:rFonts w:eastAsia="仿宋_GB2312" w:hAnsi="仿宋_GB2312"/>
          <w:kern w:val="0"/>
          <w:sz w:val="32"/>
          <w:szCs w:val="32"/>
        </w:rPr>
        <w:t>市绿化行政主管部门对城市绿线的控制和实施情况进行检查，并向同级人民政府报告。</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第十七条</w:t>
      </w:r>
      <w:r w:rsidRPr="00206FAF">
        <w:rPr>
          <w:rFonts w:eastAsia="仿宋_GB2312"/>
          <w:kern w:val="0"/>
          <w:sz w:val="32"/>
          <w:szCs w:val="32"/>
        </w:rPr>
        <w:t xml:space="preserve">  </w:t>
      </w:r>
      <w:r w:rsidRPr="00206FAF">
        <w:rPr>
          <w:rFonts w:eastAsia="仿宋_GB2312" w:hAnsi="仿宋_GB2312"/>
          <w:kern w:val="0"/>
          <w:sz w:val="32"/>
          <w:szCs w:val="32"/>
        </w:rPr>
        <w:t>市城市管理部门应当定期对本行政区域内城市绿线的管理情况进行监督检查，</w:t>
      </w:r>
      <w:r w:rsidR="006C0DD7" w:rsidRPr="00206FAF">
        <w:rPr>
          <w:rFonts w:eastAsia="仿宋_GB2312" w:hAnsi="仿宋_GB2312"/>
          <w:kern w:val="0"/>
          <w:sz w:val="32"/>
          <w:szCs w:val="32"/>
        </w:rPr>
        <w:t>及时纠正</w:t>
      </w:r>
      <w:r w:rsidRPr="00206FAF">
        <w:rPr>
          <w:rFonts w:eastAsia="仿宋_GB2312" w:hAnsi="仿宋_GB2312"/>
          <w:kern w:val="0"/>
          <w:sz w:val="32"/>
          <w:szCs w:val="32"/>
        </w:rPr>
        <w:t>违法行为。</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第十八条</w:t>
      </w:r>
      <w:r w:rsidRPr="00206FAF">
        <w:rPr>
          <w:rFonts w:eastAsia="仿宋_GB2312"/>
          <w:kern w:val="0"/>
          <w:sz w:val="32"/>
          <w:szCs w:val="32"/>
        </w:rPr>
        <w:t xml:space="preserve">  </w:t>
      </w:r>
      <w:r w:rsidRPr="00206FAF">
        <w:rPr>
          <w:rFonts w:eastAsia="仿宋_GB2312" w:hAnsi="仿宋_GB2312"/>
          <w:kern w:val="0"/>
          <w:sz w:val="32"/>
          <w:szCs w:val="32"/>
        </w:rPr>
        <w:t>城市绿线内所有绿地、植被、绿化设施等，任何单位和个人不得擅自移植、砍伐、侵占和损坏。</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第十九条</w:t>
      </w:r>
      <w:r w:rsidRPr="00206FAF">
        <w:rPr>
          <w:rFonts w:eastAsia="仿宋_GB2312"/>
          <w:kern w:val="0"/>
          <w:sz w:val="32"/>
          <w:szCs w:val="32"/>
        </w:rPr>
        <w:t xml:space="preserve">  </w:t>
      </w:r>
      <w:r w:rsidRPr="00206FAF">
        <w:rPr>
          <w:rFonts w:eastAsia="仿宋_GB2312" w:hAnsi="仿宋_GB2312"/>
          <w:kern w:val="0"/>
          <w:sz w:val="32"/>
          <w:szCs w:val="32"/>
        </w:rPr>
        <w:t>城市绿线内的用地，任何单位和个人不得擅自改作他用，不得违反法律法规、强制性标准以及批准的规划进行开发建设。</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相关部门不得违反规定，批准在城市绿线范围内进行建设。</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城市绿线范围内不符合规划要求的建筑物、构筑物及其他设施应当限期迁出。</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lastRenderedPageBreak/>
        <w:t>因特殊需要，在城市绿线的控制线内新建建筑物、构筑物及其他地上设施的，应经市规划和自然资源、绿化行政主管部门共同组织专家论证、审查，并按《山西省城市绿化办法》在同类区域内落实补足绿地措施和经济补偿措施后，报原审批机关批准。</w:t>
      </w:r>
    </w:p>
    <w:p w:rsidR="00206FAF" w:rsidRPr="00206FAF" w:rsidRDefault="00206FAF" w:rsidP="00206FAF">
      <w:pPr>
        <w:tabs>
          <w:tab w:val="left" w:pos="1680"/>
          <w:tab w:val="left" w:pos="1890"/>
        </w:tabs>
        <w:spacing w:line="560" w:lineRule="exact"/>
        <w:ind w:firstLineChars="200" w:firstLine="640"/>
        <w:rPr>
          <w:rFonts w:eastAsia="仿宋_GB2312"/>
          <w:kern w:val="0"/>
          <w:sz w:val="32"/>
          <w:szCs w:val="32"/>
        </w:rPr>
      </w:pPr>
      <w:r w:rsidRPr="00206FAF">
        <w:rPr>
          <w:rFonts w:eastAsia="仿宋_GB2312" w:hAnsi="仿宋_GB2312"/>
          <w:kern w:val="0"/>
          <w:sz w:val="32"/>
          <w:szCs w:val="32"/>
        </w:rPr>
        <w:t>需要临时占用城市绿线内绿地的，应当报经相关行政主管部门同意，并依法办理相关审批手续；临时占用后，应当限期恢复。</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第二十条</w:t>
      </w:r>
      <w:r w:rsidRPr="00206FAF">
        <w:rPr>
          <w:rFonts w:eastAsia="仿宋_GB2312"/>
          <w:kern w:val="0"/>
          <w:sz w:val="32"/>
          <w:szCs w:val="32"/>
        </w:rPr>
        <w:t xml:space="preserve">  </w:t>
      </w:r>
      <w:r w:rsidRPr="00206FAF">
        <w:rPr>
          <w:rFonts w:eastAsia="仿宋_GB2312" w:hAnsi="仿宋_GB2312"/>
          <w:kern w:val="0"/>
          <w:sz w:val="32"/>
          <w:szCs w:val="32"/>
        </w:rPr>
        <w:t>任何单位和个人不得在城市绿线范围内进行拦河截溪、取土采石、设置垃圾堆场、排放污水以及其他对生态环境构成破坏的活动。</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第二十一条</w:t>
      </w:r>
      <w:r w:rsidRPr="00206FAF">
        <w:rPr>
          <w:rFonts w:eastAsia="仿宋_GB2312"/>
          <w:kern w:val="0"/>
          <w:sz w:val="32"/>
          <w:szCs w:val="32"/>
        </w:rPr>
        <w:t xml:space="preserve">  </w:t>
      </w:r>
      <w:r w:rsidRPr="00206FAF">
        <w:rPr>
          <w:rFonts w:eastAsia="仿宋_GB2312" w:hAnsi="仿宋_GB2312"/>
          <w:kern w:val="0"/>
          <w:sz w:val="32"/>
          <w:szCs w:val="32"/>
        </w:rPr>
        <w:t>违反本办法第十八条规定的，由市绿化行政主管部门，按照《城市绿化条例》（国务院令第</w:t>
      </w:r>
      <w:r w:rsidRPr="00206FAF">
        <w:rPr>
          <w:rFonts w:eastAsia="仿宋_GB2312"/>
          <w:kern w:val="0"/>
          <w:sz w:val="32"/>
          <w:szCs w:val="32"/>
        </w:rPr>
        <w:t>100</w:t>
      </w:r>
      <w:r w:rsidRPr="00206FAF">
        <w:rPr>
          <w:rFonts w:eastAsia="仿宋_GB2312" w:hAnsi="仿宋_GB2312"/>
          <w:kern w:val="0"/>
          <w:sz w:val="32"/>
          <w:szCs w:val="32"/>
        </w:rPr>
        <w:t>号）《山西省城市绿化办法》等有关规定予以处罚。</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第二十二条</w:t>
      </w:r>
      <w:r w:rsidRPr="00206FAF">
        <w:rPr>
          <w:rFonts w:eastAsia="仿宋_GB2312"/>
          <w:kern w:val="0"/>
          <w:sz w:val="32"/>
          <w:szCs w:val="32"/>
        </w:rPr>
        <w:t xml:space="preserve">  </w:t>
      </w:r>
      <w:r w:rsidRPr="00206FAF">
        <w:rPr>
          <w:rFonts w:eastAsia="仿宋_GB2312" w:hAnsi="仿宋_GB2312"/>
          <w:kern w:val="0"/>
          <w:sz w:val="32"/>
          <w:szCs w:val="32"/>
        </w:rPr>
        <w:t>违反本办法第十九条第一款规定的，由有权部门按照《中华人民共和国城乡规划法》《城市绿线管理办法》（建设部令第</w:t>
      </w:r>
      <w:r w:rsidRPr="00206FAF">
        <w:rPr>
          <w:rFonts w:eastAsia="仿宋_GB2312"/>
          <w:kern w:val="0"/>
          <w:sz w:val="32"/>
          <w:szCs w:val="32"/>
        </w:rPr>
        <w:t>112</w:t>
      </w:r>
      <w:r w:rsidRPr="00206FAF">
        <w:rPr>
          <w:rFonts w:eastAsia="仿宋_GB2312" w:hAnsi="仿宋_GB2312"/>
          <w:kern w:val="0"/>
          <w:sz w:val="32"/>
          <w:szCs w:val="32"/>
        </w:rPr>
        <w:t>号）等有关规定予以处罚。</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第二十三条</w:t>
      </w:r>
      <w:r w:rsidRPr="00206FAF">
        <w:rPr>
          <w:rFonts w:eastAsia="仿宋_GB2312"/>
          <w:kern w:val="0"/>
          <w:sz w:val="32"/>
          <w:szCs w:val="32"/>
        </w:rPr>
        <w:t xml:space="preserve">  </w:t>
      </w:r>
      <w:r w:rsidRPr="00206FAF">
        <w:rPr>
          <w:rFonts w:eastAsia="仿宋_GB2312" w:hAnsi="仿宋_GB2312"/>
          <w:kern w:val="0"/>
          <w:sz w:val="32"/>
          <w:szCs w:val="32"/>
        </w:rPr>
        <w:t>违反本办法第二十条规定的，由市绿化行政主管部门责令改正，并按《城市绿线管理办法》（建设部令第</w:t>
      </w:r>
      <w:r w:rsidRPr="00206FAF">
        <w:rPr>
          <w:rFonts w:eastAsia="仿宋_GB2312"/>
          <w:kern w:val="0"/>
          <w:sz w:val="32"/>
          <w:szCs w:val="32"/>
        </w:rPr>
        <w:t>112</w:t>
      </w:r>
      <w:r w:rsidRPr="00206FAF">
        <w:rPr>
          <w:rFonts w:eastAsia="仿宋_GB2312" w:hAnsi="仿宋_GB2312"/>
          <w:kern w:val="0"/>
          <w:sz w:val="32"/>
          <w:szCs w:val="32"/>
        </w:rPr>
        <w:t>号）相关规定予以处罚，处一万元以上三万元以下的罚款。</w:t>
      </w:r>
    </w:p>
    <w:p w:rsidR="00206FAF" w:rsidRPr="00206FAF" w:rsidRDefault="00206FAF" w:rsidP="00206FAF">
      <w:pPr>
        <w:tabs>
          <w:tab w:val="left" w:pos="1680"/>
          <w:tab w:val="left" w:pos="1890"/>
        </w:tabs>
        <w:spacing w:line="560" w:lineRule="exact"/>
        <w:ind w:firstLineChars="200" w:firstLine="643"/>
        <w:rPr>
          <w:rFonts w:eastAsia="仿宋_GB2312"/>
          <w:kern w:val="0"/>
          <w:sz w:val="32"/>
          <w:szCs w:val="32"/>
        </w:rPr>
      </w:pPr>
      <w:r w:rsidRPr="00206FAF">
        <w:rPr>
          <w:rFonts w:eastAsia="仿宋_GB2312" w:hAnsi="仿宋_GB2312"/>
          <w:b/>
          <w:bCs/>
          <w:kern w:val="0"/>
          <w:sz w:val="32"/>
          <w:szCs w:val="32"/>
        </w:rPr>
        <w:t>第二十四条</w:t>
      </w:r>
      <w:r w:rsidRPr="00206FAF">
        <w:rPr>
          <w:rFonts w:eastAsia="仿宋_GB2312"/>
          <w:kern w:val="0"/>
          <w:sz w:val="32"/>
          <w:szCs w:val="32"/>
        </w:rPr>
        <w:t xml:space="preserve">  </w:t>
      </w:r>
      <w:r w:rsidRPr="00206FAF">
        <w:rPr>
          <w:rFonts w:eastAsia="仿宋_GB2312" w:hAnsi="仿宋_GB2312"/>
          <w:kern w:val="0"/>
          <w:sz w:val="32"/>
          <w:szCs w:val="32"/>
        </w:rPr>
        <w:t>违反本办法规定，在已划定的城市绿线范围内违反规定审批建设项目的，对有关责任人员由有权机关依法依规给予处分；构成犯罪的，依法追究刑事责任。</w:t>
      </w:r>
    </w:p>
    <w:p w:rsidR="00206FAF" w:rsidRDefault="00206FAF" w:rsidP="00206FAF">
      <w:pPr>
        <w:tabs>
          <w:tab w:val="left" w:pos="1680"/>
          <w:tab w:val="left" w:pos="1890"/>
        </w:tabs>
        <w:spacing w:line="560" w:lineRule="exact"/>
        <w:ind w:firstLineChars="200" w:firstLine="643"/>
        <w:rPr>
          <w:rFonts w:eastAsia="仿宋_GB2312" w:hAnsi="仿宋_GB2312" w:hint="eastAsia"/>
          <w:kern w:val="0"/>
          <w:sz w:val="32"/>
          <w:szCs w:val="32"/>
        </w:rPr>
      </w:pPr>
      <w:r w:rsidRPr="00206FAF">
        <w:rPr>
          <w:rFonts w:eastAsia="仿宋_GB2312" w:hAnsi="仿宋_GB2312"/>
          <w:b/>
          <w:bCs/>
          <w:kern w:val="0"/>
          <w:sz w:val="32"/>
          <w:szCs w:val="32"/>
        </w:rPr>
        <w:lastRenderedPageBreak/>
        <w:t>第二十五条</w:t>
      </w:r>
      <w:r w:rsidRPr="00206FAF">
        <w:rPr>
          <w:rFonts w:eastAsia="仿宋_GB2312"/>
          <w:kern w:val="0"/>
          <w:sz w:val="32"/>
          <w:szCs w:val="32"/>
        </w:rPr>
        <w:t xml:space="preserve">  </w:t>
      </w:r>
      <w:r w:rsidRPr="00206FAF">
        <w:rPr>
          <w:rFonts w:eastAsia="仿宋_GB2312" w:hAnsi="仿宋_GB2312"/>
          <w:kern w:val="0"/>
          <w:sz w:val="32"/>
          <w:szCs w:val="32"/>
        </w:rPr>
        <w:t>本办法自</w:t>
      </w:r>
      <w:r w:rsidRPr="00206FAF">
        <w:rPr>
          <w:rFonts w:eastAsia="仿宋_GB2312"/>
          <w:kern w:val="0"/>
          <w:sz w:val="32"/>
          <w:szCs w:val="32"/>
        </w:rPr>
        <w:t>2024</w:t>
      </w:r>
      <w:r w:rsidRPr="00206FAF">
        <w:rPr>
          <w:rFonts w:eastAsia="仿宋_GB2312" w:hAnsi="仿宋_GB2312"/>
          <w:kern w:val="0"/>
          <w:sz w:val="32"/>
          <w:szCs w:val="32"/>
        </w:rPr>
        <w:t>年</w:t>
      </w:r>
      <w:r w:rsidRPr="00206FAF">
        <w:rPr>
          <w:rFonts w:eastAsia="仿宋_GB2312"/>
          <w:kern w:val="0"/>
          <w:sz w:val="32"/>
          <w:szCs w:val="32"/>
        </w:rPr>
        <w:t>4</w:t>
      </w:r>
      <w:r w:rsidRPr="00206FAF">
        <w:rPr>
          <w:rFonts w:eastAsia="仿宋_GB2312" w:hAnsi="仿宋_GB2312"/>
          <w:kern w:val="0"/>
          <w:sz w:val="32"/>
          <w:szCs w:val="32"/>
        </w:rPr>
        <w:t>月</w:t>
      </w:r>
      <w:r w:rsidRPr="00206FAF">
        <w:rPr>
          <w:rFonts w:eastAsia="仿宋_GB2312"/>
          <w:kern w:val="0"/>
          <w:sz w:val="32"/>
          <w:szCs w:val="32"/>
        </w:rPr>
        <w:t>1</w:t>
      </w:r>
      <w:r w:rsidRPr="00206FAF">
        <w:rPr>
          <w:rFonts w:eastAsia="仿宋_GB2312" w:hAnsi="仿宋_GB2312"/>
          <w:kern w:val="0"/>
          <w:sz w:val="32"/>
          <w:szCs w:val="32"/>
        </w:rPr>
        <w:t>日起施行，有效期</w:t>
      </w:r>
      <w:r w:rsidRPr="00206FAF">
        <w:rPr>
          <w:rFonts w:eastAsia="仿宋_GB2312"/>
          <w:kern w:val="0"/>
          <w:sz w:val="32"/>
          <w:szCs w:val="32"/>
        </w:rPr>
        <w:t>5</w:t>
      </w:r>
      <w:r w:rsidRPr="00206FAF">
        <w:rPr>
          <w:rFonts w:eastAsia="仿宋_GB2312" w:hAnsi="仿宋_GB2312"/>
          <w:kern w:val="0"/>
          <w:sz w:val="32"/>
          <w:szCs w:val="32"/>
        </w:rPr>
        <w:t>年。</w:t>
      </w: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Default="00CD5606" w:rsidP="00CD5606">
      <w:pPr>
        <w:tabs>
          <w:tab w:val="left" w:pos="1680"/>
          <w:tab w:val="left" w:pos="1890"/>
        </w:tabs>
        <w:spacing w:line="560" w:lineRule="exact"/>
        <w:ind w:firstLineChars="200" w:firstLine="640"/>
        <w:rPr>
          <w:rFonts w:eastAsia="仿宋_GB2312" w:hAnsi="仿宋_GB2312" w:hint="eastAsia"/>
          <w:kern w:val="0"/>
          <w:sz w:val="32"/>
          <w:szCs w:val="32"/>
        </w:rPr>
      </w:pPr>
    </w:p>
    <w:p w:rsidR="00CD5606" w:rsidRPr="00206FAF" w:rsidRDefault="00CD5606" w:rsidP="00CD5606">
      <w:pPr>
        <w:tabs>
          <w:tab w:val="left" w:pos="1680"/>
          <w:tab w:val="left" w:pos="1890"/>
        </w:tabs>
        <w:spacing w:line="560" w:lineRule="exact"/>
        <w:ind w:firstLineChars="200" w:firstLine="640"/>
        <w:rPr>
          <w:rFonts w:eastAsia="仿宋_GB2312"/>
          <w:kern w:val="0"/>
          <w:sz w:val="32"/>
          <w:szCs w:val="32"/>
        </w:rPr>
      </w:pPr>
    </w:p>
    <w:p w:rsidR="00592ACD" w:rsidRPr="00206FAF"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hint="eastAsia"/>
          <w:sz w:val="32"/>
          <w:szCs w:val="32"/>
        </w:rPr>
      </w:pPr>
    </w:p>
    <w:p w:rsidR="00CD5606" w:rsidRDefault="00CD5606"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2E4902"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2E4902"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B73B5F">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CD5606">
        <w:rPr>
          <w:rFonts w:eastAsia="仿宋_GB2312" w:hint="eastAsia"/>
          <w:color w:val="000000"/>
          <w:kern w:val="0"/>
          <w:sz w:val="28"/>
          <w:szCs w:val="28"/>
        </w:rPr>
        <w:t>4</w:t>
      </w:r>
      <w:r w:rsidR="007870F1">
        <w:rPr>
          <w:rFonts w:eastAsia="仿宋_GB2312"/>
          <w:color w:val="000000"/>
          <w:kern w:val="0"/>
          <w:sz w:val="28"/>
          <w:szCs w:val="28"/>
        </w:rPr>
        <w:t>年</w:t>
      </w:r>
      <w:r w:rsidR="00CD5606">
        <w:rPr>
          <w:rFonts w:eastAsia="仿宋_GB2312" w:hint="eastAsia"/>
          <w:color w:val="000000"/>
          <w:kern w:val="0"/>
          <w:sz w:val="28"/>
          <w:szCs w:val="28"/>
        </w:rPr>
        <w:t>2</w:t>
      </w:r>
      <w:r w:rsidR="007870F1">
        <w:rPr>
          <w:rFonts w:eastAsia="仿宋_GB2312"/>
          <w:color w:val="000000"/>
          <w:kern w:val="0"/>
          <w:sz w:val="28"/>
          <w:szCs w:val="28"/>
        </w:rPr>
        <w:t>月</w:t>
      </w:r>
      <w:r w:rsidR="00CD5606">
        <w:rPr>
          <w:rFonts w:eastAsia="仿宋_GB2312" w:hint="eastAsia"/>
          <w:color w:val="000000"/>
          <w:kern w:val="0"/>
          <w:sz w:val="28"/>
          <w:szCs w:val="28"/>
        </w:rPr>
        <w:t>26</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1E68AD"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3657733</wp:posOffset>
            </wp:positionH>
            <wp:positionV relativeFrom="paragraph">
              <wp:posOffset>283703</wp:posOffset>
            </wp:positionV>
            <wp:extent cx="2082705" cy="805218"/>
            <wp:effectExtent l="19050" t="0" r="0" b="0"/>
            <wp:wrapNone/>
            <wp:docPr id="1" name="图片 0" descr="2024022616303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26163039_00001.jpg"/>
                    <pic:cNvPicPr/>
                  </pic:nvPicPr>
                  <pic:blipFill>
                    <a:blip r:embed="rId9"/>
                    <a:stretch>
                      <a:fillRect/>
                    </a:stretch>
                  </pic:blipFill>
                  <pic:spPr>
                    <a:xfrm>
                      <a:off x="0" y="0"/>
                      <a:ext cx="2082705" cy="805218"/>
                    </a:xfrm>
                    <a:prstGeom prst="rect">
                      <a:avLst/>
                    </a:prstGeom>
                  </pic:spPr>
                </pic:pic>
              </a:graphicData>
            </a:graphic>
          </wp:anchor>
        </w:drawing>
      </w:r>
      <w:r w:rsidR="002E4902" w:rsidRPr="002E4902">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CD560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864B4D">
        <w:rPr>
          <w:rFonts w:eastAsia="仿宋_GB2312" w:hint="eastAsia"/>
          <w:color w:val="000000"/>
          <w:kern w:val="0"/>
          <w:sz w:val="28"/>
          <w:szCs w:val="28"/>
        </w:rPr>
        <w:t>5</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CE" w:rsidRDefault="002801CE" w:rsidP="00BC0679">
      <w:r>
        <w:separator/>
      </w:r>
    </w:p>
  </w:endnote>
  <w:endnote w:type="continuationSeparator" w:id="1">
    <w:p w:rsidR="002801CE" w:rsidRDefault="002801CE"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2E4902">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6C0DD7" w:rsidRPr="006C0DD7">
          <w:rPr>
            <w:rFonts w:asciiTheme="minorEastAsia" w:eastAsiaTheme="minorEastAsia" w:hAnsiTheme="minorEastAsia"/>
            <w:noProof/>
            <w:sz w:val="24"/>
            <w:lang w:val="zh-CN"/>
          </w:rPr>
          <w:t>-</w:t>
        </w:r>
        <w:r w:rsidR="006C0DD7">
          <w:rPr>
            <w:rFonts w:asciiTheme="minorEastAsia" w:eastAsiaTheme="minorEastAsia" w:hAnsiTheme="minorEastAsia"/>
            <w:noProof/>
            <w:sz w:val="24"/>
          </w:rPr>
          <w:t xml:space="preserve"> 4 -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2E4902">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897B76" w:rsidRPr="00897B76">
          <w:rPr>
            <w:rFonts w:asciiTheme="minorEastAsia" w:eastAsiaTheme="minorEastAsia" w:hAnsiTheme="minorEastAsia"/>
            <w:noProof/>
            <w:sz w:val="24"/>
            <w:lang w:val="zh-CN"/>
          </w:rPr>
          <w:t>-</w:t>
        </w:r>
        <w:r w:rsidR="00897B76">
          <w:rPr>
            <w:rFonts w:asciiTheme="minorEastAsia" w:eastAsiaTheme="minorEastAsia" w:hAnsiTheme="minorEastAsia"/>
            <w:noProof/>
            <w:sz w:val="24"/>
          </w:rPr>
          <w:t xml:space="preserve"> 5 -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CE" w:rsidRDefault="002801CE" w:rsidP="00BC0679">
      <w:r>
        <w:separator/>
      </w:r>
    </w:p>
  </w:footnote>
  <w:footnote w:type="continuationSeparator" w:id="1">
    <w:p w:rsidR="002801CE" w:rsidRDefault="002801CE"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4710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68AD"/>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6FAF"/>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3E8"/>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1CE"/>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902"/>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97F78"/>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DDE"/>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1F9E"/>
    <w:rsid w:val="0042297D"/>
    <w:rsid w:val="0042492C"/>
    <w:rsid w:val="00424C9B"/>
    <w:rsid w:val="00427610"/>
    <w:rsid w:val="00430484"/>
    <w:rsid w:val="00430E8D"/>
    <w:rsid w:val="00431827"/>
    <w:rsid w:val="00431C0D"/>
    <w:rsid w:val="0043262F"/>
    <w:rsid w:val="004344A5"/>
    <w:rsid w:val="00435C1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6952"/>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B71"/>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5DF"/>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E18"/>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0DE6"/>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0DD7"/>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3DDB"/>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2773F"/>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4B4D"/>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B76"/>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45F"/>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09F6"/>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372"/>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3B5F"/>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61D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0D1"/>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606"/>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034"/>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2F05"/>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155"/>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449"/>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AF6"/>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370</Words>
  <Characters>2109</Characters>
  <Application>Microsoft Office Word</Application>
  <DocSecurity>0</DocSecurity>
  <Lines>17</Lines>
  <Paragraphs>4</Paragraphs>
  <ScaleCrop>false</ScaleCrop>
  <Company>2012dnd.com</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13</cp:revision>
  <cp:lastPrinted>2024-02-26T08:33:00Z</cp:lastPrinted>
  <dcterms:created xsi:type="dcterms:W3CDTF">2023-06-09T01:40:00Z</dcterms:created>
  <dcterms:modified xsi:type="dcterms:W3CDTF">2024-02-26T08:45:00Z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