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10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忻政办发〔2024〕7号</w:t>
      </w:r>
    </w:p>
    <w:p>
      <w:pPr>
        <w:spacing w:line="560" w:lineRule="exact"/>
        <w:ind w:firstLine="640" w:firstLineChars="200"/>
        <w:rPr>
          <w:rFonts w:eastAsia="仿宋_GB2312"/>
          <w:color w:val="000000"/>
          <w:sz w:val="32"/>
          <w:szCs w:val="32"/>
        </w:rPr>
      </w:pPr>
    </w:p>
    <w:p>
      <w:pPr>
        <w:spacing w:line="260" w:lineRule="exact"/>
        <w:ind w:firstLine="640" w:firstLineChars="200"/>
        <w:rPr>
          <w:rFonts w:eastAsia="仿宋_GB2312"/>
          <w:color w:val="000000"/>
          <w:sz w:val="32"/>
          <w:szCs w:val="32"/>
        </w:rPr>
      </w:pPr>
    </w:p>
    <w:p>
      <w:pPr>
        <w:spacing w:line="560" w:lineRule="exact"/>
        <w:jc w:val="center"/>
        <w:rPr>
          <w:rFonts w:eastAsia="方正大标宋简体"/>
          <w:sz w:val="44"/>
          <w:szCs w:val="44"/>
        </w:rPr>
      </w:pPr>
      <w:r>
        <w:rPr>
          <w:rFonts w:eastAsia="方正大标宋简体"/>
          <w:sz w:val="44"/>
          <w:szCs w:val="44"/>
        </w:rPr>
        <w:t>忻州市人民政府办公室</w:t>
      </w:r>
    </w:p>
    <w:p>
      <w:pPr>
        <w:pStyle w:val="29"/>
        <w:autoSpaceDE w:val="0"/>
        <w:spacing w:before="0" w:beforeAutospacing="0" w:after="0" w:afterAutospacing="0" w:line="560" w:lineRule="exact"/>
        <w:jc w:val="center"/>
        <w:rPr>
          <w:rFonts w:ascii="Times New Roman" w:hAnsi="Times New Roman" w:eastAsia="方正大标宋简体"/>
          <w:spacing w:val="-6"/>
          <w:kern w:val="2"/>
          <w:sz w:val="44"/>
          <w:szCs w:val="44"/>
        </w:rPr>
      </w:pPr>
      <w:r>
        <w:rPr>
          <w:rFonts w:ascii="Times New Roman" w:hAnsi="Times New Roman" w:eastAsia="方正大标宋简体"/>
          <w:spacing w:val="-6"/>
          <w:kern w:val="2"/>
          <w:sz w:val="44"/>
          <w:szCs w:val="44"/>
        </w:rPr>
        <w:t>关于印发忻州市尾矿库生产安全事故</w:t>
      </w:r>
    </w:p>
    <w:p>
      <w:pPr>
        <w:pStyle w:val="29"/>
        <w:autoSpaceDE w:val="0"/>
        <w:spacing w:before="0" w:beforeAutospacing="0" w:after="0" w:afterAutospacing="0" w:line="560" w:lineRule="exact"/>
        <w:jc w:val="center"/>
        <w:rPr>
          <w:rFonts w:ascii="Times New Roman" w:hAnsi="Times New Roman" w:eastAsia="方正大标宋简体"/>
          <w:spacing w:val="-6"/>
          <w:kern w:val="2"/>
          <w:sz w:val="44"/>
          <w:szCs w:val="44"/>
        </w:rPr>
      </w:pPr>
      <w:r>
        <w:rPr>
          <w:rFonts w:ascii="Times New Roman" w:hAnsi="Times New Roman" w:eastAsia="方正大标宋简体"/>
          <w:spacing w:val="-6"/>
          <w:kern w:val="2"/>
          <w:sz w:val="44"/>
          <w:szCs w:val="44"/>
        </w:rPr>
        <w:t>应急预案的通知</w:t>
      </w:r>
    </w:p>
    <w:p>
      <w:pPr>
        <w:spacing w:line="560" w:lineRule="exact"/>
        <w:rPr>
          <w:rFonts w:eastAsia="仿宋_GB2312"/>
          <w:sz w:val="32"/>
          <w:szCs w:val="32"/>
        </w:rPr>
      </w:pPr>
      <w:r>
        <w:rPr>
          <w:rFonts w:eastAsia="仿宋_GB2312"/>
          <w:sz w:val="32"/>
          <w:szCs w:val="32"/>
        </w:rPr>
        <w:t xml:space="preserve"> </w:t>
      </w:r>
    </w:p>
    <w:p>
      <w:pPr>
        <w:spacing w:line="560" w:lineRule="exact"/>
        <w:rPr>
          <w:rFonts w:eastAsia="仿宋_GB2312"/>
          <w:sz w:val="32"/>
          <w:szCs w:val="32"/>
        </w:rPr>
      </w:pPr>
      <w:r>
        <w:rPr>
          <w:rFonts w:eastAsia="仿宋_GB2312"/>
          <w:sz w:val="32"/>
          <w:szCs w:val="32"/>
        </w:rPr>
        <w:t>各县（市、区）人民政府，忻州经济开发区管委会、五台山风景名胜区管委会，市直各有关单位：</w:t>
      </w:r>
    </w:p>
    <w:p>
      <w:pPr>
        <w:spacing w:line="560" w:lineRule="exact"/>
        <w:ind w:firstLine="640" w:firstLineChars="200"/>
        <w:rPr>
          <w:rFonts w:eastAsia="仿宋_GB2312"/>
          <w:sz w:val="32"/>
          <w:szCs w:val="32"/>
        </w:rPr>
      </w:pPr>
      <w:r>
        <w:rPr>
          <w:rFonts w:eastAsia="仿宋_GB2312"/>
          <w:sz w:val="32"/>
          <w:szCs w:val="32"/>
        </w:rPr>
        <w:t>《忻州市尾矿库生产安全事故应急预案》</w:t>
      </w:r>
      <w:r>
        <w:rPr>
          <w:rFonts w:eastAsia="仿宋_GB2312"/>
          <w:kern w:val="0"/>
          <w:sz w:val="32"/>
          <w:szCs w:val="32"/>
        </w:rPr>
        <w:t>已经市人民政府同意，现印发给你们，请认真组织实施。</w:t>
      </w:r>
    </w:p>
    <w:p>
      <w:pPr>
        <w:spacing w:line="600" w:lineRule="exact"/>
        <w:rPr>
          <w:rFonts w:eastAsia="仿宋_GB2312"/>
          <w:sz w:val="32"/>
          <w:szCs w:val="32"/>
        </w:rPr>
      </w:pPr>
      <w:r>
        <w:rPr>
          <w:rFonts w:eastAsia="仿宋_GB2312"/>
          <w:sz w:val="32"/>
          <w:szCs w:val="32"/>
        </w:rPr>
        <w:t xml:space="preserve">        </w:t>
      </w:r>
    </w:p>
    <w:p>
      <w:pPr>
        <w:spacing w:line="700" w:lineRule="exact"/>
        <w:rPr>
          <w:rFonts w:eastAsia="仿宋_GB2312"/>
          <w:sz w:val="32"/>
          <w:szCs w:val="32"/>
        </w:rPr>
      </w:pPr>
    </w:p>
    <w:p>
      <w:pPr>
        <w:wordWrap w:val="0"/>
        <w:spacing w:line="560" w:lineRule="exact"/>
        <w:jc w:val="right"/>
        <w:rPr>
          <w:rFonts w:eastAsia="仿宋_GB2312"/>
          <w:sz w:val="32"/>
          <w:szCs w:val="32"/>
        </w:rPr>
      </w:pPr>
      <w:r>
        <w:rPr>
          <w:rFonts w:eastAsia="仿宋_GB2312"/>
          <w:sz w:val="32"/>
          <w:szCs w:val="32"/>
        </w:rPr>
        <w:t xml:space="preserve">                       忻州市人民政府办公室      </w:t>
      </w:r>
    </w:p>
    <w:p>
      <w:pPr>
        <w:wordWrap w:val="0"/>
        <w:spacing w:line="560" w:lineRule="exact"/>
        <w:jc w:val="right"/>
        <w:rPr>
          <w:rFonts w:eastAsia="仿宋_GB2312"/>
          <w:sz w:val="32"/>
          <w:szCs w:val="32"/>
        </w:rPr>
      </w:pPr>
      <w:r>
        <w:rPr>
          <w:rFonts w:eastAsia="仿宋_GB2312"/>
          <w:sz w:val="32"/>
          <w:szCs w:val="32"/>
        </w:rPr>
        <w:t xml:space="preserve">2024年2月27日        </w:t>
      </w:r>
    </w:p>
    <w:p>
      <w:pPr>
        <w:pStyle w:val="29"/>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（此件公开发布）</w:t>
      </w:r>
      <w:r>
        <w:rPr>
          <w:rFonts w:ascii="Times New Roman" w:hAnsi="Times New Roman" w:eastAsia="仿宋_GB2312"/>
          <w:sz w:val="32"/>
          <w:szCs w:val="32"/>
        </w:rPr>
        <w:br w:type="page"/>
      </w:r>
    </w:p>
    <w:p>
      <w:pPr>
        <w:pStyle w:val="29"/>
        <w:spacing w:before="0" w:beforeAutospacing="0" w:after="0" w:afterAutospacing="0" w:line="560" w:lineRule="exact"/>
        <w:jc w:val="both"/>
        <w:rPr>
          <w:rFonts w:ascii="Times New Roman" w:hAnsi="Times New Roman"/>
        </w:rPr>
      </w:pPr>
    </w:p>
    <w:p>
      <w:pPr>
        <w:spacing w:line="560" w:lineRule="exact"/>
        <w:jc w:val="center"/>
        <w:rPr>
          <w:rFonts w:eastAsia="方正大标宋简体"/>
          <w:sz w:val="44"/>
          <w:szCs w:val="44"/>
        </w:rPr>
      </w:pPr>
      <w:r>
        <w:rPr>
          <w:rFonts w:eastAsia="方正大标宋简体"/>
          <w:sz w:val="44"/>
          <w:szCs w:val="44"/>
        </w:rPr>
        <w:t>忻州市尾矿库生产安全事故应急预案</w:t>
      </w:r>
    </w:p>
    <w:p>
      <w:pPr>
        <w:pStyle w:val="2"/>
        <w:spacing w:before="0" w:after="0" w:line="560" w:lineRule="exact"/>
        <w:rPr>
          <w:sz w:val="26"/>
          <w:szCs w:val="26"/>
        </w:rPr>
      </w:pPr>
      <w:r>
        <w:rPr>
          <w:b w:val="0"/>
          <w:bCs w:val="0"/>
        </w:rPr>
        <w:t xml:space="preserve"> </w:t>
      </w:r>
    </w:p>
    <w:p>
      <w:pPr>
        <w:pStyle w:val="29"/>
        <w:spacing w:before="0" w:beforeAutospacing="0" w:after="0" w:afterAutospacing="0" w:line="560" w:lineRule="exact"/>
        <w:ind w:firstLine="640" w:firstLineChars="200"/>
        <w:jc w:val="both"/>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1  总则</w:t>
      </w:r>
    </w:p>
    <w:p>
      <w:pPr>
        <w:pStyle w:val="29"/>
        <w:spacing w:before="0" w:beforeAutospacing="0" w:after="0" w:afterAutospacing="0" w:line="560" w:lineRule="exact"/>
        <w:ind w:firstLine="640" w:firstLineChars="200"/>
        <w:jc w:val="both"/>
        <w:rPr>
          <w:rFonts w:ascii="Times New Roman" w:hAnsi="Times New Roman" w:eastAsia="楷体_GB2312"/>
          <w:bCs/>
          <w:color w:val="000000"/>
          <w:sz w:val="32"/>
          <w:szCs w:val="32"/>
          <w:shd w:val="clear" w:color="auto" w:fill="FFFFFF"/>
        </w:rPr>
      </w:pPr>
      <w:r>
        <w:rPr>
          <w:rFonts w:ascii="Times New Roman" w:hAnsi="Times New Roman" w:eastAsia="楷体_GB2312"/>
          <w:bCs/>
          <w:color w:val="000000"/>
          <w:sz w:val="32"/>
          <w:szCs w:val="32"/>
          <w:shd w:val="clear" w:color="auto" w:fill="FFFFFF"/>
        </w:rPr>
        <w:t>1.1 编制目的</w:t>
      </w:r>
    </w:p>
    <w:p>
      <w:pPr>
        <w:spacing w:line="560" w:lineRule="exact"/>
        <w:ind w:firstLine="640" w:firstLineChars="200"/>
        <w:rPr>
          <w:rFonts w:eastAsia="仿宋_GB2312"/>
          <w:sz w:val="32"/>
          <w:szCs w:val="32"/>
        </w:rPr>
      </w:pPr>
      <w:r>
        <w:rPr>
          <w:rFonts w:eastAsia="仿宋_GB2312"/>
          <w:sz w:val="32"/>
          <w:szCs w:val="32"/>
        </w:rPr>
        <w:t>为建立健全尾矿库生产安全事故应急救援工作机制，迅速、有效做好事故应对工作，最大程度地降低和减少事故造成的人员伤亡和财产损失，编制本预案。</w:t>
      </w:r>
    </w:p>
    <w:p>
      <w:pPr>
        <w:pStyle w:val="3"/>
        <w:spacing w:before="0" w:after="0" w:line="560" w:lineRule="exact"/>
        <w:ind w:firstLine="640" w:firstLineChars="200"/>
        <w:rPr>
          <w:rFonts w:ascii="Times New Roman" w:hAnsi="Times New Roman" w:eastAsia="楷体_GB2312"/>
          <w:color w:val="000000"/>
          <w:kern w:val="0"/>
          <w:shd w:val="clear" w:color="auto" w:fill="FFFFFF"/>
        </w:rPr>
      </w:pPr>
      <w:r>
        <w:rPr>
          <w:rFonts w:ascii="Times New Roman" w:hAnsi="Times New Roman" w:eastAsia="楷体_GB2312"/>
          <w:b w:val="0"/>
          <w:bCs w:val="0"/>
          <w:color w:val="000000"/>
          <w:kern w:val="0"/>
          <w:shd w:val="clear" w:color="auto" w:fill="FFFFFF"/>
        </w:rPr>
        <w:t>1.2 工作原则</w:t>
      </w:r>
    </w:p>
    <w:p>
      <w:pPr>
        <w:spacing w:line="560" w:lineRule="exact"/>
        <w:ind w:firstLine="640" w:firstLineChars="200"/>
        <w:rPr>
          <w:rFonts w:eastAsia="仿宋_GB2312"/>
          <w:sz w:val="32"/>
          <w:szCs w:val="32"/>
        </w:rPr>
      </w:pPr>
      <w:r>
        <w:rPr>
          <w:rFonts w:eastAsia="仿宋_GB2312"/>
          <w:sz w:val="32"/>
          <w:szCs w:val="32"/>
        </w:rPr>
        <w:t>尾矿库生产安全事故应对工作坚持以人为本、安全第一，统一领导、协调联动，属地为主、分级负责，快速反应、科学救援的原则。</w:t>
      </w:r>
    </w:p>
    <w:p>
      <w:pPr>
        <w:pStyle w:val="3"/>
        <w:spacing w:before="0" w:after="0" w:line="560" w:lineRule="exact"/>
        <w:ind w:firstLine="640" w:firstLineChars="200"/>
        <w:rPr>
          <w:rFonts w:ascii="Times New Roman" w:hAnsi="Times New Roman" w:eastAsia="楷体_GB2312"/>
          <w:color w:val="000000"/>
          <w:kern w:val="0"/>
          <w:shd w:val="clear" w:color="auto" w:fill="FFFFFF"/>
        </w:rPr>
      </w:pPr>
      <w:r>
        <w:rPr>
          <w:rFonts w:ascii="Times New Roman" w:hAnsi="Times New Roman" w:eastAsia="楷体_GB2312"/>
          <w:b w:val="0"/>
          <w:bCs w:val="0"/>
          <w:color w:val="000000"/>
          <w:kern w:val="0"/>
          <w:shd w:val="clear" w:color="auto" w:fill="FFFFFF"/>
        </w:rPr>
        <w:t>1.3 编制依据</w:t>
      </w:r>
    </w:p>
    <w:p>
      <w:pPr>
        <w:pStyle w:val="29"/>
        <w:shd w:val="clear" w:color="auto" w:fill="FFFFFF"/>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中华人民共和国突发事件应对法》《中华人民共和国安全生产法》《中华人民共和国矿山安全法》《生产安全事故应急条例》《生产安全事故报告和调查处理条例》《中共中央办公厅 国务院办公厅关于进一步加强矿山安全生产工作的意见》《生产安全事故应急预案管理办法》《山西省突发事件应对条例》《山西省尾矿库</w:t>
      </w:r>
      <w:bookmarkStart w:id="0" w:name="_GoBack"/>
      <w:bookmarkEnd w:id="0"/>
      <w:r>
        <w:rPr>
          <w:rFonts w:ascii="Times New Roman" w:hAnsi="Times New Roman" w:eastAsia="仿宋_GB2312"/>
          <w:sz w:val="32"/>
          <w:szCs w:val="32"/>
        </w:rPr>
        <w:t>生产安全事故应急预案》《忻州市突发公共事件总体应急预案》</w:t>
      </w:r>
    </w:p>
    <w:p>
      <w:pPr>
        <w:pStyle w:val="3"/>
        <w:spacing w:before="0" w:after="0" w:line="560" w:lineRule="exact"/>
        <w:ind w:firstLine="641"/>
        <w:rPr>
          <w:rFonts w:ascii="Times New Roman" w:hAnsi="Times New Roman" w:eastAsia="楷体_GB2312"/>
          <w:color w:val="000000"/>
          <w:kern w:val="0"/>
          <w:shd w:val="clear" w:color="auto" w:fill="FFFFFF"/>
        </w:rPr>
      </w:pPr>
      <w:r>
        <w:rPr>
          <w:rFonts w:ascii="Times New Roman" w:hAnsi="Times New Roman" w:eastAsia="楷体_GB2312"/>
          <w:b w:val="0"/>
          <w:bCs w:val="0"/>
          <w:color w:val="000000"/>
          <w:kern w:val="0"/>
          <w:shd w:val="clear" w:color="auto" w:fill="FFFFFF"/>
        </w:rPr>
        <w:t>1.4 事故分级</w:t>
      </w:r>
    </w:p>
    <w:p>
      <w:pPr>
        <w:spacing w:line="560" w:lineRule="exact"/>
        <w:ind w:firstLine="640" w:firstLineChars="200"/>
        <w:rPr>
          <w:rFonts w:eastAsia="仿宋_GB2312"/>
          <w:sz w:val="32"/>
          <w:szCs w:val="32"/>
        </w:rPr>
      </w:pPr>
      <w:r>
        <w:rPr>
          <w:rFonts w:eastAsia="仿宋_GB2312"/>
          <w:sz w:val="32"/>
          <w:szCs w:val="32"/>
        </w:rPr>
        <w:t>依据《生产安全事故报告和调查处理条例》规定，尾矿库事故分为特别重大、重大、较大和一般事故四个等级（见附件3）。</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eastAsia="楷体_GB2312"/>
          <w:b w:val="0"/>
          <w:bCs w:val="0"/>
          <w:color w:val="000000"/>
          <w:kern w:val="0"/>
          <w:shd w:val="clear" w:color="auto" w:fill="FFFFFF"/>
        </w:rPr>
        <w:t>1.5 适用范围</w:t>
      </w:r>
    </w:p>
    <w:p>
      <w:pPr>
        <w:spacing w:line="560" w:lineRule="exact"/>
        <w:ind w:firstLine="640" w:firstLineChars="200"/>
        <w:rPr>
          <w:rFonts w:eastAsia="仿宋_GB2312"/>
          <w:sz w:val="32"/>
          <w:szCs w:val="32"/>
        </w:rPr>
      </w:pPr>
      <w:r>
        <w:rPr>
          <w:rFonts w:eastAsia="仿宋_GB2312"/>
          <w:sz w:val="32"/>
          <w:szCs w:val="32"/>
        </w:rPr>
        <w:t xml:space="preserve">本预案适用于忻州市行政区域内发生的尾矿库生产安全事故的应对工作。 </w:t>
      </w:r>
    </w:p>
    <w:p>
      <w:pPr>
        <w:pStyle w:val="2"/>
        <w:spacing w:before="0" w:after="0" w:line="560" w:lineRule="exact"/>
        <w:rPr>
          <w:rFonts w:eastAsia="黑体"/>
          <w:color w:val="000000"/>
          <w:kern w:val="0"/>
          <w:sz w:val="32"/>
          <w:szCs w:val="32"/>
          <w:shd w:val="clear" w:color="auto" w:fill="FFFFFF"/>
        </w:rPr>
      </w:pPr>
      <w:r>
        <w:rPr>
          <w:rFonts w:eastAsia="黑体"/>
          <w:b w:val="0"/>
          <w:bCs w:val="0"/>
          <w:color w:val="000000"/>
          <w:kern w:val="0"/>
          <w:sz w:val="32"/>
          <w:szCs w:val="32"/>
          <w:shd w:val="clear" w:color="auto" w:fill="FFFFFF"/>
        </w:rPr>
        <w:t xml:space="preserve">    2  忻州市尾矿库生产安全事故应急指挥体系</w:t>
      </w:r>
    </w:p>
    <w:p>
      <w:pPr>
        <w:spacing w:line="560" w:lineRule="exact"/>
        <w:ind w:firstLine="640" w:firstLineChars="200"/>
        <w:rPr>
          <w:rFonts w:eastAsia="仿宋_GB2312"/>
          <w:sz w:val="32"/>
          <w:szCs w:val="32"/>
        </w:rPr>
      </w:pPr>
      <w:r>
        <w:rPr>
          <w:rFonts w:eastAsia="仿宋_GB2312"/>
          <w:sz w:val="32"/>
          <w:szCs w:val="32"/>
        </w:rPr>
        <w:t>全市尾矿库生产安全事故应急救援指挥体系由市、县二级生产安全事故应急指挥部及其办公室组成。</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eastAsia="楷体_GB2312"/>
          <w:b w:val="0"/>
          <w:bCs w:val="0"/>
          <w:color w:val="000000"/>
          <w:kern w:val="0"/>
          <w:shd w:val="clear" w:color="auto" w:fill="FFFFFF"/>
        </w:rPr>
        <w:t>2.1 市较大生产安全事故应急指挥部</w:t>
      </w:r>
    </w:p>
    <w:p>
      <w:pPr>
        <w:spacing w:line="560" w:lineRule="exact"/>
        <w:ind w:firstLine="640" w:firstLineChars="200"/>
        <w:rPr>
          <w:rFonts w:eastAsia="仿宋_GB2312"/>
          <w:sz w:val="32"/>
          <w:szCs w:val="32"/>
        </w:rPr>
      </w:pPr>
      <w:r>
        <w:rPr>
          <w:rFonts w:eastAsia="仿宋_GB2312"/>
          <w:sz w:val="32"/>
          <w:szCs w:val="32"/>
        </w:rPr>
        <w:t>指 挥 长：市政府分管副市长</w:t>
      </w:r>
    </w:p>
    <w:p>
      <w:pPr>
        <w:spacing w:line="560" w:lineRule="exact"/>
        <w:ind w:firstLine="640" w:firstLineChars="200"/>
        <w:rPr>
          <w:rFonts w:eastAsia="仿宋_GB2312"/>
          <w:sz w:val="32"/>
          <w:szCs w:val="32"/>
        </w:rPr>
      </w:pPr>
      <w:r>
        <w:rPr>
          <w:rFonts w:eastAsia="仿宋_GB2312"/>
          <w:sz w:val="32"/>
          <w:szCs w:val="32"/>
        </w:rPr>
        <w:t>副指挥长：市政府协管副秘书长，市工信局、市应急管理局、市消防救援支队主要负责人</w:t>
      </w:r>
    </w:p>
    <w:p>
      <w:pPr>
        <w:spacing w:line="560" w:lineRule="exact"/>
        <w:ind w:firstLine="640" w:firstLineChars="200"/>
        <w:rPr>
          <w:rFonts w:eastAsia="仿宋_GB2312"/>
          <w:sz w:val="32"/>
          <w:szCs w:val="32"/>
        </w:rPr>
      </w:pPr>
      <w:r>
        <w:rPr>
          <w:rFonts w:eastAsia="仿宋_GB2312"/>
          <w:sz w:val="32"/>
          <w:szCs w:val="32"/>
        </w:rPr>
        <w:t>成员单位：市委宣传部、市发展改革委、市工信局（市国资委）、市公安局、市民政局、市财政局、市自然资源局、市生态环境局、市交通局、市水利局、市农业农村局、市卫健委、市应急局、市能源局、市气象局、忻州军分区战备建设处、武警忻州支队、市消防救援支队</w:t>
      </w:r>
    </w:p>
    <w:p>
      <w:pPr>
        <w:spacing w:line="560" w:lineRule="exact"/>
        <w:ind w:firstLine="640" w:firstLineChars="200"/>
        <w:rPr>
          <w:rFonts w:eastAsia="仿宋_GB2312"/>
          <w:sz w:val="32"/>
          <w:szCs w:val="32"/>
        </w:rPr>
      </w:pPr>
      <w:r>
        <w:rPr>
          <w:rFonts w:eastAsia="仿宋_GB2312"/>
          <w:sz w:val="32"/>
          <w:szCs w:val="32"/>
        </w:rPr>
        <w:t>根据应急救援实际情况，指挥长可临时抽调相关单位负责人为成员。</w:t>
      </w:r>
    </w:p>
    <w:p>
      <w:pPr>
        <w:spacing w:line="560" w:lineRule="exact"/>
        <w:ind w:firstLine="640" w:firstLineChars="200"/>
        <w:rPr>
          <w:rFonts w:eastAsia="仿宋_GB2312"/>
          <w:color w:val="FF0000"/>
          <w:sz w:val="32"/>
          <w:szCs w:val="32"/>
        </w:rPr>
      </w:pPr>
      <w:r>
        <w:rPr>
          <w:rFonts w:eastAsia="仿宋_GB2312"/>
          <w:sz w:val="32"/>
          <w:szCs w:val="32"/>
        </w:rPr>
        <w:t>市生产安全事故应急指挥部（以下简称市指挥部）下设办公室，办公室设在市应急管理局。办公室主任由市应急局主要负责人兼任（市指挥部及其办公室、成员单位职责见附件2）。</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eastAsia="楷体_GB2312"/>
          <w:b w:val="0"/>
          <w:bCs w:val="0"/>
          <w:color w:val="000000"/>
          <w:kern w:val="0"/>
          <w:shd w:val="clear" w:color="auto" w:fill="FFFFFF"/>
        </w:rPr>
        <w:t>2.2 分级应对</w:t>
      </w:r>
    </w:p>
    <w:p>
      <w:pPr>
        <w:autoSpaceDE w:val="0"/>
        <w:autoSpaceDN w:val="0"/>
        <w:adjustRightInd w:val="0"/>
        <w:spacing w:line="560" w:lineRule="exact"/>
        <w:ind w:firstLine="640" w:firstLineChars="200"/>
        <w:rPr>
          <w:rFonts w:eastAsia="仿宋_GB2312"/>
          <w:color w:val="000000"/>
          <w:sz w:val="32"/>
          <w:szCs w:val="32"/>
        </w:rPr>
      </w:pPr>
      <w:r>
        <w:rPr>
          <w:rFonts w:eastAsia="仿宋_GB2312"/>
          <w:color w:val="000000"/>
          <w:sz w:val="32"/>
          <w:szCs w:val="32"/>
        </w:rPr>
        <w:t>市、县生产安全事故应急指挥部分别负责应对较大以上、一般以上尾矿库生产安全事故。上级成立现场指挥部时，下级指挥部应纳入上级指挥部并移交指挥权，继续配合做好应急处置工作。</w:t>
      </w:r>
    </w:p>
    <w:p>
      <w:pPr>
        <w:spacing w:line="560" w:lineRule="exact"/>
        <w:ind w:firstLine="640" w:firstLineChars="200"/>
        <w:rPr>
          <w:rFonts w:eastAsia="仿宋_GB2312"/>
          <w:color w:val="000000"/>
          <w:sz w:val="32"/>
          <w:szCs w:val="32"/>
        </w:rPr>
      </w:pPr>
      <w:r>
        <w:rPr>
          <w:rFonts w:eastAsia="仿宋_GB2312"/>
          <w:color w:val="000000"/>
          <w:sz w:val="32"/>
          <w:szCs w:val="32"/>
        </w:rPr>
        <w:t>较大尾矿库生产安全事故应急工作涉及跨市级行政区域的，由市级指挥部指挥本行政区域的应急工作，并提请省指挥部予以协调；一般生产安全事故应急工作涉及两个以上县的，由对事发单位有属地安全监管责任的县级指挥部指挥，市指挥部予以协调。</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eastAsia="楷体_GB2312"/>
          <w:b w:val="0"/>
          <w:bCs w:val="0"/>
          <w:color w:val="000000"/>
          <w:kern w:val="0"/>
          <w:shd w:val="clear" w:color="auto" w:fill="FFFFFF"/>
        </w:rPr>
        <w:t>2.3 市现场指挥部</w:t>
      </w:r>
    </w:p>
    <w:p>
      <w:pPr>
        <w:spacing w:line="560" w:lineRule="exact"/>
        <w:ind w:firstLine="640" w:firstLineChars="200"/>
        <w:rPr>
          <w:rFonts w:eastAsia="仿宋_GB2312"/>
          <w:color w:val="000000"/>
          <w:sz w:val="32"/>
          <w:szCs w:val="32"/>
        </w:rPr>
      </w:pPr>
      <w:r>
        <w:rPr>
          <w:rFonts w:eastAsia="仿宋_GB2312"/>
          <w:color w:val="000000"/>
          <w:sz w:val="32"/>
          <w:szCs w:val="32"/>
        </w:rPr>
        <w:t>尾矿库生产安全事故发生后，各级政府视情成立现场指挥部。市现场指挥部设置如下：</w:t>
      </w:r>
    </w:p>
    <w:p>
      <w:pPr>
        <w:spacing w:line="560" w:lineRule="exact"/>
        <w:ind w:firstLine="640" w:firstLineChars="200"/>
        <w:rPr>
          <w:rFonts w:eastAsia="仿宋_GB2312"/>
          <w:color w:val="000000"/>
          <w:sz w:val="32"/>
          <w:szCs w:val="32"/>
        </w:rPr>
      </w:pPr>
      <w:r>
        <w:rPr>
          <w:rFonts w:eastAsia="仿宋_GB2312"/>
          <w:color w:val="000000"/>
          <w:sz w:val="32"/>
          <w:szCs w:val="32"/>
        </w:rPr>
        <w:t>指 挥 长：市政府分管副市长</w:t>
      </w:r>
    </w:p>
    <w:p>
      <w:pPr>
        <w:spacing w:line="560" w:lineRule="exact"/>
        <w:ind w:firstLine="640" w:firstLineChars="200"/>
        <w:rPr>
          <w:rFonts w:eastAsia="仿宋_GB2312"/>
          <w:color w:val="000000"/>
          <w:sz w:val="32"/>
          <w:szCs w:val="32"/>
        </w:rPr>
      </w:pPr>
      <w:r>
        <w:rPr>
          <w:rFonts w:eastAsia="仿宋_GB2312"/>
          <w:color w:val="000000"/>
          <w:sz w:val="32"/>
          <w:szCs w:val="32"/>
        </w:rPr>
        <w:t>副指挥长：市政府协管副秘书长、市应急管理局和市直相关部门主要负责人，事发地县（市、区）长</w:t>
      </w:r>
    </w:p>
    <w:p>
      <w:pPr>
        <w:spacing w:line="560" w:lineRule="exact"/>
        <w:ind w:firstLine="640" w:firstLineChars="200"/>
        <w:rPr>
          <w:rFonts w:eastAsia="仿宋_GB2312"/>
          <w:color w:val="000000"/>
          <w:sz w:val="32"/>
          <w:szCs w:val="32"/>
        </w:rPr>
      </w:pPr>
      <w:r>
        <w:rPr>
          <w:rFonts w:eastAsia="仿宋_GB2312"/>
          <w:color w:val="000000"/>
          <w:sz w:val="32"/>
          <w:szCs w:val="32"/>
        </w:rPr>
        <w:t>现场指挥部下设应急工作组，即综合组、抢险救援组、技术组、医学救援组、社会稳定组、宣传报道组、应急保障组、善后工作组等八个工作组。根据事故情况及抢险需要，指挥长可视情调整工作组、组成单位及职责，调集市直其他相关部门和单位参加事故处置工作（现场指挥部指挥机构及职责见附件3）。</w:t>
      </w:r>
    </w:p>
    <w:p>
      <w:pPr>
        <w:pStyle w:val="3"/>
        <w:spacing w:before="0" w:after="0" w:line="560" w:lineRule="exact"/>
        <w:ind w:firstLine="643"/>
        <w:rPr>
          <w:rFonts w:ascii="Times New Roman" w:hAnsi="Times New Roman" w:eastAsia="仿宋_GB2312"/>
          <w:color w:val="000000"/>
          <w:kern w:val="0"/>
          <w:shd w:val="clear" w:color="auto" w:fill="FFFFFF"/>
        </w:rPr>
      </w:pPr>
      <w:r>
        <w:rPr>
          <w:rFonts w:ascii="Times New Roman" w:hAnsi="Times New Roman"/>
          <w:b w:val="0"/>
          <w:bCs w:val="0"/>
          <w:color w:val="000000"/>
          <w:kern w:val="0"/>
          <w:shd w:val="clear" w:color="auto" w:fill="FFFFFF"/>
        </w:rPr>
        <w:t xml:space="preserve">2.3.1 </w:t>
      </w:r>
      <w:r>
        <w:rPr>
          <w:rFonts w:ascii="Times New Roman" w:hAnsi="Times New Roman" w:eastAsia="仿宋_GB2312"/>
          <w:bCs w:val="0"/>
          <w:color w:val="000000"/>
          <w:kern w:val="0"/>
          <w:shd w:val="clear" w:color="auto" w:fill="FFFFFF"/>
        </w:rPr>
        <w:t>综合组</w:t>
      </w:r>
    </w:p>
    <w:p>
      <w:pPr>
        <w:spacing w:line="560" w:lineRule="exact"/>
        <w:ind w:firstLine="640" w:firstLineChars="200"/>
        <w:rPr>
          <w:rFonts w:eastAsia="仿宋_GB2312"/>
          <w:color w:val="000000"/>
          <w:sz w:val="32"/>
          <w:szCs w:val="32"/>
        </w:rPr>
      </w:pPr>
      <w:r>
        <w:rPr>
          <w:rFonts w:eastAsia="仿宋_GB2312"/>
          <w:color w:val="000000"/>
          <w:sz w:val="32"/>
          <w:szCs w:val="32"/>
        </w:rPr>
        <w:t>组    长：市应急局主要负责人</w:t>
      </w:r>
    </w:p>
    <w:p>
      <w:pPr>
        <w:spacing w:line="560" w:lineRule="exact"/>
        <w:ind w:firstLine="640" w:firstLineChars="200"/>
        <w:rPr>
          <w:rFonts w:eastAsia="仿宋_GB2312"/>
          <w:color w:val="000000"/>
          <w:sz w:val="32"/>
          <w:szCs w:val="32"/>
        </w:rPr>
      </w:pPr>
      <w:r>
        <w:rPr>
          <w:rFonts w:eastAsia="仿宋_GB2312"/>
          <w:color w:val="000000"/>
          <w:sz w:val="32"/>
          <w:szCs w:val="32"/>
        </w:rPr>
        <w:t>成员单位：市应急局等市直相关部门，县（市、区）政府及相关部门</w:t>
      </w:r>
    </w:p>
    <w:p>
      <w:pPr>
        <w:spacing w:line="560" w:lineRule="exact"/>
        <w:ind w:firstLine="640" w:firstLineChars="200"/>
        <w:rPr>
          <w:rFonts w:eastAsia="仿宋_GB2312"/>
          <w:color w:val="000000"/>
          <w:sz w:val="32"/>
          <w:szCs w:val="32"/>
        </w:rPr>
      </w:pPr>
      <w:r>
        <w:rPr>
          <w:rFonts w:eastAsia="仿宋_GB2312"/>
          <w:color w:val="000000"/>
          <w:sz w:val="32"/>
          <w:szCs w:val="32"/>
        </w:rPr>
        <w:t>职    责：收集、汇总、报送事故和救援动态信息，承办文秘、会务工作；协调、服务、督办各组工作落实；完成现场指挥部交办的其他任务。</w:t>
      </w:r>
    </w:p>
    <w:p>
      <w:pPr>
        <w:pStyle w:val="3"/>
        <w:spacing w:before="0" w:after="0" w:line="560" w:lineRule="exact"/>
        <w:ind w:firstLine="643"/>
        <w:rPr>
          <w:rFonts w:ascii="Times New Roman" w:hAnsi="Times New Roman" w:eastAsia="仿宋_GB2312"/>
          <w:color w:val="000000"/>
          <w:kern w:val="0"/>
          <w:shd w:val="clear" w:color="auto" w:fill="FFFFFF"/>
        </w:rPr>
      </w:pPr>
      <w:r>
        <w:rPr>
          <w:rFonts w:ascii="Times New Roman" w:hAnsi="Times New Roman"/>
          <w:b w:val="0"/>
          <w:bCs w:val="0"/>
          <w:color w:val="000000"/>
          <w:kern w:val="0"/>
          <w:shd w:val="clear" w:color="auto" w:fill="FFFFFF"/>
        </w:rPr>
        <w:t xml:space="preserve">2.3.2 </w:t>
      </w:r>
      <w:r>
        <w:rPr>
          <w:rFonts w:ascii="Times New Roman" w:hAnsi="Times New Roman" w:eastAsia="仿宋_GB2312"/>
          <w:bCs w:val="0"/>
          <w:color w:val="000000"/>
          <w:kern w:val="0"/>
          <w:shd w:val="clear" w:color="auto" w:fill="FFFFFF"/>
        </w:rPr>
        <w:t>抢险救援组</w:t>
      </w:r>
    </w:p>
    <w:p>
      <w:pPr>
        <w:spacing w:line="560" w:lineRule="exact"/>
        <w:ind w:firstLine="640" w:firstLineChars="200"/>
        <w:rPr>
          <w:rFonts w:eastAsia="仿宋_GB2312"/>
          <w:color w:val="000000"/>
          <w:sz w:val="32"/>
          <w:szCs w:val="32"/>
        </w:rPr>
      </w:pPr>
      <w:r>
        <w:rPr>
          <w:rFonts w:eastAsia="仿宋_GB2312"/>
          <w:color w:val="000000"/>
          <w:sz w:val="32"/>
          <w:szCs w:val="32"/>
        </w:rPr>
        <w:t>组    长：市应急局主要负责人</w:t>
      </w:r>
    </w:p>
    <w:p>
      <w:pPr>
        <w:spacing w:line="560" w:lineRule="exact"/>
        <w:ind w:firstLine="640" w:firstLineChars="200"/>
        <w:rPr>
          <w:rFonts w:eastAsia="仿宋_GB2312"/>
          <w:color w:val="000000"/>
          <w:sz w:val="32"/>
          <w:szCs w:val="32"/>
        </w:rPr>
      </w:pPr>
      <w:r>
        <w:rPr>
          <w:rFonts w:eastAsia="仿宋_GB2312"/>
          <w:color w:val="000000"/>
          <w:sz w:val="32"/>
          <w:szCs w:val="32"/>
        </w:rPr>
        <w:t>成员单位：市应急局等市直相关部门，县（市、区）人民政府及相关部门，综合性消防救援队伍、市综合救援队、市矿山救护大队、河保偏军事化矿山救护中队，企业和社会救援力量等</w:t>
      </w:r>
    </w:p>
    <w:p>
      <w:pPr>
        <w:spacing w:line="560" w:lineRule="exact"/>
        <w:ind w:firstLine="640" w:firstLineChars="200"/>
        <w:rPr>
          <w:rFonts w:eastAsia="仿宋_GB2312"/>
          <w:color w:val="000000"/>
          <w:spacing w:val="-4"/>
          <w:sz w:val="32"/>
          <w:szCs w:val="32"/>
        </w:rPr>
      </w:pPr>
      <w:r>
        <w:rPr>
          <w:rFonts w:eastAsia="仿宋_GB2312"/>
          <w:color w:val="000000"/>
          <w:sz w:val="32"/>
          <w:szCs w:val="32"/>
        </w:rPr>
        <w:t>职    责：掌</w:t>
      </w:r>
      <w:r>
        <w:rPr>
          <w:rFonts w:eastAsia="仿宋_GB2312"/>
          <w:color w:val="000000"/>
          <w:spacing w:val="-4"/>
          <w:sz w:val="32"/>
          <w:szCs w:val="32"/>
        </w:rPr>
        <w:t>握事故动态，参与救援方案制定；调集专业应急队伍、装备和物资；组织灾情侦查、抢险救援，控制危险源。</w:t>
      </w:r>
    </w:p>
    <w:p>
      <w:pPr>
        <w:pStyle w:val="3"/>
        <w:spacing w:before="0" w:after="0" w:line="560" w:lineRule="exact"/>
        <w:ind w:firstLine="643"/>
        <w:rPr>
          <w:rFonts w:ascii="Times New Roman" w:hAnsi="Times New Roman" w:eastAsia="仿宋_GB2312"/>
          <w:color w:val="000000"/>
          <w:kern w:val="0"/>
          <w:shd w:val="clear" w:color="auto" w:fill="FFFFFF"/>
        </w:rPr>
      </w:pPr>
      <w:r>
        <w:rPr>
          <w:rFonts w:ascii="Times New Roman" w:hAnsi="Times New Roman"/>
          <w:b w:val="0"/>
          <w:bCs w:val="0"/>
          <w:color w:val="000000"/>
          <w:kern w:val="0"/>
          <w:shd w:val="clear" w:color="auto" w:fill="FFFFFF"/>
        </w:rPr>
        <w:t xml:space="preserve">2.3.3 </w:t>
      </w:r>
      <w:r>
        <w:rPr>
          <w:rFonts w:ascii="Times New Roman" w:hAnsi="Times New Roman" w:eastAsia="仿宋_GB2312"/>
          <w:bCs w:val="0"/>
          <w:color w:val="000000"/>
          <w:kern w:val="0"/>
          <w:shd w:val="clear" w:color="auto" w:fill="FFFFFF"/>
        </w:rPr>
        <w:t>技术组</w:t>
      </w:r>
    </w:p>
    <w:p>
      <w:pPr>
        <w:spacing w:line="560" w:lineRule="exact"/>
        <w:ind w:firstLine="640" w:firstLineChars="200"/>
        <w:rPr>
          <w:rFonts w:eastAsia="仿宋_GB2312"/>
          <w:color w:val="000000"/>
          <w:sz w:val="32"/>
          <w:szCs w:val="32"/>
        </w:rPr>
      </w:pPr>
      <w:r>
        <w:rPr>
          <w:rFonts w:eastAsia="仿宋_GB2312"/>
          <w:color w:val="000000"/>
          <w:sz w:val="32"/>
          <w:szCs w:val="32"/>
        </w:rPr>
        <w:t>组    长：市应急局分管负责人</w:t>
      </w:r>
    </w:p>
    <w:p>
      <w:pPr>
        <w:spacing w:line="560" w:lineRule="exact"/>
        <w:ind w:firstLine="640" w:firstLineChars="200"/>
        <w:rPr>
          <w:rFonts w:eastAsia="仿宋_GB2312"/>
          <w:color w:val="000000"/>
          <w:sz w:val="32"/>
          <w:szCs w:val="32"/>
        </w:rPr>
      </w:pPr>
      <w:r>
        <w:rPr>
          <w:rFonts w:eastAsia="仿宋_GB2312"/>
          <w:color w:val="000000"/>
          <w:sz w:val="32"/>
          <w:szCs w:val="32"/>
        </w:rPr>
        <w:t>成员单位：市应急局等市直相关部门，县（市、区）人民政府及相关部门</w:t>
      </w:r>
    </w:p>
    <w:p>
      <w:pPr>
        <w:spacing w:line="560" w:lineRule="exact"/>
        <w:ind w:firstLine="640" w:firstLineChars="200"/>
        <w:rPr>
          <w:rFonts w:eastAsia="仿宋_GB2312"/>
          <w:color w:val="000000"/>
          <w:sz w:val="32"/>
          <w:szCs w:val="32"/>
        </w:rPr>
      </w:pPr>
      <w:r>
        <w:rPr>
          <w:rFonts w:eastAsia="仿宋_GB2312"/>
          <w:color w:val="000000"/>
          <w:sz w:val="32"/>
          <w:szCs w:val="32"/>
        </w:rPr>
        <w:t>职    责：掌握、研判灾情，组织专家研究论证，为救援工作提供技术支持；制定救援方案、技术措施和安全保障措施。</w:t>
      </w:r>
    </w:p>
    <w:p>
      <w:pPr>
        <w:spacing w:line="560" w:lineRule="exact"/>
        <w:ind w:firstLine="640" w:firstLineChars="200"/>
        <w:rPr>
          <w:rFonts w:eastAsia="仿宋_GB2312"/>
          <w:color w:val="000000"/>
          <w:sz w:val="32"/>
          <w:szCs w:val="32"/>
        </w:rPr>
      </w:pPr>
      <w:r>
        <w:rPr>
          <w:rFonts w:eastAsia="仿宋_GB2312"/>
          <w:color w:val="000000"/>
          <w:sz w:val="32"/>
          <w:szCs w:val="32"/>
        </w:rPr>
        <w:t>技术组下设专家组。主要任务：研判灾情，研究论证救援技术措施，为救援决策提出意见和建议；参与救援方案制定；提出防范事故扩大措施建议。</w:t>
      </w:r>
    </w:p>
    <w:p>
      <w:pPr>
        <w:pStyle w:val="3"/>
        <w:spacing w:before="0" w:after="0" w:line="560" w:lineRule="exact"/>
        <w:ind w:firstLine="643"/>
        <w:rPr>
          <w:rFonts w:ascii="Times New Roman" w:hAnsi="Times New Roman" w:eastAsia="仿宋_GB2312"/>
          <w:color w:val="000000"/>
          <w:kern w:val="0"/>
          <w:shd w:val="clear" w:color="auto" w:fill="FFFFFF"/>
        </w:rPr>
      </w:pPr>
      <w:r>
        <w:rPr>
          <w:rFonts w:ascii="Times New Roman" w:hAnsi="Times New Roman"/>
          <w:b w:val="0"/>
          <w:bCs w:val="0"/>
          <w:color w:val="000000"/>
          <w:kern w:val="0"/>
          <w:shd w:val="clear" w:color="auto" w:fill="FFFFFF"/>
        </w:rPr>
        <w:t xml:space="preserve">2.3.4 </w:t>
      </w:r>
      <w:r>
        <w:rPr>
          <w:rFonts w:ascii="Times New Roman" w:hAnsi="Times New Roman" w:eastAsia="仿宋_GB2312"/>
          <w:bCs w:val="0"/>
          <w:color w:val="000000"/>
          <w:kern w:val="0"/>
          <w:shd w:val="clear" w:color="auto" w:fill="FFFFFF"/>
        </w:rPr>
        <w:t>医学救援组</w:t>
      </w:r>
    </w:p>
    <w:p>
      <w:pPr>
        <w:spacing w:line="560" w:lineRule="exact"/>
        <w:ind w:firstLine="640" w:firstLineChars="200"/>
        <w:rPr>
          <w:rFonts w:eastAsia="仿宋_GB2312"/>
          <w:color w:val="000000"/>
          <w:sz w:val="32"/>
          <w:szCs w:val="32"/>
        </w:rPr>
      </w:pPr>
      <w:r>
        <w:rPr>
          <w:rFonts w:eastAsia="仿宋_GB2312"/>
          <w:color w:val="000000"/>
          <w:sz w:val="32"/>
          <w:szCs w:val="32"/>
        </w:rPr>
        <w:t>组    长：市卫健委主要负责人</w:t>
      </w:r>
    </w:p>
    <w:p>
      <w:pPr>
        <w:spacing w:line="560" w:lineRule="exact"/>
        <w:ind w:firstLine="640" w:firstLineChars="200"/>
        <w:rPr>
          <w:rFonts w:eastAsia="仿宋_GB2312"/>
          <w:color w:val="000000"/>
          <w:sz w:val="32"/>
          <w:szCs w:val="32"/>
        </w:rPr>
      </w:pPr>
      <w:r>
        <w:rPr>
          <w:rFonts w:eastAsia="仿宋_GB2312"/>
          <w:color w:val="000000"/>
          <w:sz w:val="32"/>
          <w:szCs w:val="32"/>
        </w:rPr>
        <w:t>成员单位：市卫健委，县（市、区）人民政府及相关部门</w:t>
      </w:r>
    </w:p>
    <w:p>
      <w:pPr>
        <w:spacing w:line="540" w:lineRule="exact"/>
        <w:ind w:firstLine="640" w:firstLineChars="200"/>
        <w:rPr>
          <w:rFonts w:eastAsia="仿宋_GB2312"/>
          <w:color w:val="000000"/>
          <w:sz w:val="32"/>
          <w:szCs w:val="32"/>
        </w:rPr>
      </w:pPr>
      <w:r>
        <w:rPr>
          <w:rFonts w:eastAsia="仿宋_GB2312"/>
          <w:color w:val="000000"/>
          <w:sz w:val="32"/>
          <w:szCs w:val="32"/>
        </w:rPr>
        <w:t>职    责：负责伤员救治和医疗卫生保障，调配市级医疗资源指导援助，开展现场卫生防疫。</w:t>
      </w:r>
    </w:p>
    <w:p>
      <w:pPr>
        <w:pStyle w:val="3"/>
        <w:spacing w:before="0" w:after="0" w:line="540" w:lineRule="exact"/>
        <w:ind w:firstLine="643"/>
        <w:rPr>
          <w:rFonts w:ascii="Times New Roman" w:hAnsi="Times New Roman" w:eastAsia="仿宋_GB2312"/>
          <w:color w:val="000000"/>
          <w:kern w:val="0"/>
          <w:shd w:val="clear" w:color="auto" w:fill="FFFFFF"/>
        </w:rPr>
      </w:pPr>
      <w:r>
        <w:rPr>
          <w:rFonts w:ascii="Times New Roman" w:hAnsi="Times New Roman"/>
          <w:b w:val="0"/>
          <w:bCs w:val="0"/>
          <w:color w:val="000000"/>
          <w:kern w:val="0"/>
          <w:shd w:val="clear" w:color="auto" w:fill="FFFFFF"/>
        </w:rPr>
        <w:t xml:space="preserve">2.3.5 </w:t>
      </w:r>
      <w:r>
        <w:rPr>
          <w:rFonts w:ascii="Times New Roman" w:hAnsi="Times New Roman" w:eastAsia="仿宋_GB2312"/>
          <w:bCs w:val="0"/>
          <w:color w:val="000000"/>
          <w:kern w:val="0"/>
          <w:shd w:val="clear" w:color="auto" w:fill="FFFFFF"/>
        </w:rPr>
        <w:t>社会稳定组</w:t>
      </w:r>
    </w:p>
    <w:p>
      <w:pPr>
        <w:spacing w:line="540" w:lineRule="exact"/>
        <w:ind w:firstLine="640" w:firstLineChars="200"/>
        <w:rPr>
          <w:rFonts w:eastAsia="仿宋_GB2312"/>
          <w:color w:val="000000"/>
          <w:sz w:val="32"/>
          <w:szCs w:val="32"/>
        </w:rPr>
      </w:pPr>
      <w:r>
        <w:rPr>
          <w:rFonts w:eastAsia="仿宋_GB2312"/>
          <w:color w:val="000000"/>
          <w:sz w:val="32"/>
          <w:szCs w:val="32"/>
        </w:rPr>
        <w:t>组    长：市公安局副局长</w:t>
      </w:r>
    </w:p>
    <w:p>
      <w:pPr>
        <w:spacing w:line="540" w:lineRule="exact"/>
        <w:ind w:firstLine="640" w:firstLineChars="200"/>
        <w:rPr>
          <w:rFonts w:eastAsia="仿宋_GB2312"/>
          <w:color w:val="000000"/>
          <w:sz w:val="32"/>
          <w:szCs w:val="32"/>
        </w:rPr>
      </w:pPr>
      <w:r>
        <w:rPr>
          <w:rFonts w:eastAsia="仿宋_GB2312"/>
          <w:color w:val="000000"/>
          <w:sz w:val="32"/>
          <w:szCs w:val="32"/>
        </w:rPr>
        <w:t>成员单位：市公安局，县（市、区）人民政府及相关部门</w:t>
      </w:r>
    </w:p>
    <w:p>
      <w:pPr>
        <w:spacing w:line="540" w:lineRule="exact"/>
        <w:ind w:firstLine="640" w:firstLineChars="200"/>
        <w:rPr>
          <w:rFonts w:eastAsia="仿宋_GB2312"/>
          <w:color w:val="000000"/>
          <w:sz w:val="32"/>
          <w:szCs w:val="32"/>
        </w:rPr>
      </w:pPr>
      <w:r>
        <w:rPr>
          <w:rFonts w:eastAsia="仿宋_GB2312"/>
          <w:color w:val="000000"/>
          <w:sz w:val="32"/>
          <w:szCs w:val="32"/>
        </w:rPr>
        <w:t>职    责：负责现场及周边治安、警戒和道路交通管制、疏导，开展人员核查和遇难人员身份识别工作。</w:t>
      </w:r>
    </w:p>
    <w:p>
      <w:pPr>
        <w:pStyle w:val="3"/>
        <w:spacing w:before="0" w:after="0" w:line="540" w:lineRule="exact"/>
        <w:ind w:firstLine="643"/>
        <w:rPr>
          <w:rFonts w:ascii="Times New Roman" w:hAnsi="Times New Roman" w:eastAsia="仿宋_GB2312"/>
          <w:color w:val="000000"/>
          <w:kern w:val="0"/>
          <w:shd w:val="clear" w:color="auto" w:fill="FFFFFF"/>
        </w:rPr>
      </w:pPr>
      <w:r>
        <w:rPr>
          <w:rFonts w:ascii="Times New Roman" w:hAnsi="Times New Roman"/>
          <w:b w:val="0"/>
          <w:bCs w:val="0"/>
          <w:color w:val="000000"/>
          <w:kern w:val="0"/>
          <w:shd w:val="clear" w:color="auto" w:fill="FFFFFF"/>
        </w:rPr>
        <w:t xml:space="preserve">2.3.6 </w:t>
      </w:r>
      <w:r>
        <w:rPr>
          <w:rFonts w:ascii="Times New Roman" w:hAnsi="Times New Roman" w:eastAsia="仿宋_GB2312"/>
          <w:bCs w:val="0"/>
          <w:color w:val="000000"/>
          <w:kern w:val="0"/>
          <w:shd w:val="clear" w:color="auto" w:fill="FFFFFF"/>
        </w:rPr>
        <w:t>宣传报道组</w:t>
      </w:r>
    </w:p>
    <w:p>
      <w:pPr>
        <w:spacing w:line="540" w:lineRule="exact"/>
        <w:ind w:firstLine="640" w:firstLineChars="200"/>
        <w:rPr>
          <w:rFonts w:eastAsia="仿宋_GB2312"/>
          <w:color w:val="000000"/>
          <w:sz w:val="32"/>
          <w:szCs w:val="32"/>
        </w:rPr>
      </w:pPr>
      <w:r>
        <w:rPr>
          <w:rFonts w:eastAsia="仿宋_GB2312"/>
          <w:color w:val="000000"/>
          <w:sz w:val="32"/>
          <w:szCs w:val="32"/>
        </w:rPr>
        <w:t>组    长：市委宣传部副部长</w:t>
      </w:r>
    </w:p>
    <w:p>
      <w:pPr>
        <w:spacing w:line="540" w:lineRule="exact"/>
        <w:ind w:firstLine="640" w:firstLineChars="200"/>
        <w:rPr>
          <w:rFonts w:eastAsia="仿宋_GB2312"/>
          <w:color w:val="000000"/>
          <w:spacing w:val="-6"/>
          <w:sz w:val="32"/>
          <w:szCs w:val="32"/>
        </w:rPr>
      </w:pPr>
      <w:r>
        <w:rPr>
          <w:rFonts w:eastAsia="仿宋_GB2312"/>
          <w:color w:val="000000"/>
          <w:sz w:val="32"/>
          <w:szCs w:val="32"/>
        </w:rPr>
        <w:t>成员单位：市</w:t>
      </w:r>
      <w:r>
        <w:rPr>
          <w:rFonts w:eastAsia="仿宋_GB2312"/>
          <w:color w:val="000000"/>
          <w:spacing w:val="-6"/>
          <w:sz w:val="32"/>
          <w:szCs w:val="32"/>
        </w:rPr>
        <w:t>委宣传部，县（市、区）人民政府及宣传部门</w:t>
      </w:r>
    </w:p>
    <w:p>
      <w:pPr>
        <w:spacing w:line="540" w:lineRule="exact"/>
        <w:ind w:firstLine="640" w:firstLineChars="200"/>
        <w:rPr>
          <w:rFonts w:eastAsia="仿宋_GB2312"/>
          <w:color w:val="000000"/>
          <w:sz w:val="32"/>
          <w:szCs w:val="32"/>
        </w:rPr>
      </w:pPr>
      <w:r>
        <w:rPr>
          <w:rFonts w:eastAsia="仿宋_GB2312"/>
          <w:color w:val="000000"/>
          <w:sz w:val="32"/>
          <w:szCs w:val="32"/>
        </w:rPr>
        <w:t>职    责：组织开展新闻发布、新闻报道，引导舆情。</w:t>
      </w:r>
    </w:p>
    <w:p>
      <w:pPr>
        <w:pStyle w:val="3"/>
        <w:spacing w:before="0" w:after="0" w:line="540" w:lineRule="exact"/>
        <w:ind w:firstLine="643"/>
        <w:rPr>
          <w:rFonts w:ascii="Times New Roman" w:hAnsi="Times New Roman" w:eastAsia="仿宋_GB2312"/>
          <w:color w:val="000000"/>
          <w:kern w:val="0"/>
          <w:shd w:val="clear" w:color="auto" w:fill="FFFFFF"/>
        </w:rPr>
      </w:pPr>
      <w:r>
        <w:rPr>
          <w:rFonts w:ascii="Times New Roman" w:hAnsi="Times New Roman"/>
          <w:b w:val="0"/>
          <w:bCs w:val="0"/>
          <w:color w:val="000000"/>
          <w:kern w:val="0"/>
          <w:shd w:val="clear" w:color="auto" w:fill="FFFFFF"/>
        </w:rPr>
        <w:t xml:space="preserve">2.3.7 </w:t>
      </w:r>
      <w:r>
        <w:rPr>
          <w:rFonts w:ascii="Times New Roman" w:hAnsi="Times New Roman" w:eastAsia="仿宋_GB2312"/>
          <w:bCs w:val="0"/>
          <w:color w:val="000000"/>
          <w:kern w:val="0"/>
          <w:shd w:val="clear" w:color="auto" w:fill="FFFFFF"/>
        </w:rPr>
        <w:t>应急保障组</w:t>
      </w:r>
    </w:p>
    <w:p>
      <w:pPr>
        <w:spacing w:line="540" w:lineRule="exact"/>
        <w:ind w:firstLine="640" w:firstLineChars="200"/>
        <w:rPr>
          <w:rFonts w:eastAsia="仿宋_GB2312"/>
          <w:color w:val="000000"/>
          <w:sz w:val="32"/>
          <w:szCs w:val="32"/>
        </w:rPr>
      </w:pPr>
      <w:r>
        <w:rPr>
          <w:rFonts w:eastAsia="仿宋_GB2312"/>
          <w:color w:val="000000"/>
          <w:sz w:val="32"/>
          <w:szCs w:val="32"/>
        </w:rPr>
        <w:t>组    长：事发地县（市、区）人民政府主要负责人</w:t>
      </w:r>
    </w:p>
    <w:p>
      <w:pPr>
        <w:spacing w:line="540" w:lineRule="exact"/>
        <w:ind w:firstLine="640" w:firstLineChars="200"/>
        <w:rPr>
          <w:rFonts w:eastAsia="仿宋_GB2312"/>
          <w:color w:val="000000"/>
          <w:sz w:val="32"/>
          <w:szCs w:val="32"/>
        </w:rPr>
      </w:pPr>
      <w:r>
        <w:rPr>
          <w:rFonts w:eastAsia="仿宋_GB2312"/>
          <w:color w:val="000000"/>
          <w:sz w:val="32"/>
          <w:szCs w:val="32"/>
        </w:rPr>
        <w:t>成员单位：市交通局、市国资委、市能源局、市气象局、市通讯管理单位，县（市、区）人民政府及相关部门</w:t>
      </w:r>
    </w:p>
    <w:p>
      <w:pPr>
        <w:spacing w:line="540" w:lineRule="exact"/>
        <w:ind w:firstLine="640" w:firstLineChars="200"/>
        <w:rPr>
          <w:rFonts w:eastAsia="仿宋_GB2312"/>
          <w:color w:val="000000"/>
          <w:sz w:val="32"/>
          <w:szCs w:val="32"/>
        </w:rPr>
      </w:pPr>
      <w:r>
        <w:rPr>
          <w:rFonts w:eastAsia="仿宋_GB2312"/>
          <w:color w:val="000000"/>
          <w:sz w:val="32"/>
          <w:szCs w:val="32"/>
        </w:rPr>
        <w:t>职    责：组织交通运输、通讯、电力、后勤服务等保障，开展气象监测预报。</w:t>
      </w:r>
    </w:p>
    <w:p>
      <w:pPr>
        <w:pStyle w:val="3"/>
        <w:spacing w:before="0" w:after="0" w:line="540" w:lineRule="exact"/>
        <w:ind w:firstLine="643"/>
        <w:rPr>
          <w:rFonts w:ascii="Times New Roman" w:hAnsi="Times New Roman" w:eastAsia="仿宋_GB2312"/>
          <w:color w:val="000000"/>
          <w:kern w:val="0"/>
          <w:shd w:val="clear" w:color="auto" w:fill="FFFFFF"/>
        </w:rPr>
      </w:pPr>
      <w:r>
        <w:rPr>
          <w:rFonts w:ascii="Times New Roman" w:hAnsi="Times New Roman"/>
          <w:b w:val="0"/>
          <w:bCs w:val="0"/>
          <w:color w:val="000000"/>
          <w:kern w:val="0"/>
          <w:shd w:val="clear" w:color="auto" w:fill="FFFFFF"/>
        </w:rPr>
        <w:t xml:space="preserve">2.3.8 </w:t>
      </w:r>
      <w:r>
        <w:rPr>
          <w:rFonts w:ascii="Times New Roman" w:hAnsi="Times New Roman" w:eastAsia="仿宋_GB2312"/>
          <w:bCs w:val="0"/>
          <w:color w:val="000000"/>
          <w:kern w:val="0"/>
          <w:shd w:val="clear" w:color="auto" w:fill="FFFFFF"/>
        </w:rPr>
        <w:t>善后工作组</w:t>
      </w:r>
    </w:p>
    <w:p>
      <w:pPr>
        <w:spacing w:line="540" w:lineRule="exact"/>
        <w:ind w:firstLine="640" w:firstLineChars="200"/>
        <w:rPr>
          <w:rFonts w:eastAsia="仿宋_GB2312"/>
          <w:color w:val="000000"/>
          <w:sz w:val="32"/>
          <w:szCs w:val="32"/>
        </w:rPr>
      </w:pPr>
      <w:r>
        <w:rPr>
          <w:rFonts w:eastAsia="仿宋_GB2312"/>
          <w:color w:val="000000"/>
          <w:sz w:val="32"/>
          <w:szCs w:val="32"/>
        </w:rPr>
        <w:t>组    长：事发地县（市、区）人民政府主要负责人</w:t>
      </w:r>
    </w:p>
    <w:p>
      <w:pPr>
        <w:spacing w:line="540" w:lineRule="exact"/>
        <w:ind w:firstLine="640" w:firstLineChars="200"/>
        <w:rPr>
          <w:rFonts w:eastAsia="仿宋_GB2312"/>
          <w:color w:val="000000"/>
          <w:sz w:val="32"/>
          <w:szCs w:val="32"/>
        </w:rPr>
      </w:pPr>
      <w:r>
        <w:rPr>
          <w:rFonts w:eastAsia="仿宋_GB2312"/>
          <w:color w:val="000000"/>
          <w:sz w:val="32"/>
          <w:szCs w:val="32"/>
        </w:rPr>
        <w:t>成员单位：县（市、区）人民政府及相关部门</w:t>
      </w:r>
    </w:p>
    <w:p>
      <w:pPr>
        <w:spacing w:line="540" w:lineRule="exact"/>
        <w:ind w:firstLine="640" w:firstLineChars="200"/>
        <w:rPr>
          <w:rFonts w:eastAsia="仿宋_GB2312"/>
          <w:color w:val="000000"/>
          <w:sz w:val="32"/>
          <w:szCs w:val="32"/>
        </w:rPr>
      </w:pPr>
      <w:r>
        <w:rPr>
          <w:rFonts w:eastAsia="仿宋_GB2312"/>
          <w:color w:val="000000"/>
          <w:sz w:val="32"/>
          <w:szCs w:val="32"/>
        </w:rPr>
        <w:t>职    责：做好家属安抚、伤亡赔偿和应急补偿、恢复重建工作，处理其他有关善后事宜。</w:t>
      </w:r>
    </w:p>
    <w:p>
      <w:pPr>
        <w:pStyle w:val="2"/>
        <w:spacing w:before="0" w:after="0" w:line="540" w:lineRule="exact"/>
        <w:rPr>
          <w:rFonts w:eastAsia="黑体"/>
          <w:sz w:val="32"/>
          <w:szCs w:val="32"/>
        </w:rPr>
      </w:pPr>
      <w:r>
        <w:rPr>
          <w:rFonts w:eastAsia="黑体"/>
          <w:b w:val="0"/>
          <w:bCs w:val="0"/>
          <w:sz w:val="32"/>
          <w:szCs w:val="32"/>
        </w:rPr>
        <w:t xml:space="preserve">    3  风险防控</w:t>
      </w:r>
    </w:p>
    <w:p>
      <w:pPr>
        <w:spacing w:line="560" w:lineRule="exact"/>
        <w:ind w:firstLine="640" w:firstLineChars="200"/>
        <w:rPr>
          <w:rFonts w:eastAsia="仿宋_GB2312"/>
          <w:color w:val="000000"/>
          <w:sz w:val="32"/>
          <w:szCs w:val="32"/>
        </w:rPr>
      </w:pPr>
      <w:r>
        <w:rPr>
          <w:rFonts w:eastAsia="仿宋_GB2312"/>
          <w:color w:val="000000"/>
          <w:sz w:val="32"/>
          <w:szCs w:val="32"/>
        </w:rPr>
        <w:t>各级应急管理部门要依法对尾矿库生产安全风险点、危险源进行辨识、评估，制定防控措施，定期进行检查、监控；要建立完善尾矿库生产安全领域风险防控体系，严格落实尾矿库企业事故预防主体责任，加强政府和企业隐患排查治理和风险管控双层预防机制建设，防范化解尾矿库生产安全风险和隐患。</w:t>
      </w:r>
    </w:p>
    <w:p>
      <w:pPr>
        <w:pStyle w:val="2"/>
        <w:spacing w:before="0" w:after="0" w:line="560" w:lineRule="exact"/>
        <w:rPr>
          <w:rFonts w:eastAsia="黑体"/>
          <w:sz w:val="32"/>
          <w:szCs w:val="32"/>
        </w:rPr>
      </w:pPr>
      <w:r>
        <w:rPr>
          <w:rFonts w:eastAsia="黑体"/>
          <w:b w:val="0"/>
          <w:bCs w:val="0"/>
          <w:sz w:val="32"/>
          <w:szCs w:val="32"/>
        </w:rPr>
        <w:t xml:space="preserve">    4  监测与预警 </w:t>
      </w:r>
    </w:p>
    <w:p>
      <w:pPr>
        <w:pStyle w:val="3"/>
        <w:spacing w:before="0" w:after="0" w:line="560" w:lineRule="exact"/>
        <w:ind w:firstLine="643"/>
        <w:rPr>
          <w:rFonts w:ascii="Times New Roman" w:hAnsi="Times New Roman" w:eastAsia="楷体_GB2312"/>
          <w:b w:val="0"/>
          <w:bCs w:val="0"/>
          <w:color w:val="000000"/>
          <w:kern w:val="0"/>
          <w:shd w:val="clear" w:color="auto" w:fill="FFFFFF"/>
        </w:rPr>
      </w:pPr>
      <w:r>
        <w:rPr>
          <w:rFonts w:ascii="Times New Roman" w:hAnsi="Times New Roman"/>
          <w:b w:val="0"/>
          <w:bCs w:val="0"/>
          <w:color w:val="000000"/>
          <w:kern w:val="0"/>
          <w:shd w:val="clear" w:color="auto" w:fill="FFFFFF"/>
        </w:rPr>
        <w:t xml:space="preserve">4.1 </w:t>
      </w:r>
      <w:r>
        <w:rPr>
          <w:rFonts w:ascii="Times New Roman" w:hAnsi="Times New Roman" w:eastAsia="楷体_GB2312"/>
          <w:b w:val="0"/>
          <w:bCs w:val="0"/>
          <w:color w:val="000000"/>
          <w:kern w:val="0"/>
          <w:shd w:val="clear" w:color="auto" w:fill="FFFFFF"/>
        </w:rPr>
        <w:t>监测</w:t>
      </w:r>
    </w:p>
    <w:p>
      <w:pPr>
        <w:spacing w:line="560" w:lineRule="exact"/>
        <w:ind w:firstLine="640" w:firstLineChars="200"/>
        <w:rPr>
          <w:rFonts w:eastAsia="仿宋_GB2312"/>
          <w:color w:val="000000"/>
          <w:sz w:val="32"/>
          <w:szCs w:val="32"/>
        </w:rPr>
      </w:pPr>
      <w:r>
        <w:rPr>
          <w:rFonts w:eastAsia="仿宋_GB2312"/>
          <w:color w:val="000000"/>
          <w:sz w:val="32"/>
          <w:szCs w:val="32"/>
        </w:rPr>
        <w:t>各级应急管理部门要充分运用尾矿库安全监管监察执法系统、安全风险监测监控预警系统等信息化手段，结合尾矿库安全风险分析研判、检查执法、企业报送的安全风险管控情况，对本行政区内尾矿库的安全风险状况加强监测，对重大安全风险和重大安全隐患重点监控。同时与能源、自然资源、水利、气象等有关部门建立生产安全事故信息和自然灾害信息资源获取与共享机制。</w:t>
      </w:r>
    </w:p>
    <w:p>
      <w:pPr>
        <w:pStyle w:val="3"/>
        <w:spacing w:before="0" w:after="0" w:line="560" w:lineRule="exact"/>
        <w:ind w:firstLine="643"/>
        <w:rPr>
          <w:rFonts w:ascii="Times New Roman" w:hAnsi="Times New Roman" w:eastAsia="楷体_GB2312"/>
        </w:rPr>
      </w:pPr>
      <w:r>
        <w:rPr>
          <w:rFonts w:ascii="Times New Roman" w:hAnsi="Times New Roman"/>
          <w:b w:val="0"/>
          <w:bCs w:val="0"/>
          <w:color w:val="000000"/>
          <w:kern w:val="0"/>
          <w:shd w:val="clear" w:color="auto" w:fill="FFFFFF"/>
        </w:rPr>
        <w:t xml:space="preserve">4.2 </w:t>
      </w:r>
      <w:r>
        <w:rPr>
          <w:rFonts w:ascii="Times New Roman" w:hAnsi="Times New Roman" w:eastAsia="楷体_GB2312"/>
          <w:b w:val="0"/>
          <w:bCs w:val="0"/>
          <w:color w:val="000000"/>
          <w:kern w:val="0"/>
          <w:shd w:val="clear" w:color="auto" w:fill="FFFFFF"/>
        </w:rPr>
        <w:t>预警</w:t>
      </w:r>
      <w:r>
        <w:rPr>
          <w:rFonts w:ascii="Times New Roman" w:hAnsi="Times New Roman" w:eastAsia="楷体_GB2312"/>
          <w:b w:val="0"/>
          <w:bCs w:val="0"/>
        </w:rPr>
        <w:t xml:space="preserve"> </w:t>
      </w:r>
    </w:p>
    <w:p>
      <w:pPr>
        <w:spacing w:line="560" w:lineRule="exact"/>
        <w:ind w:firstLine="640" w:firstLineChars="200"/>
        <w:rPr>
          <w:rFonts w:eastAsia="仿宋_GB2312"/>
          <w:color w:val="000000"/>
          <w:sz w:val="32"/>
          <w:szCs w:val="32"/>
        </w:rPr>
      </w:pPr>
      <w:r>
        <w:rPr>
          <w:rFonts w:eastAsia="仿宋_GB2312"/>
          <w:color w:val="000000"/>
          <w:sz w:val="32"/>
          <w:szCs w:val="32"/>
        </w:rPr>
        <w:t>各级应急管理部门要及时分析研判本行政区内尾矿库重大安全风险监测、监控信息。经研判认为事故发生的可能性增大或接收到有关自然灾害信息可能引发事故时，及时发布预警信息，通知下级部门和相关企业采取针对性的防范措施。同时县（市、区）应急管理部门针对可能发生事故的特点、危害程度和发展态势，指令应急救援队伍和有关单位进入待命状态。各县（市、区）应急管理部门视情派出工作组进行现场督导，检查预防性处置措施执行情况。对重大安全风险和隐患排除前或者控制、排除过程中无法保证安全的，责令从危险区域内撤出作业人员，暂时停产或停止使用相关设施、设备。</w:t>
      </w:r>
    </w:p>
    <w:p>
      <w:pPr>
        <w:pStyle w:val="2"/>
        <w:spacing w:before="0" w:after="0" w:line="560" w:lineRule="exact"/>
        <w:rPr>
          <w:rFonts w:eastAsia="黑体"/>
          <w:sz w:val="32"/>
          <w:szCs w:val="32"/>
        </w:rPr>
      </w:pPr>
      <w:r>
        <w:rPr>
          <w:rFonts w:eastAsia="黑体"/>
          <w:b w:val="0"/>
          <w:bCs w:val="0"/>
          <w:sz w:val="32"/>
          <w:szCs w:val="32"/>
        </w:rPr>
        <w:t xml:space="preserve">    5  应急处置与救援</w:t>
      </w:r>
    </w:p>
    <w:p>
      <w:pPr>
        <w:pStyle w:val="3"/>
        <w:spacing w:before="0" w:after="0" w:line="560" w:lineRule="exact"/>
        <w:ind w:firstLine="643"/>
        <w:rPr>
          <w:rFonts w:ascii="Times New Roman" w:hAnsi="Times New Roman" w:eastAsia="楷体_GB2312"/>
          <w:b w:val="0"/>
          <w:bCs w:val="0"/>
          <w:color w:val="000000"/>
          <w:kern w:val="0"/>
          <w:shd w:val="clear" w:color="auto" w:fill="FFFFFF"/>
        </w:rPr>
      </w:pPr>
      <w:r>
        <w:rPr>
          <w:rFonts w:ascii="Times New Roman" w:hAnsi="Times New Roman"/>
          <w:b w:val="0"/>
          <w:bCs w:val="0"/>
          <w:color w:val="000000"/>
          <w:kern w:val="0"/>
          <w:shd w:val="clear" w:color="auto" w:fill="FFFFFF"/>
        </w:rPr>
        <w:t xml:space="preserve">5.1 </w:t>
      </w:r>
      <w:r>
        <w:rPr>
          <w:rFonts w:ascii="Times New Roman" w:hAnsi="Times New Roman" w:eastAsia="楷体_GB2312"/>
          <w:b w:val="0"/>
          <w:bCs w:val="0"/>
          <w:color w:val="000000"/>
          <w:kern w:val="0"/>
          <w:shd w:val="clear" w:color="auto" w:fill="FFFFFF"/>
        </w:rPr>
        <w:t>信息报告</w:t>
      </w:r>
    </w:p>
    <w:p>
      <w:pPr>
        <w:spacing w:line="560" w:lineRule="exact"/>
        <w:ind w:firstLine="640" w:firstLineChars="200"/>
        <w:rPr>
          <w:rFonts w:eastAsia="仿宋_GB2312"/>
          <w:color w:val="000000"/>
          <w:sz w:val="32"/>
          <w:szCs w:val="32"/>
        </w:rPr>
      </w:pPr>
      <w:r>
        <w:rPr>
          <w:rFonts w:eastAsia="仿宋_GB2312"/>
          <w:color w:val="000000"/>
          <w:sz w:val="32"/>
          <w:szCs w:val="32"/>
        </w:rPr>
        <w:t>尾矿库生产安全事故发生后，现场有关人员应当立即报告企业负责人。企业负责人接到报告后，应当按规定立即报告事发地县级应急部门和相关部门报告。情况紧急时，现场有关人员可以直接向事发地县级以上应急部门和相关部门报告。</w:t>
      </w:r>
    </w:p>
    <w:p>
      <w:pPr>
        <w:spacing w:line="560" w:lineRule="exact"/>
        <w:ind w:firstLine="640" w:firstLineChars="200"/>
        <w:rPr>
          <w:rFonts w:eastAsia="仿宋_GB2312"/>
          <w:color w:val="000000"/>
          <w:sz w:val="32"/>
          <w:szCs w:val="32"/>
        </w:rPr>
      </w:pPr>
      <w:r>
        <w:rPr>
          <w:rFonts w:eastAsia="仿宋_GB2312"/>
          <w:color w:val="000000"/>
          <w:sz w:val="32"/>
          <w:szCs w:val="32"/>
        </w:rPr>
        <w:t>事发地应急部门和相关部门接到事故信息报告后，应当立即按照规定上报。</w:t>
      </w:r>
    </w:p>
    <w:p>
      <w:pPr>
        <w:spacing w:line="560" w:lineRule="exact"/>
        <w:ind w:firstLine="640" w:firstLineChars="200"/>
        <w:rPr>
          <w:rFonts w:eastAsia="仿宋_GB2312"/>
          <w:color w:val="000000"/>
          <w:sz w:val="32"/>
          <w:szCs w:val="32"/>
        </w:rPr>
      </w:pPr>
      <w:r>
        <w:rPr>
          <w:rFonts w:eastAsia="仿宋_GB2312"/>
          <w:color w:val="000000"/>
          <w:sz w:val="32"/>
          <w:szCs w:val="32"/>
        </w:rPr>
        <w:t>市应急局接到事故信息报告后，立即上报事故信息，跟踪和续报事故及救援进展情况，根据事故等级和应急处置需要通报市指挥部成员单位。</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b w:val="0"/>
          <w:bCs w:val="0"/>
          <w:color w:val="000000"/>
          <w:kern w:val="0"/>
          <w:shd w:val="clear" w:color="auto" w:fill="FFFFFF"/>
        </w:rPr>
        <w:t xml:space="preserve">5.2 </w:t>
      </w:r>
      <w:r>
        <w:rPr>
          <w:rFonts w:ascii="Times New Roman" w:hAnsi="Times New Roman" w:eastAsia="楷体_GB2312"/>
          <w:b w:val="0"/>
          <w:bCs w:val="0"/>
          <w:color w:val="000000"/>
          <w:kern w:val="0"/>
          <w:shd w:val="clear" w:color="auto" w:fill="FFFFFF"/>
        </w:rPr>
        <w:t>先期处置</w:t>
      </w:r>
    </w:p>
    <w:p>
      <w:pPr>
        <w:spacing w:line="560" w:lineRule="exact"/>
        <w:ind w:firstLine="640" w:firstLineChars="200"/>
        <w:rPr>
          <w:rFonts w:eastAsia="仿宋_GB2312"/>
          <w:color w:val="000000"/>
          <w:sz w:val="32"/>
          <w:szCs w:val="32"/>
        </w:rPr>
      </w:pPr>
      <w:r>
        <w:rPr>
          <w:rFonts w:eastAsia="仿宋_GB2312"/>
          <w:color w:val="000000"/>
          <w:sz w:val="32"/>
          <w:szCs w:val="32"/>
        </w:rPr>
        <w:t>尾矿库生产安全事故发生后，事发企业应当立即启动本单位应急响应，在确保安全的前提下迅速采取有效应急救援措施，组织救援，防止事故扩大。根据事故情况及发展态势，按照分级属地原则，县（市、区）人民政府及应急部门应立即启动相应的应急响应，赶赴事故现场组织事故救援。</w:t>
      </w:r>
    </w:p>
    <w:p>
      <w:pPr>
        <w:pStyle w:val="3"/>
        <w:spacing w:before="0" w:after="0" w:line="560" w:lineRule="exact"/>
        <w:ind w:firstLine="643"/>
        <w:rPr>
          <w:rFonts w:ascii="Times New Roman" w:hAnsi="Times New Roman" w:eastAsia="楷体_GB2312"/>
        </w:rPr>
      </w:pPr>
      <w:r>
        <w:rPr>
          <w:rFonts w:ascii="Times New Roman" w:hAnsi="Times New Roman"/>
          <w:b w:val="0"/>
          <w:bCs w:val="0"/>
          <w:color w:val="000000"/>
          <w:kern w:val="0"/>
          <w:shd w:val="clear" w:color="auto" w:fill="FFFFFF"/>
        </w:rPr>
        <w:t xml:space="preserve">5.3 </w:t>
      </w:r>
      <w:r>
        <w:rPr>
          <w:rFonts w:ascii="Times New Roman" w:hAnsi="Times New Roman" w:eastAsia="楷体_GB2312"/>
          <w:b w:val="0"/>
          <w:bCs w:val="0"/>
          <w:color w:val="000000"/>
          <w:kern w:val="0"/>
          <w:shd w:val="clear" w:color="auto" w:fill="FFFFFF"/>
        </w:rPr>
        <w:t>市级响应</w:t>
      </w:r>
      <w:r>
        <w:rPr>
          <w:rFonts w:ascii="Times New Roman" w:hAnsi="Times New Roman" w:eastAsia="楷体_GB2312"/>
          <w:b w:val="0"/>
          <w:bCs w:val="0"/>
        </w:rPr>
        <w:t xml:space="preserve"> </w:t>
      </w:r>
    </w:p>
    <w:p>
      <w:pPr>
        <w:spacing w:line="560" w:lineRule="exact"/>
        <w:ind w:firstLine="640" w:firstLineChars="200"/>
        <w:rPr>
          <w:rFonts w:eastAsia="仿宋_GB2312"/>
          <w:color w:val="000000"/>
          <w:sz w:val="32"/>
          <w:szCs w:val="32"/>
        </w:rPr>
      </w:pPr>
      <w:r>
        <w:rPr>
          <w:rFonts w:eastAsia="仿宋_GB2312"/>
          <w:color w:val="000000"/>
          <w:sz w:val="32"/>
          <w:szCs w:val="32"/>
        </w:rPr>
        <w:t>市级响应由低到高设定为三级、二级、一级3个响应等级。尾矿库生产安全事故发生后，依据响应条件，启动相应等级响应（见附件4）。</w:t>
      </w:r>
    </w:p>
    <w:p>
      <w:pPr>
        <w:spacing w:line="560" w:lineRule="exact"/>
        <w:ind w:firstLine="640" w:firstLineChars="200"/>
        <w:rPr>
          <w:rFonts w:eastAsia="仿宋_GB2312"/>
          <w:b/>
          <w:bCs/>
          <w:color w:val="000000"/>
          <w:kern w:val="0"/>
          <w:sz w:val="32"/>
          <w:szCs w:val="32"/>
          <w:shd w:val="clear" w:color="auto" w:fill="FFFFFF"/>
        </w:rPr>
      </w:pPr>
      <w:r>
        <w:rPr>
          <w:rFonts w:eastAsia="楷体_GB2312"/>
          <w:bCs/>
          <w:color w:val="000000"/>
          <w:kern w:val="0"/>
          <w:sz w:val="32"/>
          <w:szCs w:val="32"/>
          <w:shd w:val="clear" w:color="auto" w:fill="FFFFFF"/>
        </w:rPr>
        <w:t xml:space="preserve">5.3.1 </w:t>
      </w:r>
      <w:r>
        <w:rPr>
          <w:rFonts w:eastAsia="仿宋_GB2312"/>
          <w:b/>
          <w:bCs/>
          <w:color w:val="000000"/>
          <w:kern w:val="0"/>
          <w:sz w:val="32"/>
          <w:szCs w:val="32"/>
          <w:shd w:val="clear" w:color="auto" w:fill="FFFFFF"/>
        </w:rPr>
        <w:t xml:space="preserve">三级响应 </w:t>
      </w:r>
    </w:p>
    <w:p>
      <w:pPr>
        <w:spacing w:line="560" w:lineRule="exact"/>
        <w:ind w:firstLine="640" w:firstLineChars="200"/>
        <w:rPr>
          <w:rFonts w:eastAsia="仿宋_GB2312"/>
          <w:color w:val="000000"/>
          <w:sz w:val="32"/>
          <w:szCs w:val="32"/>
        </w:rPr>
      </w:pPr>
      <w:r>
        <w:rPr>
          <w:rFonts w:eastAsia="仿宋_GB2312"/>
          <w:color w:val="000000"/>
          <w:sz w:val="32"/>
          <w:szCs w:val="32"/>
        </w:rPr>
        <w:t>符合三级响应条件时，由市指挥部办公室主任启动三级响应，立即派出工作组赶赴事故现场，指导、协调事故救援工作；随时掌握抢险救援进展情况，视情协调增派有关救援力量，做好扩大响应的准备。</w:t>
      </w:r>
    </w:p>
    <w:p>
      <w:pPr>
        <w:spacing w:line="560" w:lineRule="exact"/>
        <w:ind w:firstLine="640" w:firstLineChars="200"/>
        <w:rPr>
          <w:rFonts w:eastAsia="仿宋_GB2312"/>
          <w:b/>
          <w:bCs/>
          <w:color w:val="000000"/>
          <w:kern w:val="0"/>
          <w:sz w:val="32"/>
          <w:szCs w:val="32"/>
          <w:shd w:val="clear" w:color="auto" w:fill="FFFFFF"/>
        </w:rPr>
      </w:pPr>
      <w:r>
        <w:rPr>
          <w:rFonts w:eastAsia="仿宋_GB2312"/>
          <w:bCs/>
          <w:color w:val="000000"/>
          <w:kern w:val="0"/>
          <w:sz w:val="32"/>
          <w:szCs w:val="32"/>
          <w:shd w:val="clear" w:color="auto" w:fill="FFFFFF"/>
        </w:rPr>
        <w:t xml:space="preserve">5.3.2 </w:t>
      </w:r>
      <w:r>
        <w:rPr>
          <w:rFonts w:eastAsia="仿宋_GB2312"/>
          <w:b/>
          <w:bCs/>
          <w:color w:val="000000"/>
          <w:kern w:val="0"/>
          <w:sz w:val="32"/>
          <w:szCs w:val="32"/>
          <w:shd w:val="clear" w:color="auto" w:fill="FFFFFF"/>
        </w:rPr>
        <w:t xml:space="preserve">二级响应 </w:t>
      </w:r>
    </w:p>
    <w:p>
      <w:pPr>
        <w:spacing w:line="560" w:lineRule="exact"/>
        <w:ind w:firstLine="640" w:firstLineChars="200"/>
        <w:rPr>
          <w:rFonts w:eastAsia="仿宋_GB2312"/>
          <w:color w:val="000000"/>
          <w:sz w:val="32"/>
          <w:szCs w:val="32"/>
        </w:rPr>
      </w:pPr>
      <w:r>
        <w:rPr>
          <w:rFonts w:eastAsia="仿宋_GB2312"/>
          <w:color w:val="000000"/>
          <w:sz w:val="32"/>
          <w:szCs w:val="32"/>
        </w:rPr>
        <w:t>符合二级响应条件时，市指挥部办公室主任向指挥长报告，由指挥长启动二级响应。重点做好以下工作：</w:t>
      </w:r>
    </w:p>
    <w:p>
      <w:pPr>
        <w:spacing w:line="560" w:lineRule="exact"/>
        <w:ind w:firstLine="640" w:firstLineChars="200"/>
        <w:rPr>
          <w:rFonts w:eastAsia="仿宋_GB2312"/>
          <w:color w:val="000000"/>
          <w:sz w:val="32"/>
          <w:szCs w:val="32"/>
        </w:rPr>
      </w:pPr>
      <w:r>
        <w:rPr>
          <w:rFonts w:eastAsia="仿宋_GB2312"/>
          <w:color w:val="000000"/>
          <w:sz w:val="32"/>
          <w:szCs w:val="32"/>
        </w:rPr>
        <w:t>（1）市指挥部办公室通知副指挥长、有关成员单位负责人等相关人员立即赶赴现场。同时，根据事故情况，迅速指挥调度有关救援力量赶赴现场参加救援工作。</w:t>
      </w:r>
    </w:p>
    <w:p>
      <w:pPr>
        <w:spacing w:line="560" w:lineRule="exact"/>
        <w:ind w:firstLine="640" w:firstLineChars="200"/>
        <w:rPr>
          <w:rFonts w:eastAsia="仿宋_GB2312"/>
          <w:color w:val="000000"/>
          <w:sz w:val="32"/>
          <w:szCs w:val="32"/>
        </w:rPr>
      </w:pPr>
      <w:r>
        <w:rPr>
          <w:rFonts w:eastAsia="仿宋_GB2312"/>
          <w:color w:val="000000"/>
          <w:sz w:val="32"/>
          <w:szCs w:val="32"/>
        </w:rPr>
        <w:t>（2）指挥长到达现场后，迅速成立市现场指挥部及其工作组，接管指挥权，开展灾情会商，了解先期处置情况，分析研判事故灾害现状及发展态势，研究制定事故救援方案，指挥各组迅速开展行动。</w:t>
      </w:r>
    </w:p>
    <w:p>
      <w:pPr>
        <w:spacing w:line="560" w:lineRule="exact"/>
        <w:ind w:firstLine="640" w:firstLineChars="200"/>
        <w:rPr>
          <w:rFonts w:eastAsia="仿宋_GB2312"/>
          <w:color w:val="000000"/>
          <w:sz w:val="32"/>
          <w:szCs w:val="32"/>
        </w:rPr>
      </w:pPr>
      <w:r>
        <w:rPr>
          <w:rFonts w:eastAsia="仿宋_GB2312"/>
          <w:color w:val="000000"/>
          <w:sz w:val="32"/>
          <w:szCs w:val="32"/>
        </w:rPr>
        <w:t>（3）指挥、协调应急救援队伍和医疗救治单位积极抢救遇险人员、救治受伤人员，控制危险源或排除事故隐患，标明或划定危险区域，为救援工作创造条件。</w:t>
      </w:r>
    </w:p>
    <w:p>
      <w:pPr>
        <w:spacing w:line="560" w:lineRule="exact"/>
        <w:ind w:firstLine="640" w:firstLineChars="200"/>
        <w:rPr>
          <w:rFonts w:eastAsia="仿宋_GB2312"/>
          <w:color w:val="000000"/>
          <w:sz w:val="32"/>
          <w:szCs w:val="32"/>
        </w:rPr>
      </w:pPr>
      <w:r>
        <w:rPr>
          <w:rFonts w:eastAsia="仿宋_GB2312"/>
          <w:color w:val="000000"/>
          <w:sz w:val="32"/>
          <w:szCs w:val="32"/>
        </w:rPr>
        <w:t>（4）加强灾区环境监测监控和救援人员安全防护，发现可能直接危及应急救援人员生命安全的紧急情况时，立即组织采取相应措施消除隐患，降低或者化解风险，必要时可以暂时撤离应急救援人员，防止事故扩大和次生灾害发生。</w:t>
      </w:r>
    </w:p>
    <w:p>
      <w:pPr>
        <w:spacing w:line="560" w:lineRule="exact"/>
        <w:ind w:firstLine="640" w:firstLineChars="200"/>
        <w:rPr>
          <w:rFonts w:eastAsia="仿宋_GB2312"/>
          <w:color w:val="000000"/>
          <w:sz w:val="32"/>
          <w:szCs w:val="32"/>
        </w:rPr>
      </w:pPr>
      <w:r>
        <w:rPr>
          <w:rFonts w:eastAsia="仿宋_GB2312"/>
          <w:color w:val="000000"/>
          <w:sz w:val="32"/>
          <w:szCs w:val="32"/>
        </w:rPr>
        <w:t>（5）根据事故发展态势和救援需要，协调增调救援力量。</w:t>
      </w:r>
    </w:p>
    <w:p>
      <w:pPr>
        <w:spacing w:line="580" w:lineRule="exact"/>
        <w:ind w:firstLine="640" w:firstLineChars="200"/>
        <w:rPr>
          <w:rFonts w:eastAsia="仿宋_GB2312"/>
          <w:color w:val="000000"/>
          <w:sz w:val="32"/>
          <w:szCs w:val="32"/>
        </w:rPr>
      </w:pPr>
      <w:r>
        <w:rPr>
          <w:rFonts w:eastAsia="仿宋_GB2312"/>
          <w:color w:val="000000"/>
          <w:sz w:val="32"/>
          <w:szCs w:val="32"/>
        </w:rPr>
        <w:t>（6）组织展开人员核查、事故现场秩序维护、遇险人员和遇险遇难人员亲属安抚工作。</w:t>
      </w:r>
    </w:p>
    <w:p>
      <w:pPr>
        <w:spacing w:line="580" w:lineRule="exact"/>
        <w:ind w:firstLine="640" w:firstLineChars="200"/>
        <w:rPr>
          <w:rFonts w:eastAsia="仿宋_GB2312"/>
          <w:color w:val="000000"/>
          <w:sz w:val="32"/>
          <w:szCs w:val="32"/>
        </w:rPr>
      </w:pPr>
      <w:r>
        <w:rPr>
          <w:rFonts w:eastAsia="仿宋_GB2312"/>
          <w:color w:val="000000"/>
          <w:sz w:val="32"/>
          <w:szCs w:val="32"/>
        </w:rPr>
        <w:t>（7）做好交通、医疗卫生、通信、气象、供电、供水、生活等应急保障工作。</w:t>
      </w:r>
    </w:p>
    <w:p>
      <w:pPr>
        <w:spacing w:line="580" w:lineRule="exact"/>
        <w:ind w:firstLine="640" w:firstLineChars="200"/>
        <w:rPr>
          <w:rFonts w:eastAsia="仿宋_GB2312"/>
          <w:color w:val="000000"/>
          <w:sz w:val="32"/>
          <w:szCs w:val="32"/>
        </w:rPr>
      </w:pPr>
      <w:r>
        <w:rPr>
          <w:rFonts w:eastAsia="仿宋_GB2312"/>
          <w:color w:val="000000"/>
          <w:sz w:val="32"/>
          <w:szCs w:val="32"/>
        </w:rPr>
        <w:t>（8）及时、统一发布灾情、救援等信息，积极协调各类新闻媒体做好新闻报道工作，做好舆情监测和引导工作。</w:t>
      </w:r>
    </w:p>
    <w:p>
      <w:pPr>
        <w:spacing w:line="580" w:lineRule="exact"/>
        <w:ind w:firstLine="640" w:firstLineChars="200"/>
        <w:rPr>
          <w:rFonts w:eastAsia="仿宋_GB2312"/>
          <w:color w:val="000000"/>
          <w:sz w:val="32"/>
          <w:szCs w:val="32"/>
        </w:rPr>
      </w:pPr>
      <w:r>
        <w:rPr>
          <w:rFonts w:eastAsia="仿宋_GB2312"/>
          <w:color w:val="000000"/>
          <w:sz w:val="32"/>
          <w:szCs w:val="32"/>
        </w:rPr>
        <w:t>（9）按照国家工作组指导意见，落实相应工作。</w:t>
      </w:r>
    </w:p>
    <w:p>
      <w:pPr>
        <w:spacing w:line="580" w:lineRule="exact"/>
        <w:ind w:firstLine="640" w:firstLineChars="200"/>
        <w:rPr>
          <w:rFonts w:eastAsia="仿宋_GB2312"/>
          <w:color w:val="000000"/>
          <w:sz w:val="32"/>
          <w:szCs w:val="32"/>
        </w:rPr>
      </w:pPr>
      <w:r>
        <w:rPr>
          <w:rFonts w:eastAsia="仿宋_GB2312"/>
          <w:color w:val="000000"/>
          <w:sz w:val="32"/>
          <w:szCs w:val="32"/>
        </w:rPr>
        <w:t>（10）认真贯彻落实省委、省政府领导同志批示指示精神及省应急厅、和市委市政府工作要求，并及时向事发地传达，必要时请求省有关部门给予支持。</w:t>
      </w:r>
    </w:p>
    <w:p>
      <w:pPr>
        <w:spacing w:line="580" w:lineRule="exact"/>
        <w:ind w:firstLine="640" w:firstLineChars="200"/>
        <w:rPr>
          <w:rFonts w:eastAsia="仿宋_GB2312"/>
          <w:b/>
          <w:bCs/>
          <w:color w:val="000000"/>
          <w:kern w:val="0"/>
          <w:sz w:val="32"/>
          <w:szCs w:val="32"/>
          <w:shd w:val="clear" w:color="auto" w:fill="FFFFFF"/>
        </w:rPr>
      </w:pPr>
      <w:r>
        <w:rPr>
          <w:rFonts w:eastAsia="仿宋_GB2312"/>
          <w:bCs/>
          <w:color w:val="000000"/>
          <w:kern w:val="0"/>
          <w:sz w:val="32"/>
          <w:szCs w:val="32"/>
          <w:shd w:val="clear" w:color="auto" w:fill="FFFFFF"/>
        </w:rPr>
        <w:t xml:space="preserve">5.3.3 </w:t>
      </w:r>
      <w:r>
        <w:rPr>
          <w:rFonts w:eastAsia="仿宋_GB2312"/>
          <w:b/>
          <w:bCs/>
          <w:color w:val="000000"/>
          <w:kern w:val="0"/>
          <w:sz w:val="32"/>
          <w:szCs w:val="32"/>
          <w:shd w:val="clear" w:color="auto" w:fill="FFFFFF"/>
        </w:rPr>
        <w:t xml:space="preserve">一级响应 </w:t>
      </w:r>
    </w:p>
    <w:p>
      <w:pPr>
        <w:spacing w:line="580" w:lineRule="exact"/>
        <w:ind w:firstLine="640" w:firstLineChars="200"/>
        <w:rPr>
          <w:rFonts w:eastAsia="仿宋_GB2312"/>
          <w:color w:val="000000"/>
          <w:spacing w:val="-2"/>
          <w:sz w:val="32"/>
          <w:szCs w:val="32"/>
        </w:rPr>
      </w:pPr>
      <w:r>
        <w:rPr>
          <w:rFonts w:eastAsia="仿宋_GB2312"/>
          <w:color w:val="000000"/>
          <w:sz w:val="32"/>
          <w:szCs w:val="32"/>
        </w:rPr>
        <w:t>符</w:t>
      </w:r>
      <w:r>
        <w:rPr>
          <w:rFonts w:eastAsia="仿宋_GB2312"/>
          <w:color w:val="000000"/>
          <w:spacing w:val="-2"/>
          <w:sz w:val="32"/>
          <w:szCs w:val="32"/>
        </w:rPr>
        <w:t>合一级响应条件时，指挥长向市应急救援总指挥部总指挥报告，建议总指挥启动一级响应，进一步加强现场指挥部力量，在做好二级响应重点工作基础上，认真落实党中央国务院领导同志批示指示精神和应急部、国家工作组指导意见。</w:t>
      </w:r>
    </w:p>
    <w:p>
      <w:pPr>
        <w:spacing w:line="580" w:lineRule="exact"/>
        <w:ind w:firstLine="640" w:firstLineChars="200"/>
        <w:rPr>
          <w:rFonts w:eastAsia="仿宋_GB2312"/>
          <w:b/>
          <w:color w:val="000000"/>
          <w:sz w:val="32"/>
          <w:szCs w:val="32"/>
        </w:rPr>
      </w:pPr>
      <w:r>
        <w:rPr>
          <w:rFonts w:eastAsia="仿宋_GB2312"/>
          <w:bCs/>
          <w:color w:val="000000"/>
          <w:kern w:val="0"/>
          <w:sz w:val="32"/>
          <w:szCs w:val="32"/>
          <w:shd w:val="clear" w:color="auto" w:fill="FFFFFF"/>
        </w:rPr>
        <w:t xml:space="preserve">5.3.4 </w:t>
      </w:r>
      <w:r>
        <w:rPr>
          <w:rFonts w:eastAsia="仿宋_GB2312"/>
          <w:b/>
          <w:bCs/>
          <w:color w:val="000000"/>
          <w:kern w:val="0"/>
          <w:sz w:val="32"/>
          <w:szCs w:val="32"/>
          <w:shd w:val="clear" w:color="auto" w:fill="FFFFFF"/>
        </w:rPr>
        <w:t>响应调整</w:t>
      </w:r>
      <w:r>
        <w:rPr>
          <w:rFonts w:eastAsia="仿宋_GB2312"/>
          <w:b/>
          <w:color w:val="000000"/>
          <w:sz w:val="32"/>
          <w:szCs w:val="32"/>
        </w:rPr>
        <w:t xml:space="preserve"> </w:t>
      </w:r>
    </w:p>
    <w:p>
      <w:pPr>
        <w:spacing w:line="580" w:lineRule="exact"/>
        <w:ind w:firstLine="640" w:firstLineChars="200"/>
        <w:rPr>
          <w:rFonts w:eastAsia="仿宋_GB2312"/>
          <w:color w:val="000000"/>
          <w:sz w:val="32"/>
          <w:szCs w:val="32"/>
        </w:rPr>
      </w:pPr>
      <w:r>
        <w:rPr>
          <w:rFonts w:eastAsia="仿宋_GB2312"/>
          <w:color w:val="000000"/>
          <w:sz w:val="32"/>
          <w:szCs w:val="32"/>
        </w:rPr>
        <w:t>市指挥部或市指挥部办公室依据事故灾害发展态势，结合救援实际调整响应级别。</w:t>
      </w:r>
    </w:p>
    <w:p>
      <w:pPr>
        <w:spacing w:line="580" w:lineRule="exact"/>
        <w:ind w:firstLine="640" w:firstLineChars="200"/>
        <w:rPr>
          <w:rFonts w:eastAsia="仿宋_GB2312"/>
          <w:b/>
          <w:bCs/>
          <w:color w:val="000000"/>
          <w:kern w:val="0"/>
          <w:sz w:val="32"/>
          <w:szCs w:val="32"/>
          <w:shd w:val="clear" w:color="auto" w:fill="FFFFFF"/>
        </w:rPr>
      </w:pPr>
      <w:r>
        <w:rPr>
          <w:rFonts w:eastAsia="仿宋_GB2312"/>
          <w:bCs/>
          <w:color w:val="000000"/>
          <w:kern w:val="0"/>
          <w:sz w:val="32"/>
          <w:szCs w:val="32"/>
          <w:shd w:val="clear" w:color="auto" w:fill="FFFFFF"/>
        </w:rPr>
        <w:t xml:space="preserve">5.3.5 </w:t>
      </w:r>
      <w:r>
        <w:rPr>
          <w:rFonts w:eastAsia="仿宋_GB2312"/>
          <w:b/>
          <w:bCs/>
          <w:color w:val="000000"/>
          <w:kern w:val="0"/>
          <w:sz w:val="32"/>
          <w:szCs w:val="32"/>
          <w:shd w:val="clear" w:color="auto" w:fill="FFFFFF"/>
        </w:rPr>
        <w:t>响应结束</w:t>
      </w:r>
    </w:p>
    <w:p>
      <w:pPr>
        <w:spacing w:line="580" w:lineRule="exact"/>
        <w:ind w:firstLine="664" w:firstLineChars="200"/>
        <w:rPr>
          <w:rFonts w:eastAsia="仿宋_GB2312"/>
          <w:color w:val="000000"/>
          <w:spacing w:val="6"/>
          <w:sz w:val="32"/>
          <w:szCs w:val="32"/>
        </w:rPr>
      </w:pPr>
      <w:r>
        <w:rPr>
          <w:rFonts w:eastAsia="仿宋_GB2312"/>
          <w:color w:val="000000"/>
          <w:spacing w:val="6"/>
          <w:sz w:val="32"/>
          <w:szCs w:val="32"/>
        </w:rPr>
        <w:t>遇险遇难人员全部救出，导致次生、衍生事故的威胁和危害得到控制或者消除后，一级、二级响应由市现场指挥部指挥长宣布响应结束，三级响应由市指挥部办公室主任决定响应结束。</w:t>
      </w:r>
    </w:p>
    <w:p>
      <w:pPr>
        <w:pStyle w:val="2"/>
        <w:spacing w:before="0" w:after="0" w:line="560" w:lineRule="exact"/>
        <w:rPr>
          <w:rFonts w:eastAsia="黑体"/>
          <w:sz w:val="32"/>
          <w:szCs w:val="32"/>
        </w:rPr>
      </w:pPr>
      <w:r>
        <w:rPr>
          <w:rFonts w:eastAsia="黑体"/>
          <w:b w:val="0"/>
          <w:bCs w:val="0"/>
          <w:sz w:val="32"/>
          <w:szCs w:val="32"/>
        </w:rPr>
        <w:t xml:space="preserve">    6  应急保障</w:t>
      </w:r>
    </w:p>
    <w:p>
      <w:pPr>
        <w:pStyle w:val="3"/>
        <w:spacing w:before="0" w:after="0" w:line="560" w:lineRule="exact"/>
        <w:ind w:firstLine="643"/>
        <w:rPr>
          <w:rFonts w:ascii="Times New Roman" w:hAnsi="Times New Roman" w:eastAsia="楷体_GB2312"/>
          <w:b w:val="0"/>
          <w:bCs w:val="0"/>
          <w:color w:val="000000"/>
          <w:kern w:val="0"/>
          <w:shd w:val="clear" w:color="auto" w:fill="FFFFFF"/>
        </w:rPr>
      </w:pPr>
      <w:r>
        <w:rPr>
          <w:rFonts w:ascii="Times New Roman" w:hAnsi="Times New Roman"/>
          <w:b w:val="0"/>
          <w:bCs w:val="0"/>
          <w:color w:val="000000"/>
          <w:kern w:val="0"/>
          <w:shd w:val="clear" w:color="auto" w:fill="FFFFFF"/>
        </w:rPr>
        <w:t xml:space="preserve">6.1 </w:t>
      </w:r>
      <w:r>
        <w:rPr>
          <w:rFonts w:ascii="Times New Roman" w:hAnsi="Times New Roman" w:eastAsia="楷体_GB2312"/>
          <w:b w:val="0"/>
          <w:bCs w:val="0"/>
          <w:color w:val="000000"/>
          <w:kern w:val="0"/>
          <w:shd w:val="clear" w:color="auto" w:fill="FFFFFF"/>
        </w:rPr>
        <w:t>救援力量</w:t>
      </w:r>
    </w:p>
    <w:p>
      <w:pPr>
        <w:spacing w:line="560" w:lineRule="exact"/>
        <w:ind w:firstLine="640" w:firstLineChars="200"/>
        <w:rPr>
          <w:rFonts w:eastAsia="仿宋_GB2312"/>
          <w:color w:val="000000"/>
          <w:sz w:val="32"/>
          <w:szCs w:val="32"/>
        </w:rPr>
      </w:pPr>
      <w:r>
        <w:rPr>
          <w:rFonts w:eastAsia="仿宋_GB2312"/>
          <w:color w:val="000000"/>
          <w:sz w:val="32"/>
          <w:szCs w:val="32"/>
        </w:rPr>
        <w:t>尾矿库生产安全事故应急救援力量主要有综合性消防救援队伍、专业救护队伍、社会救援力量和各级企事业单位人员。</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b w:val="0"/>
          <w:bCs w:val="0"/>
          <w:color w:val="000000"/>
          <w:kern w:val="0"/>
          <w:shd w:val="clear" w:color="auto" w:fill="FFFFFF"/>
        </w:rPr>
        <w:t xml:space="preserve">6.2 </w:t>
      </w:r>
      <w:r>
        <w:rPr>
          <w:rFonts w:ascii="Times New Roman" w:hAnsi="Times New Roman" w:eastAsia="楷体_GB2312"/>
          <w:b w:val="0"/>
          <w:bCs w:val="0"/>
          <w:color w:val="000000"/>
          <w:kern w:val="0"/>
          <w:shd w:val="clear" w:color="auto" w:fill="FFFFFF"/>
        </w:rPr>
        <w:t>资金保障</w:t>
      </w:r>
    </w:p>
    <w:p>
      <w:pPr>
        <w:spacing w:line="560" w:lineRule="exact"/>
        <w:ind w:firstLine="640" w:firstLineChars="200"/>
        <w:rPr>
          <w:rFonts w:eastAsia="仿宋_GB2312"/>
          <w:color w:val="000000"/>
          <w:sz w:val="32"/>
          <w:szCs w:val="32"/>
        </w:rPr>
      </w:pPr>
      <w:r>
        <w:rPr>
          <w:rFonts w:eastAsia="仿宋_GB2312"/>
          <w:color w:val="000000"/>
          <w:sz w:val="32"/>
          <w:szCs w:val="32"/>
        </w:rPr>
        <w:t>企业应当做好事故应急救援的资金准备。事故发生后，事发企业及时落实各类应急费用，事发地政府负责统筹协调，并督促及时支付所需费用。</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b w:val="0"/>
          <w:bCs w:val="0"/>
          <w:color w:val="000000"/>
          <w:kern w:val="0"/>
          <w:shd w:val="clear" w:color="auto" w:fill="FFFFFF"/>
        </w:rPr>
        <w:t xml:space="preserve">6.3 </w:t>
      </w:r>
      <w:r>
        <w:rPr>
          <w:rFonts w:ascii="Times New Roman" w:hAnsi="Times New Roman" w:eastAsia="楷体_GB2312"/>
          <w:b w:val="0"/>
          <w:bCs w:val="0"/>
          <w:color w:val="000000"/>
          <w:kern w:val="0"/>
          <w:shd w:val="clear" w:color="auto" w:fill="FFFFFF"/>
        </w:rPr>
        <w:t>其他保障</w:t>
      </w:r>
    </w:p>
    <w:p>
      <w:pPr>
        <w:spacing w:line="560" w:lineRule="exact"/>
        <w:ind w:firstLine="640" w:firstLineChars="200"/>
        <w:rPr>
          <w:rFonts w:eastAsia="仿宋_GB2312"/>
          <w:color w:val="000000"/>
          <w:sz w:val="32"/>
          <w:szCs w:val="32"/>
        </w:rPr>
      </w:pPr>
      <w:r>
        <w:rPr>
          <w:rFonts w:eastAsia="仿宋_GB2312"/>
          <w:color w:val="000000"/>
          <w:sz w:val="32"/>
          <w:szCs w:val="32"/>
        </w:rPr>
        <w:t>事发地政府对应急保障工作总负责，统筹协调，全力保证应急处置工作需要。政府有关部门要按照现场指挥部指令或应急处置需要，在各自职责范围内做好相关应急保障工作。</w:t>
      </w:r>
    </w:p>
    <w:p>
      <w:pPr>
        <w:pStyle w:val="2"/>
        <w:spacing w:before="0" w:after="0" w:line="560" w:lineRule="exact"/>
        <w:rPr>
          <w:rFonts w:eastAsia="黑体"/>
          <w:sz w:val="32"/>
          <w:szCs w:val="32"/>
        </w:rPr>
      </w:pPr>
      <w:r>
        <w:rPr>
          <w:rFonts w:eastAsia="黑体"/>
          <w:b w:val="0"/>
          <w:bCs w:val="0"/>
          <w:sz w:val="32"/>
          <w:szCs w:val="32"/>
        </w:rPr>
        <w:t xml:space="preserve">    7  后期处置</w:t>
      </w:r>
    </w:p>
    <w:p>
      <w:pPr>
        <w:pStyle w:val="3"/>
        <w:spacing w:before="0" w:after="0" w:line="560" w:lineRule="exact"/>
        <w:ind w:firstLine="643"/>
        <w:rPr>
          <w:rFonts w:ascii="Times New Roman" w:hAnsi="Times New Roman" w:eastAsia="楷体_GB2312"/>
          <w:b w:val="0"/>
          <w:bCs w:val="0"/>
          <w:color w:val="000000"/>
          <w:kern w:val="0"/>
          <w:shd w:val="clear" w:color="auto" w:fill="FFFFFF"/>
        </w:rPr>
      </w:pPr>
      <w:r>
        <w:rPr>
          <w:rFonts w:ascii="Times New Roman" w:hAnsi="Times New Roman"/>
          <w:b w:val="0"/>
          <w:bCs w:val="0"/>
          <w:color w:val="000000"/>
          <w:kern w:val="0"/>
          <w:shd w:val="clear" w:color="auto" w:fill="FFFFFF"/>
        </w:rPr>
        <w:t xml:space="preserve">7.1 </w:t>
      </w:r>
      <w:r>
        <w:rPr>
          <w:rFonts w:ascii="Times New Roman" w:hAnsi="Times New Roman" w:eastAsia="楷体_GB2312"/>
          <w:b w:val="0"/>
          <w:bCs w:val="0"/>
          <w:color w:val="000000"/>
          <w:kern w:val="0"/>
          <w:shd w:val="clear" w:color="auto" w:fill="FFFFFF"/>
        </w:rPr>
        <w:t>善后处置</w:t>
      </w:r>
    </w:p>
    <w:p>
      <w:pPr>
        <w:spacing w:line="560" w:lineRule="exact"/>
        <w:ind w:firstLine="640" w:firstLineChars="200"/>
        <w:rPr>
          <w:rFonts w:eastAsia="仿宋_GB2312"/>
          <w:color w:val="000000"/>
          <w:sz w:val="32"/>
          <w:szCs w:val="32"/>
        </w:rPr>
      </w:pPr>
      <w:r>
        <w:rPr>
          <w:rFonts w:eastAsia="仿宋_GB2312"/>
          <w:color w:val="000000"/>
          <w:sz w:val="32"/>
          <w:szCs w:val="32"/>
        </w:rPr>
        <w:t>善后处置工作由事发地政府负责组织，包括受害及受影响人员妥善安置、慰问、后续医疗救治、赔（补）偿，征用物资和救援费用补偿，灾后恢复和重建，污染物收集、清理与处理等事项，尽快消除事故影响，恢复正常秩序，确保社会稳定。</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b w:val="0"/>
          <w:bCs w:val="0"/>
          <w:color w:val="000000"/>
          <w:kern w:val="0"/>
          <w:shd w:val="clear" w:color="auto" w:fill="FFFFFF"/>
        </w:rPr>
        <w:t xml:space="preserve">7.2 </w:t>
      </w:r>
      <w:r>
        <w:rPr>
          <w:rFonts w:ascii="Times New Roman" w:hAnsi="Times New Roman" w:eastAsia="楷体_GB2312"/>
          <w:b w:val="0"/>
          <w:bCs w:val="0"/>
          <w:color w:val="000000"/>
          <w:kern w:val="0"/>
          <w:shd w:val="clear" w:color="auto" w:fill="FFFFFF"/>
        </w:rPr>
        <w:t>调查评估</w:t>
      </w:r>
    </w:p>
    <w:p>
      <w:pPr>
        <w:spacing w:line="560" w:lineRule="exact"/>
        <w:ind w:firstLine="640" w:firstLineChars="200"/>
        <w:rPr>
          <w:rFonts w:eastAsia="仿宋_GB2312"/>
          <w:color w:val="000000"/>
          <w:sz w:val="32"/>
          <w:szCs w:val="32"/>
        </w:rPr>
      </w:pPr>
      <w:r>
        <w:rPr>
          <w:rFonts w:eastAsia="仿宋_GB2312"/>
          <w:color w:val="000000"/>
          <w:sz w:val="32"/>
          <w:szCs w:val="32"/>
        </w:rPr>
        <w:t>按照事故等级和有关规定，各级政府相应成立事故调查组，及时对事故发生经过、原因、类别、性质、人员伤亡情况及直接经济损失、教训、责任进行调查，提出防范措施。</w:t>
      </w:r>
    </w:p>
    <w:p>
      <w:pPr>
        <w:spacing w:line="560" w:lineRule="exact"/>
        <w:ind w:firstLine="640" w:firstLineChars="200"/>
        <w:rPr>
          <w:rFonts w:eastAsia="仿宋_GB2312"/>
          <w:color w:val="000000"/>
          <w:sz w:val="32"/>
          <w:szCs w:val="32"/>
        </w:rPr>
      </w:pPr>
      <w:r>
        <w:rPr>
          <w:rFonts w:eastAsia="仿宋_GB2312"/>
          <w:color w:val="000000"/>
          <w:sz w:val="32"/>
          <w:szCs w:val="32"/>
        </w:rPr>
        <w:t>各级指挥部办公室及时总结和分析事故发生、应急处置情况和应吸取的经验教训，提出改进措施。</w:t>
      </w:r>
    </w:p>
    <w:p>
      <w:pPr>
        <w:pStyle w:val="2"/>
        <w:spacing w:before="0" w:after="0" w:line="560" w:lineRule="exact"/>
        <w:rPr>
          <w:rFonts w:eastAsia="黑体"/>
          <w:sz w:val="32"/>
          <w:szCs w:val="32"/>
        </w:rPr>
      </w:pPr>
      <w:r>
        <w:rPr>
          <w:rFonts w:eastAsia="黑体"/>
          <w:b w:val="0"/>
          <w:bCs w:val="0"/>
          <w:sz w:val="32"/>
          <w:szCs w:val="32"/>
        </w:rPr>
        <w:t xml:space="preserve">    8  附则</w:t>
      </w:r>
    </w:p>
    <w:p>
      <w:pPr>
        <w:pStyle w:val="3"/>
        <w:spacing w:before="0" w:after="0" w:line="560" w:lineRule="exact"/>
        <w:ind w:firstLine="643"/>
        <w:rPr>
          <w:rFonts w:ascii="Times New Roman" w:hAnsi="Times New Roman" w:eastAsia="楷体_GB2312"/>
          <w:b w:val="0"/>
          <w:bCs w:val="0"/>
          <w:color w:val="000000"/>
          <w:kern w:val="0"/>
          <w:shd w:val="clear" w:color="auto" w:fill="FFFFFF"/>
        </w:rPr>
      </w:pPr>
      <w:r>
        <w:rPr>
          <w:rFonts w:ascii="Times New Roman" w:hAnsi="Times New Roman"/>
          <w:b w:val="0"/>
          <w:bCs w:val="0"/>
          <w:color w:val="000000"/>
          <w:kern w:val="0"/>
          <w:shd w:val="clear" w:color="auto" w:fill="FFFFFF"/>
        </w:rPr>
        <w:t xml:space="preserve">8.1 </w:t>
      </w:r>
      <w:r>
        <w:rPr>
          <w:rFonts w:ascii="Times New Roman" w:hAnsi="Times New Roman" w:eastAsia="楷体_GB2312"/>
          <w:b w:val="0"/>
          <w:bCs w:val="0"/>
          <w:color w:val="000000"/>
          <w:kern w:val="0"/>
          <w:shd w:val="clear" w:color="auto" w:fill="FFFFFF"/>
        </w:rPr>
        <w:t>宣传、培训和演练</w:t>
      </w:r>
    </w:p>
    <w:p>
      <w:pPr>
        <w:spacing w:line="560" w:lineRule="exact"/>
        <w:ind w:firstLine="640" w:firstLineChars="200"/>
        <w:rPr>
          <w:rFonts w:eastAsia="仿宋_GB2312"/>
          <w:color w:val="000000"/>
          <w:sz w:val="32"/>
          <w:szCs w:val="32"/>
        </w:rPr>
      </w:pPr>
      <w:r>
        <w:rPr>
          <w:rFonts w:eastAsia="仿宋_GB2312"/>
          <w:color w:val="000000"/>
          <w:sz w:val="32"/>
          <w:szCs w:val="32"/>
        </w:rPr>
        <w:t>市指挥部办公室应采取多种形式开展应急预案宣传，并会同有关部门定期组织应急预案培训和演练。同时，定期组织对应急预案进行评估，符合修订情形的应及时组织修订。</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b w:val="0"/>
          <w:bCs w:val="0"/>
          <w:color w:val="000000"/>
          <w:kern w:val="0"/>
          <w:shd w:val="clear" w:color="auto" w:fill="FFFFFF"/>
        </w:rPr>
        <w:t xml:space="preserve">8.2 </w:t>
      </w:r>
      <w:r>
        <w:rPr>
          <w:rFonts w:ascii="Times New Roman" w:hAnsi="Times New Roman" w:eastAsia="楷体_GB2312"/>
          <w:b w:val="0"/>
          <w:bCs w:val="0"/>
          <w:color w:val="000000"/>
          <w:kern w:val="0"/>
          <w:shd w:val="clear" w:color="auto" w:fill="FFFFFF"/>
        </w:rPr>
        <w:t>预案实施时间</w:t>
      </w:r>
    </w:p>
    <w:p>
      <w:pPr>
        <w:spacing w:line="560" w:lineRule="exact"/>
        <w:ind w:firstLine="640" w:firstLineChars="200"/>
        <w:rPr>
          <w:rFonts w:eastAsia="仿宋_GB2312"/>
          <w:color w:val="000000"/>
          <w:sz w:val="32"/>
          <w:szCs w:val="32"/>
        </w:rPr>
      </w:pPr>
      <w:r>
        <w:rPr>
          <w:rFonts w:eastAsia="仿宋_GB2312"/>
          <w:color w:val="000000"/>
          <w:sz w:val="32"/>
          <w:szCs w:val="32"/>
        </w:rPr>
        <w:t>本预案自印发之日起施行。</w:t>
      </w:r>
    </w:p>
    <w:p>
      <w:pPr>
        <w:pStyle w:val="3"/>
        <w:spacing w:before="0" w:after="0" w:line="560" w:lineRule="exact"/>
        <w:ind w:firstLine="643"/>
        <w:rPr>
          <w:rFonts w:ascii="Times New Roman" w:hAnsi="Times New Roman" w:eastAsia="楷体_GB2312"/>
          <w:color w:val="000000"/>
          <w:kern w:val="0"/>
          <w:shd w:val="clear" w:color="auto" w:fill="FFFFFF"/>
        </w:rPr>
      </w:pPr>
      <w:r>
        <w:rPr>
          <w:rFonts w:ascii="Times New Roman" w:hAnsi="Times New Roman"/>
          <w:b w:val="0"/>
          <w:bCs w:val="0"/>
          <w:color w:val="000000"/>
          <w:kern w:val="0"/>
          <w:shd w:val="clear" w:color="auto" w:fill="FFFFFF"/>
        </w:rPr>
        <w:t xml:space="preserve">8.3 </w:t>
      </w:r>
      <w:r>
        <w:rPr>
          <w:rFonts w:ascii="Times New Roman" w:hAnsi="Times New Roman" w:eastAsia="楷体_GB2312"/>
          <w:b w:val="0"/>
          <w:bCs w:val="0"/>
          <w:color w:val="000000"/>
          <w:kern w:val="0"/>
          <w:shd w:val="clear" w:color="auto" w:fill="FFFFFF"/>
        </w:rPr>
        <w:t>预案解释</w:t>
      </w:r>
    </w:p>
    <w:p>
      <w:pPr>
        <w:spacing w:line="560" w:lineRule="exact"/>
        <w:ind w:firstLine="640" w:firstLineChars="200"/>
        <w:rPr>
          <w:rFonts w:eastAsia="仿宋_GB2312"/>
          <w:sz w:val="32"/>
          <w:szCs w:val="32"/>
        </w:rPr>
      </w:pPr>
      <w:r>
        <w:rPr>
          <w:rFonts w:eastAsia="仿宋_GB2312"/>
          <w:sz w:val="32"/>
          <w:szCs w:val="32"/>
        </w:rPr>
        <w:t>本预案由市应急局负责解释。</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 </w:t>
      </w:r>
    </w:p>
    <w:p>
      <w:pPr>
        <w:spacing w:line="560" w:lineRule="exact"/>
        <w:ind w:firstLine="640" w:firstLineChars="200"/>
        <w:rPr>
          <w:rFonts w:eastAsia="仿宋_GB2312"/>
          <w:color w:val="000000"/>
          <w:sz w:val="32"/>
          <w:szCs w:val="32"/>
        </w:rPr>
      </w:pPr>
      <w:r>
        <w:rPr>
          <w:rFonts w:eastAsia="仿宋_GB2312"/>
          <w:color w:val="000000"/>
          <w:sz w:val="32"/>
          <w:szCs w:val="32"/>
        </w:rPr>
        <w:t>附件：1.忻州市尾矿库生产安全事故市级应急响应流程图</w:t>
      </w:r>
    </w:p>
    <w:p>
      <w:pPr>
        <w:spacing w:line="560" w:lineRule="exact"/>
        <w:ind w:firstLine="1600" w:firstLineChars="500"/>
        <w:rPr>
          <w:rFonts w:eastAsia="仿宋_GB2312"/>
          <w:color w:val="000000"/>
          <w:sz w:val="32"/>
          <w:szCs w:val="32"/>
        </w:rPr>
      </w:pPr>
      <w:r>
        <w:rPr>
          <w:rFonts w:eastAsia="仿宋_GB2312"/>
          <w:color w:val="000000"/>
          <w:sz w:val="32"/>
          <w:szCs w:val="32"/>
        </w:rPr>
        <w:t>2.忻州市尾矿库生产安全事故市级应急指挥机构及</w:t>
      </w:r>
    </w:p>
    <w:p>
      <w:pPr>
        <w:spacing w:line="560" w:lineRule="exact"/>
        <w:ind w:firstLine="1600" w:firstLineChars="500"/>
        <w:rPr>
          <w:rFonts w:eastAsia="仿宋_GB2312"/>
          <w:color w:val="000000"/>
          <w:sz w:val="32"/>
          <w:szCs w:val="32"/>
        </w:rPr>
      </w:pPr>
      <w:r>
        <w:rPr>
          <w:rFonts w:eastAsia="仿宋_GB2312"/>
          <w:color w:val="000000"/>
          <w:sz w:val="32"/>
          <w:szCs w:val="32"/>
        </w:rPr>
        <w:t>职责</w:t>
      </w:r>
    </w:p>
    <w:p>
      <w:pPr>
        <w:spacing w:line="560" w:lineRule="exact"/>
        <w:ind w:firstLine="1600" w:firstLineChars="500"/>
        <w:rPr>
          <w:rFonts w:eastAsia="仿宋_GB2312"/>
          <w:color w:val="000000"/>
          <w:sz w:val="32"/>
          <w:szCs w:val="32"/>
        </w:rPr>
      </w:pPr>
      <w:r>
        <w:rPr>
          <w:rFonts w:eastAsia="仿宋_GB2312"/>
          <w:color w:val="000000"/>
          <w:sz w:val="32"/>
          <w:szCs w:val="32"/>
        </w:rPr>
        <w:t>3.尾矿库生产安全事故分级</w:t>
      </w:r>
    </w:p>
    <w:p>
      <w:pPr>
        <w:spacing w:line="560" w:lineRule="exact"/>
        <w:ind w:firstLine="1600" w:firstLineChars="500"/>
        <w:rPr>
          <w:rFonts w:eastAsia="仿宋_GB2312"/>
          <w:color w:val="000000"/>
          <w:sz w:val="32"/>
          <w:szCs w:val="32"/>
        </w:rPr>
      </w:pPr>
      <w:r>
        <w:rPr>
          <w:rFonts w:eastAsia="仿宋_GB2312"/>
          <w:color w:val="000000"/>
          <w:sz w:val="32"/>
          <w:szCs w:val="32"/>
        </w:rPr>
        <w:t>4.忻州市尾矿库生产安全事故应急响应条件</w:t>
      </w:r>
    </w:p>
    <w:p>
      <w:pPr>
        <w:spacing w:line="580" w:lineRule="exact"/>
        <w:rPr>
          <w:rFonts w:hint="eastAsia" w:eastAsia="仿宋_GB2312"/>
          <w:sz w:val="32"/>
          <w:szCs w:val="32"/>
        </w:rPr>
      </w:pPr>
      <w:r>
        <w:br w:type="page"/>
      </w:r>
      <w:r>
        <w:rPr>
          <w:rFonts w:eastAsia="仿宋_GB2312"/>
          <w:sz w:val="32"/>
          <w:szCs w:val="32"/>
        </w:rPr>
        <w:t>附件1</w:t>
      </w:r>
      <w:r>
        <w:rPr>
          <w:rFonts w:hint="eastAsia" w:eastAsia="仿宋_GB2312"/>
          <w:sz w:val="32"/>
          <w:szCs w:val="32"/>
        </w:rPr>
        <w:t>：</w:t>
      </w:r>
    </w:p>
    <w:p>
      <w:pPr>
        <w:spacing w:line="200" w:lineRule="exact"/>
        <w:rPr>
          <w:rFonts w:hint="eastAsia" w:eastAsia="仿宋_GB2312"/>
          <w:sz w:val="32"/>
          <w:szCs w:val="32"/>
        </w:rPr>
      </w:pPr>
    </w:p>
    <w:p>
      <w:pPr>
        <w:spacing w:line="580" w:lineRule="exact"/>
        <w:jc w:val="center"/>
        <w:rPr>
          <w:rFonts w:hint="eastAsia" w:eastAsia="仿宋_GB2312"/>
          <w:sz w:val="32"/>
          <w:szCs w:val="32"/>
        </w:rPr>
      </w:pPr>
      <w:r>
        <w:rPr>
          <w:rFonts w:hint="eastAsia" w:ascii="方正大标宋简体" w:eastAsia="方正大标宋简体"/>
          <w:bCs/>
          <w:color w:val="000000"/>
          <w:sz w:val="44"/>
          <w:szCs w:val="44"/>
        </w:rPr>
        <w:t>忻州市尾矿库生产安全事故应急响应流程图</w:t>
      </w:r>
    </w:p>
    <w:p>
      <w:r>
        <w:pict>
          <v:group id="组合 73" o:spid="_x0000_s1768" o:spt="203" style="position:absolute;left:0pt;margin-left:2.85pt;margin-top:17.95pt;height:547.1pt;width:427.3pt;z-index:251663360;mso-width-relative:page;mso-height-relative:page;" coordorigin="4643,208708" coordsize="8546,10942">
            <o:lock v:ext="edit"/>
            <v:shape id="流程图: 可选过程 1109" o:spid="_x0000_s1769" o:spt="176" type="#_x0000_t176" style="position:absolute;left:7900;top:219182;height:468;width:2161;"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后期处置</w:t>
                    </w:r>
                  </w:p>
                </w:txbxContent>
              </v:textbox>
            </v:shape>
            <v:line id="直线 1124" o:spid="_x0000_s1770" o:spt="20" style="position:absolute;left:5380;top:218249;height:4;width:2551;" coordsize="21600,21600">
              <v:path arrowok="t"/>
              <v:fill focussize="0,0"/>
              <v:stroke endarrow="block"/>
              <v:imagedata o:title=""/>
              <o:lock v:ext="edit"/>
            </v:line>
            <v:shape id="流程图: 可选过程 1082" o:spid="_x0000_s1771" o:spt="176" type="#_x0000_t176" style="position:absolute;left:7945;top:208865;height:468;width:1981;"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事故发生</w:t>
                    </w:r>
                  </w:p>
                </w:txbxContent>
              </v:textbox>
            </v:shape>
            <v:shape id="上下箭头标注 1083" o:spid="_x0000_s1772" o:spt="82" type="#_x0000_t82" style="position:absolute;left:7930;top:209423;height:1482;width:1981;" coordsize="21600,21600" adj=",5401">
              <v:path/>
              <v:fill focussize="0,0"/>
              <v:stroke joinstyle="miter"/>
              <v:imagedata o:title=""/>
              <o:lock v:ext="edit"/>
              <v:textbox>
                <w:txbxContent>
                  <w:p>
                    <w:pPr>
                      <w:spacing w:line="500" w:lineRule="exact"/>
                      <w:jc w:val="center"/>
                      <w:rPr>
                        <w:rFonts w:ascii="仿宋_GB2312" w:eastAsia="仿宋_GB2312"/>
                        <w:bCs/>
                      </w:rPr>
                    </w:pPr>
                    <w:r>
                      <w:rPr>
                        <w:rFonts w:hint="eastAsia" w:ascii="仿宋_GB2312" w:eastAsia="仿宋_GB2312"/>
                        <w:bCs/>
                      </w:rPr>
                      <w:t>信息接收与处理</w:t>
                    </w:r>
                  </w:p>
                </w:txbxContent>
              </v:textbox>
            </v:shape>
            <v:shape id="流程图: 过程 1084" o:spid="_x0000_s1773" o:spt="109" type="#_x0000_t109" style="position:absolute;left:7720;top:210996;height:749;width:2521;"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指挥部办公室</w:t>
                    </w:r>
                  </w:p>
                  <w:p>
                    <w:pPr>
                      <w:spacing w:line="300" w:lineRule="exact"/>
                      <w:jc w:val="center"/>
                      <w:rPr>
                        <w:rFonts w:ascii="仿宋_GB2312" w:eastAsia="仿宋_GB2312"/>
                        <w:b/>
                      </w:rPr>
                    </w:pPr>
                    <w:r>
                      <w:rPr>
                        <w:rFonts w:hint="eastAsia" w:ascii="仿宋_GB2312" w:eastAsia="仿宋_GB2312"/>
                        <w:bCs/>
                      </w:rPr>
                      <w:t>分析研判</w:t>
                    </w:r>
                  </w:p>
                </w:txbxContent>
              </v:textbox>
            </v:shape>
            <v:shape id="流程图: 过程 1085" o:spid="_x0000_s1774" o:spt="109" type="#_x0000_t109" style="position:absolute;left:5215;top:211198;height:1215;width:1260;" coordsize="21600,21600">
              <v:path/>
              <v:fill focussize="0,0"/>
              <v:stroke joinstyle="miter"/>
              <v:imagedata o:title=""/>
              <o:lock v:ext="edit"/>
              <v:textbox>
                <w:txbxContent>
                  <w:p>
                    <w:pPr>
                      <w:spacing w:line="700" w:lineRule="exact"/>
                      <w:rPr>
                        <w:rFonts w:ascii="仿宋_GB2312" w:eastAsia="仿宋_GB2312"/>
                        <w:bCs/>
                      </w:rPr>
                    </w:pPr>
                    <w:r>
                      <w:rPr>
                        <w:rFonts w:hint="eastAsia" w:ascii="仿宋_GB2312" w:eastAsia="仿宋_GB2312"/>
                        <w:bCs/>
                      </w:rPr>
                      <w:t>三级响应</w:t>
                    </w:r>
                  </w:p>
                </w:txbxContent>
              </v:textbox>
            </v:shape>
            <v:shape id="直接连接符 1086" o:spid="_x0000_s1775" o:spt="32" type="#_x0000_t32" style="position:absolute;left:6497;top:211370;flip:x;height:0;width:1223;" filled="f" coordsize="21600,21600">
              <v:path arrowok="t"/>
              <v:fill on="f" focussize="0,0"/>
              <v:stroke endarrow="block"/>
              <v:imagedata o:title=""/>
              <o:lock v:ext="edit"/>
            </v:shape>
            <v:shape id="流程图: 可选过程 1095" o:spid="_x0000_s1776" o:spt="176" type="#_x0000_t176" style="position:absolute;left:5035;top:212855;height:624;width:1636;" coordsize="21600,21600">
              <v:path/>
              <v:fill focussize="0,0"/>
              <v:stroke joinstyle="miter"/>
              <v:imagedata o:title=""/>
              <o:lock v:ext="edit"/>
              <v:textbox>
                <w:txbxContent>
                  <w:p>
                    <w:pPr>
                      <w:spacing w:line="400" w:lineRule="exact"/>
                      <w:jc w:val="center"/>
                      <w:rPr>
                        <w:rFonts w:ascii="仿宋_GB2312" w:eastAsia="仿宋_GB2312"/>
                        <w:bCs/>
                      </w:rPr>
                    </w:pPr>
                    <w:r>
                      <w:rPr>
                        <w:rFonts w:hint="eastAsia" w:ascii="仿宋_GB2312" w:eastAsia="仿宋_GB2312"/>
                        <w:bCs/>
                      </w:rPr>
                      <w:t>采取响应措施</w:t>
                    </w:r>
                  </w:p>
                </w:txbxContent>
              </v:textbox>
            </v:shape>
            <v:shape id="流程图: 可选过程 1096" o:spid="_x0000_s1777" o:spt="176" type="#_x0000_t176" style="position:absolute;left:10931;top:211788;height:594;width:2160;" coordsize="21600,21600">
              <v:path/>
              <v:fill focussize="0,0"/>
              <v:stroke joinstyle="miter"/>
              <v:imagedata o:title=""/>
              <o:lock v:ext="edit"/>
              <v:textbox>
                <w:txbxContent>
                  <w:p>
                    <w:pPr>
                      <w:spacing w:line="400" w:lineRule="exact"/>
                      <w:jc w:val="center"/>
                      <w:rPr>
                        <w:rFonts w:ascii="仿宋_GB2312" w:eastAsia="仿宋_GB2312"/>
                        <w:bCs/>
                      </w:rPr>
                    </w:pPr>
                    <w:r>
                      <w:rPr>
                        <w:rFonts w:hint="eastAsia" w:ascii="仿宋_GB2312" w:eastAsia="仿宋_GB2312"/>
                        <w:bCs/>
                      </w:rPr>
                      <w:t>指挥部领导和专家</w:t>
                    </w:r>
                  </w:p>
                  <w:p>
                    <w:pPr>
                      <w:jc w:val="center"/>
                      <w:rPr>
                        <w:rFonts w:ascii="仿宋_GB2312" w:eastAsia="仿宋_GB2312"/>
                        <w:bCs/>
                      </w:rPr>
                    </w:pPr>
                    <w:r>
                      <w:rPr>
                        <w:rFonts w:hint="eastAsia" w:ascii="仿宋_GB2312" w:eastAsia="仿宋_GB2312"/>
                        <w:bCs/>
                      </w:rPr>
                      <w:t>赶赴现场</w:t>
                    </w:r>
                  </w:p>
                  <w:p/>
                </w:txbxContent>
              </v:textbox>
            </v:shape>
            <v:shape id="流程图: 可选过程 1097" o:spid="_x0000_s1778" o:spt="176" type="#_x0000_t176" style="position:absolute;left:10931;top:212575;height:533;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救援力量赶赴现场</w:t>
                    </w:r>
                  </w:p>
                </w:txbxContent>
              </v:textbox>
            </v:shape>
            <v:shape id="肘形连接符 1098" o:spid="_x0000_s1779" o:spt="34" type="#_x0000_t34" style="position:absolute;left:10931;top:212080;flip:x y;height:779;width:1;rotation:11796480f;" filled="f" coordsize="21600,21600" adj="-7776000">
              <v:path arrowok="t"/>
              <v:fill on="f" focussize="0,0"/>
              <v:stroke joinstyle="miter"/>
              <v:imagedata o:title=""/>
              <o:lock v:ext="edit"/>
            </v:shape>
            <v:line id="直线 1106" o:spid="_x0000_s1780" o:spt="20" style="position:absolute;left:10076;top:214293;height:1;width:540;" coordsize="21600,21600">
              <v:path arrowok="t"/>
              <v:fill focussize="0,0"/>
              <v:stroke endarrow="block"/>
              <v:imagedata o:title=""/>
              <o:lock v:ext="edit"/>
            </v:line>
            <v:shape id="流程图: 可选过程 1107" o:spid="_x0000_s1781" o:spt="176" type="#_x0000_t176" style="position:absolute;left:7960;top:216377;height:797;width:2161;"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抢救结束</w:t>
                    </w:r>
                  </w:p>
                  <w:p>
                    <w:pPr>
                      <w:spacing w:line="300" w:lineRule="exact"/>
                      <w:jc w:val="center"/>
                      <w:rPr>
                        <w:bCs/>
                      </w:rPr>
                    </w:pPr>
                    <w:r>
                      <w:rPr>
                        <w:rFonts w:hint="eastAsia" w:ascii="仿宋_GB2312" w:eastAsia="仿宋_GB2312"/>
                        <w:bCs/>
                        <w:snapToGrid w:val="0"/>
                      </w:rPr>
                      <w:t>符合响应</w:t>
                    </w:r>
                    <w:r>
                      <w:rPr>
                        <w:rFonts w:hint="eastAsia" w:ascii="仿宋_GB2312" w:eastAsia="仿宋_GB2312"/>
                        <w:bCs/>
                      </w:rPr>
                      <w:t>结束条件</w:t>
                    </w:r>
                  </w:p>
                </w:txbxContent>
              </v:textbox>
            </v:shape>
            <v:line id="直线 1108" o:spid="_x0000_s1782" o:spt="20" style="position:absolute;left:8980;top:217160;height:878;width:1;" coordsize="21600,21600">
              <v:path arrowok="t"/>
              <v:fill focussize="0,0"/>
              <v:stroke endarrow="block"/>
              <v:imagedata o:title=""/>
              <o:lock v:ext="edit"/>
            </v:line>
            <v:line id="直线 1110" o:spid="_x0000_s1783" o:spt="20" style="position:absolute;left:8971;top:214514;flip:x;height:400;width:9;" coordsize="21600,21600">
              <v:path arrowok="t"/>
              <v:fill focussize="0,0"/>
              <v:stroke endarrow="block"/>
              <v:imagedata o:title=""/>
              <o:lock v:ext="edit"/>
            </v:line>
            <v:shape id="直接连接符 1118" o:spid="_x0000_s1784" o:spt="32" type="#_x0000_t32" style="position:absolute;left:8980;top:211745;height:375;width:15;" filled="f" coordsize="21600,21600">
              <v:path arrowok="t"/>
              <v:fill on="f" focussize="0,0"/>
              <v:stroke endarrow="block"/>
              <v:imagedata o:title=""/>
              <o:lock v:ext="edit"/>
            </v:shape>
            <v:line id="直线 1111" o:spid="_x0000_s1785" o:spt="20" style="position:absolute;left:9972;top:212700;height:9;width:600;" coordsize="21600,21600">
              <v:path arrowok="t"/>
              <v:fill focussize="0,0"/>
              <v:stroke endarrow="block"/>
              <v:imagedata o:title=""/>
              <o:lock v:ext="edit"/>
            </v:line>
            <v:group id="组合 1058" o:spid="_x0000_s1786" o:spt="203" style="position:absolute;left:8351;top:212119;height:1564;width:1276;" coordorigin="3657,3186" coordsize="1276,1564">
              <o:lock v:ext="edit"/>
              <v:shape id="肘形连接符 1113" o:spid="_x0000_s1787" o:spt="34" type="#_x0000_t34" style="position:absolute;left:3686;top:3525;flip:x y;height:935;width:1;rotation:11796480f;" filled="f" coordsize="21600,21600" adj="-7776000">
                <v:path arrowok="t"/>
                <v:fill on="f" focussize="0,0"/>
                <v:stroke joinstyle="miter"/>
                <v:imagedata o:title=""/>
                <o:lock v:ext="edit"/>
              </v:shape>
              <v:shape id="肘形连接符 1114" o:spid="_x0000_s1788" o:spt="34" type="#_x0000_t34" style="position:absolute;left:4932;top:3510;height:935;width:1;" filled="f" coordsize="21600,21600" adj="7776000">
                <v:path arrowok="t"/>
                <v:fill on="f" focussize="0,0"/>
                <v:stroke joinstyle="miter"/>
                <v:imagedata o:title=""/>
                <o:lock v:ext="edit"/>
              </v:shape>
              <v:shape id="流程图: 过程 1115" o:spid="_x0000_s1789" o:spt="109" type="#_x0000_t109" style="position:absolute;left:3657;top:3186;height:549;width:1261;" coordsize="21600,21600">
                <v:path/>
                <v:fill focussize="0,0"/>
                <v:stroke joinstyle="miter"/>
                <v:imagedata o:title=""/>
                <o:lock v:ext="edit"/>
                <v:textbox>
                  <w:txbxContent>
                    <w:p>
                      <w:pPr>
                        <w:spacing w:line="300" w:lineRule="exact"/>
                        <w:rPr>
                          <w:rFonts w:ascii="仿宋_GB2312" w:eastAsia="仿宋_GB2312"/>
                          <w:bCs/>
                        </w:rPr>
                      </w:pPr>
                      <w:r>
                        <w:rPr>
                          <w:rFonts w:hint="eastAsia" w:ascii="仿宋_GB2312" w:eastAsia="仿宋_GB2312"/>
                          <w:bCs/>
                        </w:rPr>
                        <w:t>二级响应</w:t>
                      </w:r>
                    </w:p>
                  </w:txbxContent>
                </v:textbox>
              </v:shape>
              <v:shape id="流程图: 过程 1116" o:spid="_x0000_s1790" o:spt="109" type="#_x0000_t109" style="position:absolute;left:3657;top:4216;height:534;width:1261;" coordsize="21600,21600">
                <v:path/>
                <v:fill focussize="0,0"/>
                <v:stroke joinstyle="miter"/>
                <v:imagedata o:title=""/>
                <o:lock v:ext="edit"/>
                <v:textbox>
                  <w:txbxContent>
                    <w:p>
                      <w:pPr>
                        <w:spacing w:line="300" w:lineRule="exact"/>
                        <w:rPr>
                          <w:rFonts w:ascii="仿宋_GB2312" w:eastAsia="仿宋_GB2312"/>
                          <w:bCs/>
                        </w:rPr>
                      </w:pPr>
                      <w:r>
                        <w:rPr>
                          <w:rFonts w:hint="eastAsia" w:ascii="仿宋_GB2312" w:eastAsia="仿宋_GB2312"/>
                          <w:bCs/>
                        </w:rPr>
                        <w:t>一级响应</w:t>
                      </w:r>
                    </w:p>
                  </w:txbxContent>
                </v:textbox>
              </v:shape>
              <v:shape id="上下箭头 1117" o:spid="_x0000_s1791" o:spt="70" type="#_x0000_t70" style="position:absolute;left:4122;top:3756;height:459;width:377;" coordsize="21600,21600" adj=",3537">
                <v:path/>
                <v:fill focussize="0,0"/>
                <v:stroke joinstyle="miter"/>
                <v:imagedata o:title=""/>
                <o:lock v:ext="edit"/>
                <v:textbox style="layout-flow:vertical-ideographic;"/>
              </v:shape>
            </v:group>
            <v:shape id="流程图: 可选过程 1119" o:spid="_x0000_s1792" o:spt="176" type="#_x0000_t176" style="position:absolute;left:7916;top:213965;height:620;width:2161;" coordsize="21600,21600">
              <v:path/>
              <v:fill focussize="0,0"/>
              <v:stroke joinstyle="miter"/>
              <v:imagedata o:title=""/>
              <o:lock v:ext="edit"/>
              <v:textbox>
                <w:txbxContent>
                  <w:p>
                    <w:pPr>
                      <w:spacing w:line="400" w:lineRule="exact"/>
                      <w:jc w:val="center"/>
                      <w:rPr>
                        <w:rFonts w:ascii="仿宋_GB2312" w:eastAsia="仿宋_GB2312"/>
                        <w:bCs/>
                      </w:rPr>
                    </w:pPr>
                    <w:r>
                      <w:rPr>
                        <w:rFonts w:hint="eastAsia" w:ascii="仿宋_GB2312" w:eastAsia="仿宋_GB2312"/>
                        <w:bCs/>
                      </w:rPr>
                      <w:t>现场指挥部</w:t>
                    </w:r>
                  </w:p>
                </w:txbxContent>
              </v:textbox>
            </v:shape>
            <v:line id="直线 1121" o:spid="_x0000_s1793" o:spt="20" style="position:absolute;left:5372;top:213468;height:4801;width:23;" coordsize="21600,21600">
              <v:path arrowok="t"/>
              <v:fill focussize="0,0"/>
              <v:stroke/>
              <v:imagedata o:title=""/>
              <o:lock v:ext="edit"/>
            </v:line>
            <v:shape id="流程图: 可选过程 1122" o:spid="_x0000_s1794" o:spt="176" type="#_x0000_t176" style="position:absolute;left:7916;top:218011;height:460;width:2161;"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结束响应</w:t>
                    </w:r>
                  </w:p>
                </w:txbxContent>
              </v:textbox>
            </v:shape>
            <v:line id="直线 1123" o:spid="_x0000_s1795" o:spt="20" style="position:absolute;left:8982;top:218495;height:704;width:1;" coordsize="21600,21600">
              <v:path arrowok="t"/>
              <v:fill focussize="0,0"/>
              <v:stroke endarrow="block"/>
              <v:imagedata o:title=""/>
              <o:lock v:ext="edit"/>
            </v:line>
            <v:shape id="直接连接符 1125" o:spid="_x0000_s1796" o:spt="32" type="#_x0000_t32" style="position:absolute;left:11969;top:213141;height:422;width:1;" filled="f" coordsize="21600,21600">
              <v:path arrowok="t"/>
              <v:fill on="f" focussize="0,0"/>
              <v:stroke endarrow="block"/>
              <v:imagedata o:title=""/>
              <o:lock v:ext="edit"/>
            </v:shape>
            <v:shape id="流程图: 可选过程 1126" o:spid="_x0000_s1797" o:spt="176" type="#_x0000_t176" style="position:absolute;left:7962;top:214894;height:830;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指挥协调</w:t>
                    </w:r>
                  </w:p>
                  <w:p>
                    <w:pPr>
                      <w:spacing w:line="300" w:lineRule="exact"/>
                      <w:jc w:val="center"/>
                      <w:rPr>
                        <w:rFonts w:ascii="仿宋_GB2312" w:eastAsia="仿宋_GB2312"/>
                        <w:bCs/>
                      </w:rPr>
                    </w:pPr>
                    <w:r>
                      <w:rPr>
                        <w:rFonts w:hint="eastAsia" w:ascii="仿宋_GB2312" w:eastAsia="仿宋_GB2312"/>
                        <w:bCs/>
                      </w:rPr>
                      <w:t>应急处置</w:t>
                    </w:r>
                  </w:p>
                </w:txbxContent>
              </v:textbox>
            </v:shape>
            <v:line id="直线 1127" o:spid="_x0000_s1798" o:spt="20" style="position:absolute;left:8981;top:215740;flip:x;height:615;width:6;" coordsize="21600,21600">
              <v:path arrowok="t"/>
              <v:fill focussize="0,0"/>
              <v:stroke endarrow="block"/>
              <v:imagedata o:title=""/>
              <o:lock v:ext="edit"/>
            </v:line>
            <v:shape id="上下箭头 1128" o:spid="_x0000_s1799" o:spt="70" type="#_x0000_t70" style="position:absolute;left:7237;top:211400;height:1769;width:331;rotation:5898240f;" coordsize="21600,21600" adj=",1062">
              <v:path/>
              <v:fill focussize="0,0"/>
              <v:stroke joinstyle="miter"/>
              <v:imagedata o:title=""/>
              <o:lock v:ext="edit"/>
              <v:textbox style="layout-flow:vertical-ideographic;"/>
            </v:shape>
            <v:rect id="矩形 68" o:spid="_x0000_s1800" o:spt="1" style="position:absolute;left:4643;top:208708;height:10942;width:8547;" filled="f" stroked="f" coordsize="21600,21600">
              <v:path/>
              <v:fill on="f" focussize="0,0"/>
              <v:stroke on="f"/>
              <v:imagedata o:title=""/>
              <o:lock v:ext="edit"/>
            </v:rect>
            <v:group id="组合 71" o:spid="_x0000_s1801" o:spt="203" style="position:absolute;left:10979;top:213582;height:3712;width:2180;" coordorigin="10485,213582" coordsize="2180,3712">
              <o:lock v:ext="edit"/>
              <v:group id="组合 70" o:spid="_x0000_s1802" o:spt="203" style="position:absolute;left:10491;top:213787;height:3276;width:15;" coordorigin="10482,213796" coordsize="15,3276">
                <o:lock v:ext="edit"/>
                <v:group id="组合 62" o:spid="_x0000_s1803" o:spt="203" style="position:absolute;left:10482;top:213796;height:2808;width:0;" coordorigin="15181,213482" coordsize="0,2808">
                  <o:lock v:ext="edit"/>
                  <v:shape id="肘形连接符 1099" o:spid="_x0000_s1804" o:spt="34" type="#_x0000_t34" style="position:absolute;left:15181;top:213482;flip:x y;height:468;width:1;rotation:11796480f;" filled="f" coordsize="21600,21600" adj="-7776000">
                    <v:path arrowok="t"/>
                    <v:fill on="f" focussize="0,0"/>
                    <v:stroke joinstyle="miter"/>
                    <v:imagedata o:title=""/>
                    <o:lock v:ext="edit"/>
                  </v:shape>
                  <v:shape id="肘形连接符 1100" o:spid="_x0000_s1805" o:spt="34" type="#_x0000_t34" style="position:absolute;left:15181;top:213950;flip:x y;height:468;width:1;rotation:11796480f;" filled="f" coordsize="21600,21600" adj="-7776000">
                    <v:path arrowok="t"/>
                    <v:fill on="f" focussize="0,0"/>
                    <v:stroke joinstyle="miter"/>
                    <v:imagedata o:title=""/>
                    <o:lock v:ext="edit"/>
                  </v:shape>
                  <v:shape id="肘形连接符 1101" o:spid="_x0000_s1806" o:spt="34" type="#_x0000_t34" style="position:absolute;left:15181;top:214418;flip:x y;height:468;width:1;rotation:11796480f;" filled="f" coordsize="21600,21600" adj="-7776000">
                    <v:path arrowok="t"/>
                    <v:fill on="f" focussize="0,0"/>
                    <v:stroke joinstyle="miter"/>
                    <v:imagedata o:title=""/>
                    <o:lock v:ext="edit"/>
                  </v:shape>
                  <v:shape id="肘形连接符 1102" o:spid="_x0000_s1807" o:spt="34" type="#_x0000_t34" style="position:absolute;left:15181;top:214886;flip:x y;height:468;width:1;rotation:11796480f;" filled="f" coordsize="21600,21600" adj="-7776000">
                    <v:path arrowok="t"/>
                    <v:fill on="f" focussize="0,0"/>
                    <v:stroke joinstyle="miter"/>
                    <v:imagedata o:title=""/>
                    <o:lock v:ext="edit"/>
                  </v:shape>
                  <v:shape id="肘形连接符 1104" o:spid="_x0000_s1808" o:spt="34" type="#_x0000_t34" style="position:absolute;left:15181;top:215822;flip:x y;height:468;width:1;rotation:11796480f;" filled="f" coordsize="21600,21600" adj="-7776000">
                    <v:path arrowok="t"/>
                    <v:fill on="f" focussize="0,0"/>
                    <v:stroke joinstyle="miter"/>
                    <v:imagedata o:title=""/>
                    <o:lock v:ext="edit"/>
                  </v:shape>
                </v:group>
                <v:shape id="肘形连接符 1105" o:spid="_x0000_s1809" o:spt="34" type="#_x0000_t34" style="position:absolute;left:10497;top:216604;flip:x y;height:468;width:1;rotation:11796480f;" filled="f" coordsize="21600,21600" adj="-8094115">
                  <v:path arrowok="t"/>
                  <v:fill on="f" focussize="0,0"/>
                  <v:stroke joinstyle="miter"/>
                  <v:imagedata o:title=""/>
                  <o:lock v:ext="edit"/>
                </v:shape>
                <v:shape id="肘形连接符 1103" o:spid="_x0000_s1810" o:spt="34" type="#_x0000_t34" style="position:absolute;left:10486;top:215668;flip:x y;height:468;width:1;rotation:11796480f;" filled="f" coordsize="21600,21600" adj="-7776000">
                  <v:path arrowok="t"/>
                  <v:fill on="f" focussize="0,0"/>
                  <v:stroke joinstyle="miter"/>
                  <v:imagedata o:title=""/>
                  <o:lock v:ext="edit"/>
                </v:shape>
              </v:group>
              <v:group id="组合 69" o:spid="_x0000_s1811" o:spt="203" style="position:absolute;left:10485;top:213582;height:3713;width:2181;" coordorigin="10485,213590" coordsize="2181,3713">
                <o:lock v:ext="edit"/>
                <v:shape id="流程图: 可选过程 1090" o:spid="_x0000_s1812" o:spt="176" type="#_x0000_t176" style="position:absolute;left:10506;top:216835;height:468;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善后工作组</w:t>
                        </w:r>
                      </w:p>
                      <w:p/>
                    </w:txbxContent>
                  </v:textbox>
                </v:shape>
                <v:shape id="流程图: 可选过程 1094" o:spid="_x0000_s1813" o:spt="176" type="#_x0000_t176" style="position:absolute;left:10506;top:216367;height:468;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应急保障组</w:t>
                        </w:r>
                      </w:p>
                      <w:p/>
                    </w:txbxContent>
                  </v:textbox>
                </v:shape>
                <v:shape id="流程图: 可选过程 1087" o:spid="_x0000_s1814" o:spt="176" type="#_x0000_t176" style="position:absolute;left:10494;top:215453;height:468;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社会稳定组</w:t>
                        </w:r>
                      </w:p>
                      <w:p/>
                    </w:txbxContent>
                  </v:textbox>
                </v:shape>
                <v:shape id="流程图: 可选过程 1091" o:spid="_x0000_s1815" o:spt="176" type="#_x0000_t176" style="position:absolute;left:10500;top:215915;height:468;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宣传报道组</w:t>
                        </w:r>
                      </w:p>
                      <w:p/>
                    </w:txbxContent>
                  </v:textbox>
                </v:shape>
                <v:shape id="流程图: 可选过程 1129" o:spid="_x0000_s1816" o:spt="176" type="#_x0000_t176" style="position:absolute;left:10498;top:214988;height:468;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医学救援组</w:t>
                        </w:r>
                      </w:p>
                      <w:p>
                        <w:pPr>
                          <w:spacing w:line="300" w:lineRule="exact"/>
                          <w:jc w:val="center"/>
                          <w:rPr>
                            <w:rFonts w:eastAsia="楷体_GB2312"/>
                          </w:rPr>
                        </w:pPr>
                      </w:p>
                    </w:txbxContent>
                  </v:textbox>
                </v:shape>
                <v:shape id="流程图: 可选过程 1088" o:spid="_x0000_s1817" o:spt="176" type="#_x0000_t176" style="position:absolute;left:10485;top:213590;height:468;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综合组</w:t>
                        </w:r>
                      </w:p>
                    </w:txbxContent>
                  </v:textbox>
                </v:shape>
                <v:shape id="流程图: 可选过程 1089" o:spid="_x0000_s1818" o:spt="176" type="#_x0000_t176" style="position:absolute;left:10485;top:214058;height:468;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抢险救援组</w:t>
                        </w:r>
                      </w:p>
                      <w:p/>
                    </w:txbxContent>
                  </v:textbox>
                </v:shape>
                <v:shape id="流程图: 可选过程 1092" o:spid="_x0000_s1819" o:spt="176" type="#_x0000_t176" style="position:absolute;left:10485;top:214526;height:468;width:2160;" coordsize="21600,21600">
                  <v:path/>
                  <v:fill focussize="0,0"/>
                  <v:stroke joinstyle="miter"/>
                  <v:imagedata o:title=""/>
                  <o:lock v:ext="edit"/>
                  <v:textbox>
                    <w:txbxContent>
                      <w:p>
                        <w:pPr>
                          <w:spacing w:line="300" w:lineRule="exact"/>
                          <w:jc w:val="center"/>
                          <w:rPr>
                            <w:rFonts w:ascii="仿宋_GB2312" w:eastAsia="仿宋_GB2312"/>
                            <w:bCs/>
                          </w:rPr>
                        </w:pPr>
                        <w:r>
                          <w:rPr>
                            <w:rFonts w:hint="eastAsia" w:ascii="仿宋_GB2312" w:eastAsia="仿宋_GB2312"/>
                            <w:bCs/>
                          </w:rPr>
                          <w:t>技术组</w:t>
                        </w:r>
                      </w:p>
                      <w:p/>
                    </w:txbxContent>
                  </v:textbox>
                </v:shape>
              </v:group>
            </v:group>
          </v:group>
        </w:pict>
      </w:r>
    </w:p>
    <w:p/>
    <w:p/>
    <w:p/>
    <w:p/>
    <w:p/>
    <w:p>
      <w:pPr>
        <w:spacing w:line="580" w:lineRule="exact"/>
        <w:rPr>
          <w:rFonts w:eastAsia="仿宋_GB2312"/>
          <w:sz w:val="32"/>
          <w:szCs w:val="32"/>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spacing w:line="600" w:lineRule="exact"/>
        <w:rPr>
          <w:szCs w:val="21"/>
        </w:rPr>
      </w:pPr>
    </w:p>
    <w:p>
      <w:pPr>
        <w:widowControl/>
        <w:jc w:val="left"/>
        <w:rPr>
          <w:szCs w:val="21"/>
        </w:rPr>
        <w:sectPr>
          <w:footerReference r:id="rId3" w:type="default"/>
          <w:footerReference r:id="rId4" w:type="even"/>
          <w:pgSz w:w="11906" w:h="16838"/>
          <w:pgMar w:top="2098" w:right="1588" w:bottom="1701" w:left="1588" w:header="720" w:footer="1134" w:gutter="0"/>
          <w:pgNumType w:fmt="numberInDash"/>
          <w:cols w:space="720" w:num="1"/>
          <w:titlePg/>
          <w:docGrid w:type="lines" w:linePitch="579" w:charSpace="0"/>
        </w:sectPr>
      </w:pPr>
    </w:p>
    <w:p>
      <w:pPr>
        <w:spacing w:line="600" w:lineRule="exact"/>
        <w:rPr>
          <w:szCs w:val="21"/>
        </w:rPr>
      </w:pPr>
      <w:r>
        <w:drawing>
          <wp:inline distT="0" distB="0" distL="0" distR="0">
            <wp:extent cx="5424170" cy="5710555"/>
            <wp:effectExtent l="0" t="0" r="0" b="0"/>
            <wp:docPr id="30" name="图片 30" descr="C:\Users\ADMINI~1\AppData\Local\Temp\ksohtml\wps538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DMINI~1\AppData\Local\Temp\ksohtml\wps538B.tmp.png"/>
                    <pic:cNvPicPr>
                      <a:picLocks noChangeAspect="1" noChangeArrowheads="1"/>
                    </pic:cNvPicPr>
                  </pic:nvPicPr>
                  <pic:blipFill>
                    <a:blip r:embed="rId11" cstate="print"/>
                    <a:srcRect/>
                    <a:stretch>
                      <a:fillRect/>
                    </a:stretch>
                  </pic:blipFill>
                  <pic:spPr>
                    <a:xfrm>
                      <a:off x="0" y="0"/>
                      <a:ext cx="5427980" cy="5714111"/>
                    </a:xfrm>
                    <a:prstGeom prst="rect">
                      <a:avLst/>
                    </a:prstGeom>
                    <a:noFill/>
                    <a:ln w="9525">
                      <a:noFill/>
                      <a:miter lim="800000"/>
                      <a:headEnd/>
                      <a:tailEnd/>
                    </a:ln>
                  </pic:spPr>
                </pic:pic>
              </a:graphicData>
            </a:graphic>
          </wp:inline>
        </w:drawing>
      </w:r>
    </w:p>
    <w:tbl>
      <w:tblPr>
        <w:tblStyle w:val="32"/>
        <w:tblW w:w="14007" w:type="dxa"/>
        <w:jc w:val="center"/>
        <w:tblLayout w:type="fixed"/>
        <w:tblCellMar>
          <w:top w:w="0" w:type="dxa"/>
          <w:left w:w="0" w:type="dxa"/>
          <w:bottom w:w="0" w:type="dxa"/>
          <w:right w:w="0" w:type="dxa"/>
        </w:tblCellMar>
      </w:tblPr>
      <w:tblGrid>
        <w:gridCol w:w="1101"/>
        <w:gridCol w:w="1915"/>
        <w:gridCol w:w="10527"/>
        <w:gridCol w:w="464"/>
      </w:tblGrid>
      <w:tr>
        <w:tblPrEx>
          <w:tblCellMar>
            <w:top w:w="0" w:type="dxa"/>
            <w:left w:w="0" w:type="dxa"/>
            <w:bottom w:w="0" w:type="dxa"/>
            <w:right w:w="0" w:type="dxa"/>
          </w:tblCellMar>
        </w:tblPrEx>
        <w:trPr>
          <w:gridAfter w:val="1"/>
          <w:wAfter w:w="464" w:type="dxa"/>
          <w:trHeight w:val="520" w:hRule="atLeast"/>
          <w:jc w:val="center"/>
        </w:trPr>
        <w:tc>
          <w:tcPr>
            <w:tcW w:w="13543" w:type="dxa"/>
            <w:gridSpan w:val="3"/>
            <w:tcBorders>
              <w:top w:val="nil"/>
              <w:left w:val="nil"/>
              <w:bottom w:val="nil"/>
              <w:right w:val="nil"/>
            </w:tcBorders>
            <w:tcMar>
              <w:top w:w="15" w:type="dxa"/>
              <w:left w:w="15" w:type="dxa"/>
              <w:bottom w:w="0" w:type="dxa"/>
              <w:right w:w="15" w:type="dxa"/>
            </w:tcMar>
          </w:tcPr>
          <w:p>
            <w:pPr>
              <w:widowControl/>
              <w:spacing w:line="500" w:lineRule="exact"/>
              <w:jc w:val="left"/>
              <w:textAlignment w:val="top"/>
              <w:rPr>
                <w:rFonts w:eastAsia="仿宋_GB2312"/>
                <w:color w:val="000000"/>
                <w:sz w:val="32"/>
                <w:szCs w:val="32"/>
              </w:rPr>
            </w:pPr>
            <w:r>
              <w:rPr>
                <w:rFonts w:eastAsia="仿宋_GB2312"/>
                <w:color w:val="000000"/>
                <w:kern w:val="0"/>
                <w:sz w:val="32"/>
                <w:szCs w:val="32"/>
              </w:rPr>
              <w:t>附件2:</w:t>
            </w:r>
          </w:p>
        </w:tc>
      </w:tr>
      <w:tr>
        <w:tblPrEx>
          <w:tblCellMar>
            <w:top w:w="0" w:type="dxa"/>
            <w:left w:w="0" w:type="dxa"/>
            <w:bottom w:w="0" w:type="dxa"/>
            <w:right w:w="0" w:type="dxa"/>
          </w:tblCellMar>
        </w:tblPrEx>
        <w:trPr>
          <w:gridAfter w:val="1"/>
          <w:wAfter w:w="464" w:type="dxa"/>
          <w:trHeight w:val="915" w:hRule="atLeast"/>
          <w:jc w:val="center"/>
        </w:trPr>
        <w:tc>
          <w:tcPr>
            <w:tcW w:w="13543" w:type="dxa"/>
            <w:gridSpan w:val="3"/>
            <w:tcBorders>
              <w:top w:val="nil"/>
              <w:left w:val="nil"/>
              <w:bottom w:val="nil"/>
              <w:right w:val="nil"/>
            </w:tcBorders>
            <w:tcMar>
              <w:top w:w="15" w:type="dxa"/>
              <w:left w:w="15" w:type="dxa"/>
              <w:bottom w:w="0" w:type="dxa"/>
              <w:right w:w="15" w:type="dxa"/>
            </w:tcMar>
            <w:vAlign w:val="center"/>
          </w:tcPr>
          <w:p>
            <w:pPr>
              <w:widowControl/>
              <w:spacing w:line="500" w:lineRule="exact"/>
              <w:jc w:val="center"/>
              <w:textAlignment w:val="center"/>
              <w:rPr>
                <w:color w:val="000000"/>
                <w:szCs w:val="21"/>
              </w:rPr>
            </w:pPr>
            <w:r>
              <w:rPr>
                <w:rFonts w:eastAsia="方正小标宋简体"/>
                <w:color w:val="000000"/>
                <w:sz w:val="44"/>
                <w:szCs w:val="44"/>
              </w:rPr>
              <w:t>忻州市尾矿库生产安全事故市级应急指挥机构及职责</w:t>
            </w:r>
          </w:p>
        </w:tc>
      </w:tr>
      <w:tr>
        <w:tblPrEx>
          <w:tblCellMar>
            <w:top w:w="0" w:type="dxa"/>
            <w:left w:w="0" w:type="dxa"/>
            <w:bottom w:w="0" w:type="dxa"/>
            <w:right w:w="0" w:type="dxa"/>
          </w:tblCellMar>
        </w:tblPrEx>
        <w:trPr>
          <w:gridAfter w:val="1"/>
          <w:wAfter w:w="464" w:type="dxa"/>
          <w:trHeight w:val="580" w:hRule="atLeast"/>
          <w:jc w:val="center"/>
        </w:trPr>
        <w:tc>
          <w:tcPr>
            <w:tcW w:w="3016" w:type="dxa"/>
            <w:gridSpan w:val="2"/>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eastAsia="黑体"/>
                <w:color w:val="000000"/>
                <w:sz w:val="32"/>
                <w:szCs w:val="32"/>
              </w:rPr>
            </w:pPr>
            <w:r>
              <w:rPr>
                <w:rFonts w:eastAsia="黑体"/>
                <w:color w:val="000000"/>
                <w:sz w:val="32"/>
                <w:szCs w:val="32"/>
              </w:rPr>
              <w:t>指挥机构</w:t>
            </w:r>
          </w:p>
        </w:tc>
        <w:tc>
          <w:tcPr>
            <w:tcW w:w="10527"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eastAsia="黑体"/>
                <w:color w:val="000000"/>
                <w:sz w:val="32"/>
                <w:szCs w:val="32"/>
              </w:rPr>
            </w:pPr>
            <w:r>
              <w:rPr>
                <w:rFonts w:eastAsia="黑体"/>
                <w:color w:val="000000"/>
                <w:kern w:val="0"/>
                <w:sz w:val="32"/>
                <w:szCs w:val="32"/>
              </w:rPr>
              <w:t>职   责</w:t>
            </w:r>
          </w:p>
        </w:tc>
      </w:tr>
      <w:tr>
        <w:tblPrEx>
          <w:tblCellMar>
            <w:top w:w="0" w:type="dxa"/>
            <w:left w:w="0" w:type="dxa"/>
            <w:bottom w:w="0" w:type="dxa"/>
            <w:right w:w="0" w:type="dxa"/>
          </w:tblCellMar>
        </w:tblPrEx>
        <w:trPr>
          <w:gridAfter w:val="1"/>
          <w:wAfter w:w="464" w:type="dxa"/>
          <w:trHeight w:val="1365" w:hRule="atLeast"/>
          <w:jc w:val="center"/>
        </w:trPr>
        <w:tc>
          <w:tcPr>
            <w:tcW w:w="11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jc w:val="center"/>
              <w:textAlignment w:val="center"/>
              <w:rPr>
                <w:rFonts w:eastAsia="仿宋_GB2312"/>
                <w:color w:val="000000"/>
                <w:kern w:val="0"/>
                <w:sz w:val="24"/>
              </w:rPr>
            </w:pPr>
            <w:r>
              <w:rPr>
                <w:rFonts w:eastAsia="仿宋_GB2312"/>
                <w:color w:val="000000"/>
                <w:kern w:val="0"/>
                <w:sz w:val="24"/>
              </w:rPr>
              <w:t>指</w:t>
            </w:r>
          </w:p>
          <w:p>
            <w:pPr>
              <w:widowControl/>
              <w:spacing w:line="420" w:lineRule="exact"/>
              <w:jc w:val="center"/>
              <w:textAlignment w:val="center"/>
              <w:rPr>
                <w:rFonts w:eastAsia="仿宋_GB2312"/>
                <w:color w:val="000000"/>
                <w:kern w:val="0"/>
                <w:sz w:val="24"/>
              </w:rPr>
            </w:pPr>
            <w:r>
              <w:rPr>
                <w:rFonts w:eastAsia="仿宋_GB2312"/>
                <w:color w:val="000000"/>
                <w:kern w:val="0"/>
                <w:sz w:val="24"/>
              </w:rPr>
              <w:t>挥</w:t>
            </w:r>
          </w:p>
          <w:p>
            <w:pPr>
              <w:widowControl/>
              <w:spacing w:line="420" w:lineRule="exact"/>
              <w:jc w:val="center"/>
              <w:textAlignment w:val="center"/>
              <w:rPr>
                <w:rFonts w:eastAsia="仿宋_GB2312"/>
                <w:color w:val="000000"/>
                <w:kern w:val="0"/>
                <w:sz w:val="24"/>
              </w:rPr>
            </w:pPr>
            <w:r>
              <w:rPr>
                <w:rFonts w:eastAsia="仿宋_GB2312"/>
                <w:color w:val="000000"/>
                <w:kern w:val="0"/>
                <w:sz w:val="24"/>
              </w:rPr>
              <w:t>长</w:t>
            </w:r>
          </w:p>
        </w:tc>
        <w:tc>
          <w:tcPr>
            <w:tcW w:w="19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420" w:lineRule="exact"/>
              <w:jc w:val="center"/>
              <w:textAlignment w:val="center"/>
              <w:rPr>
                <w:rFonts w:eastAsia="仿宋_GB2312"/>
                <w:color w:val="000000"/>
                <w:kern w:val="0"/>
                <w:sz w:val="24"/>
              </w:rPr>
            </w:pPr>
            <w:r>
              <w:rPr>
                <w:rFonts w:eastAsia="仿宋_GB2312"/>
                <w:color w:val="000000"/>
                <w:kern w:val="0"/>
                <w:sz w:val="24"/>
              </w:rPr>
              <w:t>市政府</w:t>
            </w:r>
          </w:p>
          <w:p>
            <w:pPr>
              <w:widowControl/>
              <w:spacing w:line="420" w:lineRule="exact"/>
              <w:jc w:val="center"/>
              <w:textAlignment w:val="center"/>
              <w:rPr>
                <w:rFonts w:eastAsia="仿宋_GB2312"/>
                <w:color w:val="000000"/>
                <w:sz w:val="24"/>
              </w:rPr>
            </w:pPr>
            <w:r>
              <w:rPr>
                <w:rFonts w:eastAsia="仿宋_GB2312"/>
                <w:color w:val="000000"/>
                <w:kern w:val="0"/>
                <w:sz w:val="24"/>
              </w:rPr>
              <w:t>分管副市长</w:t>
            </w:r>
          </w:p>
        </w:tc>
        <w:tc>
          <w:tcPr>
            <w:tcW w:w="10527" w:type="dxa"/>
            <w:vMerge w:val="restar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Fonts w:eastAsia="仿宋_GB2312"/>
                <w:color w:val="000000"/>
                <w:kern w:val="0"/>
                <w:sz w:val="24"/>
              </w:rPr>
              <w:t>市指挥部主要职责：</w:t>
            </w:r>
            <w:r>
              <w:rPr>
                <w:rStyle w:val="44"/>
                <w:rFonts w:eastAsia="仿宋_GB2312"/>
                <w:sz w:val="24"/>
              </w:rPr>
              <w:t>贯彻落实党中央国务院、省委省政府和市委市政府关于尾矿库安全生产工作的决策部署，统筹协调全市尾矿库事故防范和隐患排查治理工作，制定安全生产总体规划、重要措施，组织指挥较大尾矿库生产安全事故应急处置工作，指导较大尾矿库生产安全事故调查评估和善后处置工作，落实市委、市政府及市应急救援总指挥部交办的尾矿库生产安全事故应急处置的其他重大事项。</w:t>
            </w:r>
          </w:p>
          <w:p>
            <w:pPr>
              <w:widowControl/>
              <w:spacing w:line="420" w:lineRule="exact"/>
              <w:ind w:firstLine="482" w:firstLineChars="200"/>
              <w:textAlignment w:val="center"/>
              <w:rPr>
                <w:b/>
                <w:bCs/>
                <w:szCs w:val="21"/>
              </w:rPr>
            </w:pPr>
            <w:r>
              <w:rPr>
                <w:rStyle w:val="80"/>
                <w:rFonts w:eastAsia="仿宋_GB2312"/>
                <w:sz w:val="24"/>
              </w:rPr>
              <w:t>市指挥部办公室主要职责：</w:t>
            </w:r>
            <w:r>
              <w:rPr>
                <w:rStyle w:val="44"/>
                <w:rFonts w:eastAsia="仿宋_GB2312"/>
                <w:sz w:val="24"/>
              </w:rPr>
              <w:t>承担市生产安全事故应急指挥部日常工作，制定、修订尾矿库生产安全事故专项应急预案，组织尾矿库生产安全事故防范和隐患排查治理工作，开展桌面推演、实战演练等应对尾矿库生产安全事故专项训练，协调各方面力量参加尾矿库生产安全事故救援行动，协助市委、市政府指定的负责同志组织较大尾矿库生产安全事故应急处置工作，配合做好较大尾矿库生产安全事故调查和善后处置工作，报告和发布较大尾矿库生产安全事故信息，指导各县（市、区）开展尾矿库生产安全事故预防和应对工作。</w:t>
            </w:r>
          </w:p>
        </w:tc>
      </w:tr>
      <w:tr>
        <w:tblPrEx>
          <w:tblCellMar>
            <w:top w:w="0" w:type="dxa"/>
            <w:left w:w="0" w:type="dxa"/>
            <w:bottom w:w="0" w:type="dxa"/>
            <w:right w:w="0" w:type="dxa"/>
          </w:tblCellMar>
        </w:tblPrEx>
        <w:trPr>
          <w:gridAfter w:val="1"/>
          <w:wAfter w:w="464" w:type="dxa"/>
          <w:trHeight w:val="961" w:hRule="atLeast"/>
          <w:jc w:val="center"/>
        </w:trPr>
        <w:tc>
          <w:tcPr>
            <w:tcW w:w="1101"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20" w:lineRule="exact"/>
              <w:jc w:val="center"/>
              <w:textAlignment w:val="center"/>
              <w:rPr>
                <w:rFonts w:eastAsia="仿宋_GB2312"/>
                <w:color w:val="000000"/>
                <w:kern w:val="0"/>
                <w:sz w:val="24"/>
              </w:rPr>
            </w:pPr>
            <w:r>
              <w:rPr>
                <w:rFonts w:eastAsia="仿宋_GB2312"/>
                <w:color w:val="000000"/>
                <w:kern w:val="0"/>
                <w:sz w:val="24"/>
              </w:rPr>
              <w:t>副</w:t>
            </w:r>
          </w:p>
          <w:p>
            <w:pPr>
              <w:widowControl/>
              <w:spacing w:line="420" w:lineRule="exact"/>
              <w:jc w:val="center"/>
              <w:textAlignment w:val="center"/>
              <w:rPr>
                <w:rFonts w:eastAsia="仿宋_GB2312"/>
                <w:color w:val="000000"/>
                <w:kern w:val="0"/>
                <w:sz w:val="24"/>
              </w:rPr>
            </w:pPr>
            <w:r>
              <w:rPr>
                <w:rFonts w:eastAsia="仿宋_GB2312"/>
                <w:color w:val="000000"/>
                <w:kern w:val="0"/>
                <w:sz w:val="24"/>
              </w:rPr>
              <w:t>指</w:t>
            </w:r>
            <w:r>
              <w:rPr>
                <w:rFonts w:eastAsia="仿宋_GB2312"/>
                <w:color w:val="000000"/>
                <w:kern w:val="0"/>
                <w:sz w:val="24"/>
              </w:rPr>
              <w:br w:type="textWrapping"/>
            </w:r>
            <w:r>
              <w:rPr>
                <w:rFonts w:eastAsia="仿宋_GB2312"/>
                <w:color w:val="000000"/>
                <w:kern w:val="0"/>
                <w:sz w:val="24"/>
              </w:rPr>
              <w:t>挥</w:t>
            </w:r>
          </w:p>
          <w:p>
            <w:pPr>
              <w:widowControl/>
              <w:spacing w:line="420" w:lineRule="exact"/>
              <w:jc w:val="center"/>
              <w:textAlignment w:val="center"/>
              <w:rPr>
                <w:rFonts w:eastAsia="仿宋_GB2312"/>
                <w:color w:val="000000"/>
                <w:kern w:val="0"/>
                <w:sz w:val="24"/>
              </w:rPr>
            </w:pPr>
            <w:r>
              <w:rPr>
                <w:rFonts w:eastAsia="仿宋_GB2312"/>
                <w:color w:val="000000"/>
                <w:kern w:val="0"/>
                <w:sz w:val="24"/>
              </w:rPr>
              <w:t>长</w:t>
            </w:r>
          </w:p>
        </w:tc>
        <w:tc>
          <w:tcPr>
            <w:tcW w:w="1915" w:type="dxa"/>
            <w:tcBorders>
              <w:top w:val="single" w:color="auto" w:sz="4" w:space="0"/>
              <w:left w:val="nil"/>
              <w:right w:val="single" w:color="000000" w:sz="4" w:space="0"/>
            </w:tcBorders>
            <w:tcMar>
              <w:top w:w="15" w:type="dxa"/>
              <w:left w:w="15" w:type="dxa"/>
              <w:bottom w:w="0" w:type="dxa"/>
              <w:right w:w="15" w:type="dxa"/>
            </w:tcMar>
            <w:vAlign w:val="center"/>
          </w:tcPr>
          <w:p>
            <w:pPr>
              <w:spacing w:line="420" w:lineRule="exact"/>
              <w:jc w:val="center"/>
              <w:textAlignment w:val="center"/>
              <w:rPr>
                <w:rFonts w:eastAsia="仿宋_GB2312"/>
                <w:color w:val="000000"/>
                <w:sz w:val="24"/>
              </w:rPr>
            </w:pPr>
            <w:r>
              <w:rPr>
                <w:rFonts w:eastAsia="仿宋_GB2312"/>
                <w:color w:val="000000"/>
                <w:kern w:val="0"/>
                <w:sz w:val="24"/>
              </w:rPr>
              <w:t>市政府协管</w:t>
            </w:r>
            <w:r>
              <w:rPr>
                <w:rFonts w:eastAsia="仿宋_GB2312"/>
                <w:color w:val="000000"/>
                <w:kern w:val="0"/>
                <w:sz w:val="24"/>
              </w:rPr>
              <w:br w:type="textWrapping"/>
            </w:r>
            <w:r>
              <w:rPr>
                <w:rFonts w:eastAsia="仿宋_GB2312"/>
                <w:color w:val="000000"/>
                <w:kern w:val="0"/>
                <w:sz w:val="24"/>
              </w:rPr>
              <w:t>副秘书长</w:t>
            </w:r>
          </w:p>
        </w:tc>
        <w:tc>
          <w:tcPr>
            <w:tcW w:w="10527" w:type="dxa"/>
            <w:vMerge w:val="continue"/>
            <w:tcBorders>
              <w:top w:val="single" w:color="auto" w:sz="4" w:space="0"/>
              <w:left w:val="nil"/>
              <w:bottom w:val="single" w:color="auto" w:sz="4" w:space="0"/>
              <w:right w:val="single" w:color="000000" w:sz="4" w:space="0"/>
            </w:tcBorders>
            <w:vAlign w:val="center"/>
          </w:tcPr>
          <w:p>
            <w:pPr>
              <w:widowControl/>
              <w:jc w:val="left"/>
              <w:rPr>
                <w:b/>
                <w:bCs/>
                <w:szCs w:val="21"/>
              </w:rPr>
            </w:pPr>
          </w:p>
        </w:tc>
      </w:tr>
      <w:tr>
        <w:tblPrEx>
          <w:tblCellMar>
            <w:top w:w="0" w:type="dxa"/>
            <w:left w:w="0" w:type="dxa"/>
            <w:bottom w:w="0" w:type="dxa"/>
            <w:right w:w="0" w:type="dxa"/>
          </w:tblCellMar>
        </w:tblPrEx>
        <w:trPr>
          <w:gridAfter w:val="1"/>
          <w:wAfter w:w="464" w:type="dxa"/>
          <w:trHeight w:val="961" w:hRule="atLeast"/>
          <w:jc w:val="center"/>
        </w:trPr>
        <w:tc>
          <w:tcPr>
            <w:tcW w:w="1101"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9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20" w:lineRule="exact"/>
              <w:jc w:val="center"/>
              <w:textAlignment w:val="center"/>
              <w:rPr>
                <w:rFonts w:eastAsia="仿宋_GB2312"/>
                <w:color w:val="000000"/>
                <w:sz w:val="24"/>
              </w:rPr>
            </w:pPr>
            <w:r>
              <w:rPr>
                <w:rFonts w:eastAsia="仿宋_GB2312"/>
                <w:color w:val="000000"/>
                <w:sz w:val="24"/>
              </w:rPr>
              <w:t>市工信局</w:t>
            </w:r>
          </w:p>
          <w:p>
            <w:pPr>
              <w:pStyle w:val="102"/>
              <w:ind w:left="0" w:leftChars="0" w:firstLine="0" w:firstLineChars="0"/>
              <w:jc w:val="center"/>
              <w:rPr>
                <w:rFonts w:ascii="Times New Roman" w:hAnsi="Times New Roman" w:cs="Times New Roman"/>
                <w:color w:val="000000"/>
              </w:rPr>
            </w:pPr>
            <w:r>
              <w:rPr>
                <w:rFonts w:ascii="Times New Roman" w:hAnsi="Times New Roman" w:cs="Times New Roman"/>
                <w:color w:val="000000"/>
              </w:rPr>
              <w:t>主要负责人</w:t>
            </w:r>
          </w:p>
        </w:tc>
        <w:tc>
          <w:tcPr>
            <w:tcW w:w="10527" w:type="dxa"/>
            <w:vMerge w:val="continue"/>
            <w:tcBorders>
              <w:top w:val="single" w:color="000000" w:sz="4" w:space="0"/>
              <w:left w:val="nil"/>
              <w:bottom w:val="single" w:color="000000" w:sz="4" w:space="0"/>
              <w:right w:val="single" w:color="000000" w:sz="4" w:space="0"/>
            </w:tcBorders>
            <w:vAlign w:val="center"/>
          </w:tcPr>
          <w:p>
            <w:pPr>
              <w:widowControl/>
              <w:jc w:val="left"/>
              <w:rPr>
                <w:b/>
                <w:bCs/>
                <w:szCs w:val="21"/>
              </w:rPr>
            </w:pPr>
          </w:p>
        </w:tc>
      </w:tr>
      <w:tr>
        <w:tblPrEx>
          <w:tblCellMar>
            <w:top w:w="0" w:type="dxa"/>
            <w:left w:w="0" w:type="dxa"/>
            <w:bottom w:w="0" w:type="dxa"/>
            <w:right w:w="0" w:type="dxa"/>
          </w:tblCellMar>
        </w:tblPrEx>
        <w:trPr>
          <w:gridAfter w:val="1"/>
          <w:wAfter w:w="464" w:type="dxa"/>
          <w:trHeight w:val="974" w:hRule="atLeast"/>
          <w:jc w:val="center"/>
        </w:trPr>
        <w:tc>
          <w:tcPr>
            <w:tcW w:w="1101"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仿宋_GB2312"/>
                <w:color w:val="000000"/>
                <w:kern w:val="0"/>
                <w:sz w:val="24"/>
              </w:rPr>
            </w:pPr>
          </w:p>
        </w:tc>
        <w:tc>
          <w:tcPr>
            <w:tcW w:w="19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420" w:lineRule="exact"/>
              <w:jc w:val="center"/>
              <w:textAlignment w:val="center"/>
              <w:rPr>
                <w:rFonts w:eastAsia="仿宋_GB2312"/>
                <w:color w:val="000000"/>
                <w:kern w:val="0"/>
                <w:sz w:val="24"/>
              </w:rPr>
            </w:pPr>
            <w:r>
              <w:rPr>
                <w:rFonts w:eastAsia="仿宋_GB2312"/>
                <w:color w:val="000000"/>
                <w:kern w:val="0"/>
                <w:sz w:val="24"/>
              </w:rPr>
              <w:t>市应急局</w:t>
            </w:r>
            <w:r>
              <w:rPr>
                <w:rFonts w:eastAsia="仿宋_GB2312"/>
                <w:color w:val="000000"/>
                <w:kern w:val="0"/>
                <w:sz w:val="24"/>
              </w:rPr>
              <w:br w:type="textWrapping"/>
            </w:r>
            <w:r>
              <w:rPr>
                <w:rFonts w:eastAsia="仿宋_GB2312"/>
                <w:color w:val="000000"/>
                <w:kern w:val="0"/>
                <w:sz w:val="24"/>
              </w:rPr>
              <w:t xml:space="preserve">主要负责人 </w:t>
            </w:r>
          </w:p>
        </w:tc>
        <w:tc>
          <w:tcPr>
            <w:tcW w:w="10527" w:type="dxa"/>
            <w:vMerge w:val="continue"/>
            <w:tcBorders>
              <w:top w:val="single" w:color="000000" w:sz="4" w:space="0"/>
              <w:left w:val="nil"/>
              <w:bottom w:val="single" w:color="000000" w:sz="4" w:space="0"/>
              <w:right w:val="single" w:color="000000" w:sz="4" w:space="0"/>
            </w:tcBorders>
            <w:vAlign w:val="center"/>
          </w:tcPr>
          <w:p>
            <w:pPr>
              <w:widowControl/>
              <w:jc w:val="left"/>
              <w:rPr>
                <w:b/>
                <w:bCs/>
                <w:szCs w:val="21"/>
              </w:rPr>
            </w:pPr>
          </w:p>
        </w:tc>
      </w:tr>
      <w:tr>
        <w:tblPrEx>
          <w:tblCellMar>
            <w:top w:w="0" w:type="dxa"/>
            <w:left w:w="0" w:type="dxa"/>
            <w:bottom w:w="0" w:type="dxa"/>
            <w:right w:w="0" w:type="dxa"/>
          </w:tblCellMar>
        </w:tblPrEx>
        <w:trPr>
          <w:gridAfter w:val="1"/>
          <w:wAfter w:w="464" w:type="dxa"/>
          <w:trHeight w:val="1384" w:hRule="atLeast"/>
          <w:jc w:val="center"/>
        </w:trPr>
        <w:tc>
          <w:tcPr>
            <w:tcW w:w="1101" w:type="dxa"/>
            <w:vMerge w:val="continue"/>
            <w:tcBorders>
              <w:top w:val="nil"/>
              <w:left w:val="single" w:color="000000" w:sz="4" w:space="0"/>
              <w:bottom w:val="single" w:color="auto" w:sz="4" w:space="0"/>
              <w:right w:val="single" w:color="000000" w:sz="4" w:space="0"/>
            </w:tcBorders>
            <w:vAlign w:val="center"/>
          </w:tcPr>
          <w:p>
            <w:pPr>
              <w:widowControl/>
              <w:jc w:val="left"/>
              <w:rPr>
                <w:rFonts w:eastAsia="仿宋_GB2312"/>
                <w:color w:val="000000"/>
                <w:kern w:val="0"/>
                <w:sz w:val="24"/>
              </w:rPr>
            </w:pPr>
          </w:p>
        </w:tc>
        <w:tc>
          <w:tcPr>
            <w:tcW w:w="1915"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420" w:lineRule="exact"/>
              <w:jc w:val="center"/>
              <w:textAlignment w:val="center"/>
              <w:rPr>
                <w:rFonts w:eastAsia="仿宋_GB2312"/>
                <w:color w:val="000000"/>
                <w:sz w:val="24"/>
              </w:rPr>
            </w:pPr>
            <w:r>
              <w:rPr>
                <w:rFonts w:eastAsia="仿宋_GB2312"/>
                <w:color w:val="000000"/>
                <w:sz w:val="24"/>
              </w:rPr>
              <w:t>市消防支队</w:t>
            </w:r>
          </w:p>
          <w:p>
            <w:pPr>
              <w:pStyle w:val="102"/>
              <w:ind w:left="0" w:leftChars="0" w:firstLine="360" w:firstLineChars="150"/>
              <w:rPr>
                <w:rFonts w:ascii="Times New Roman" w:hAnsi="Times New Roman" w:cs="Times New Roman"/>
                <w:color w:val="000000"/>
              </w:rPr>
            </w:pPr>
            <w:r>
              <w:rPr>
                <w:rFonts w:ascii="Times New Roman" w:hAnsi="Times New Roman" w:cs="Times New Roman"/>
                <w:color w:val="000000"/>
              </w:rPr>
              <w:t>主要负责人</w:t>
            </w:r>
          </w:p>
        </w:tc>
        <w:tc>
          <w:tcPr>
            <w:tcW w:w="10527" w:type="dxa"/>
            <w:vMerge w:val="continue"/>
            <w:tcBorders>
              <w:top w:val="single" w:color="000000" w:sz="4" w:space="0"/>
              <w:left w:val="nil"/>
              <w:bottom w:val="single" w:color="000000" w:sz="4" w:space="0"/>
              <w:right w:val="single" w:color="000000" w:sz="4" w:space="0"/>
            </w:tcBorders>
            <w:vAlign w:val="center"/>
          </w:tcPr>
          <w:p>
            <w:pPr>
              <w:widowControl/>
              <w:jc w:val="left"/>
              <w:rPr>
                <w:b/>
                <w:bCs/>
                <w:szCs w:val="21"/>
              </w:rPr>
            </w:pPr>
          </w:p>
        </w:tc>
      </w:tr>
      <w:tr>
        <w:tblPrEx>
          <w:tblCellMar>
            <w:top w:w="0" w:type="dxa"/>
            <w:left w:w="0" w:type="dxa"/>
            <w:bottom w:w="0" w:type="dxa"/>
            <w:right w:w="0" w:type="dxa"/>
          </w:tblCellMar>
        </w:tblPrEx>
        <w:trPr>
          <w:gridAfter w:val="1"/>
          <w:wAfter w:w="464" w:type="dxa"/>
          <w:trHeight w:val="694" w:hRule="atLeast"/>
          <w:jc w:val="center"/>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eastAsia="仿宋_GB2312"/>
                <w:color w:val="000000"/>
                <w:kern w:val="0"/>
                <w:sz w:val="24"/>
              </w:rPr>
            </w:pPr>
          </w:p>
          <w:p>
            <w:pPr>
              <w:widowControl/>
              <w:spacing w:line="420" w:lineRule="exact"/>
              <w:jc w:val="center"/>
              <w:textAlignment w:val="center"/>
              <w:rPr>
                <w:rFonts w:eastAsia="仿宋_GB2312"/>
                <w:color w:val="000000"/>
                <w:kern w:val="0"/>
                <w:sz w:val="24"/>
              </w:rPr>
            </w:pPr>
            <w:r>
              <w:rPr>
                <w:rFonts w:eastAsia="仿宋_GB2312"/>
                <w:color w:val="000000"/>
                <w:kern w:val="0"/>
                <w:sz w:val="24"/>
              </w:rPr>
              <w:t>成</w:t>
            </w:r>
            <w:r>
              <w:rPr>
                <w:rFonts w:eastAsia="仿宋_GB2312"/>
                <w:color w:val="000000"/>
                <w:kern w:val="0"/>
                <w:sz w:val="24"/>
              </w:rPr>
              <w:br w:type="textWrapping"/>
            </w:r>
            <w:r>
              <w:rPr>
                <w:rFonts w:eastAsia="仿宋_GB2312"/>
                <w:color w:val="000000"/>
                <w:kern w:val="0"/>
                <w:sz w:val="24"/>
              </w:rPr>
              <w:t>员</w:t>
            </w:r>
          </w:p>
          <w:p>
            <w:pPr>
              <w:widowControl/>
              <w:spacing w:line="420" w:lineRule="exact"/>
              <w:jc w:val="center"/>
              <w:textAlignment w:val="center"/>
              <w:rPr>
                <w:rFonts w:eastAsia="仿宋_GB2312"/>
                <w:color w:val="000000"/>
                <w:kern w:val="0"/>
                <w:sz w:val="24"/>
              </w:rPr>
            </w:pPr>
            <w:r>
              <w:rPr>
                <w:rFonts w:eastAsia="仿宋_GB2312"/>
                <w:color w:val="000000"/>
                <w:kern w:val="0"/>
                <w:sz w:val="24"/>
              </w:rPr>
              <w:t>单</w:t>
            </w:r>
          </w:p>
          <w:p>
            <w:pPr>
              <w:widowControl/>
              <w:spacing w:line="420" w:lineRule="exact"/>
              <w:jc w:val="center"/>
              <w:textAlignment w:val="center"/>
              <w:rPr>
                <w:rFonts w:eastAsia="仿宋_GB2312"/>
                <w:color w:val="000000"/>
                <w:sz w:val="24"/>
              </w:rPr>
            </w:pPr>
            <w:r>
              <w:rPr>
                <w:rFonts w:eastAsia="仿宋_GB2312"/>
                <w:color w:val="000000"/>
                <w:kern w:val="0"/>
                <w:sz w:val="24"/>
              </w:rPr>
              <w:t>位</w:t>
            </w: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eastAsia="仿宋_GB2312"/>
                <w:color w:val="000000"/>
                <w:sz w:val="24"/>
              </w:rPr>
            </w:pPr>
            <w:r>
              <w:rPr>
                <w:rFonts w:eastAsia="仿宋_GB2312"/>
                <w:color w:val="000000"/>
                <w:kern w:val="0"/>
                <w:sz w:val="24"/>
              </w:rPr>
              <w:t>市委宣传部</w:t>
            </w:r>
          </w:p>
        </w:tc>
        <w:tc>
          <w:tcPr>
            <w:tcW w:w="10527" w:type="dxa"/>
            <w:tcBorders>
              <w:top w:val="single" w:color="000000"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exact"/>
              <w:ind w:firstLine="480" w:firstLineChars="200"/>
              <w:textAlignment w:val="center"/>
              <w:rPr>
                <w:rFonts w:eastAsia="仿宋_GB2312"/>
                <w:color w:val="000000"/>
                <w:sz w:val="24"/>
              </w:rPr>
            </w:pPr>
            <w:r>
              <w:rPr>
                <w:rFonts w:eastAsia="仿宋_GB2312"/>
                <w:color w:val="000000"/>
                <w:sz w:val="24"/>
              </w:rPr>
              <w:t>根据市现场指挥部的统一部署，组织协调新闻媒体开展应急新闻报道，积极引导舆论。</w:t>
            </w:r>
          </w:p>
        </w:tc>
      </w:tr>
      <w:tr>
        <w:tblPrEx>
          <w:tblCellMar>
            <w:top w:w="0" w:type="dxa"/>
            <w:left w:w="0" w:type="dxa"/>
            <w:bottom w:w="0" w:type="dxa"/>
            <w:right w:w="0" w:type="dxa"/>
          </w:tblCellMar>
        </w:tblPrEx>
        <w:trPr>
          <w:gridAfter w:val="1"/>
          <w:wAfter w:w="464" w:type="dxa"/>
          <w:trHeight w:val="679"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jc w:val="center"/>
              <w:textAlignment w:val="center"/>
              <w:rPr>
                <w:rStyle w:val="44"/>
                <w:rFonts w:eastAsia="仿宋_GB2312"/>
                <w:sz w:val="24"/>
              </w:rPr>
            </w:pPr>
            <w:r>
              <w:rPr>
                <w:rStyle w:val="44"/>
                <w:rFonts w:eastAsia="仿宋_GB2312"/>
                <w:sz w:val="24"/>
              </w:rPr>
              <w:t>市发展改革委</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负责协调落实市级重要物资和应急储备物资动用计划和指令。</w:t>
            </w:r>
          </w:p>
        </w:tc>
      </w:tr>
      <w:tr>
        <w:tblPrEx>
          <w:tblCellMar>
            <w:top w:w="0" w:type="dxa"/>
            <w:left w:w="0" w:type="dxa"/>
            <w:bottom w:w="0" w:type="dxa"/>
            <w:right w:w="0" w:type="dxa"/>
          </w:tblCellMar>
        </w:tblPrEx>
        <w:trPr>
          <w:gridAfter w:val="1"/>
          <w:wAfter w:w="464" w:type="dxa"/>
          <w:trHeight w:val="1048"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市工信局</w:t>
            </w:r>
          </w:p>
          <w:p>
            <w:pPr>
              <w:widowControl/>
              <w:spacing w:line="420" w:lineRule="exact"/>
              <w:jc w:val="center"/>
              <w:textAlignment w:val="center"/>
              <w:rPr>
                <w:rStyle w:val="44"/>
                <w:rFonts w:eastAsia="仿宋_GB2312"/>
                <w:sz w:val="24"/>
              </w:rPr>
            </w:pPr>
            <w:r>
              <w:rPr>
                <w:rStyle w:val="44"/>
                <w:rFonts w:eastAsia="仿宋_GB2312"/>
                <w:sz w:val="24"/>
              </w:rPr>
              <w:t>（市国资委）</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负责紧急状态下重要物资生产组织工作；负责尾矿库生产安全事故应对中市级应急医药储备的调拨保障；</w:t>
            </w:r>
            <w:r>
              <w:rPr>
                <w:rFonts w:eastAsia="仿宋_GB2312"/>
                <w:color w:val="000000"/>
                <w:sz w:val="24"/>
              </w:rPr>
              <w:t>负责组织协调电信运营企业做好事故抢险救援通信保障应急工作；</w:t>
            </w:r>
          </w:p>
        </w:tc>
      </w:tr>
      <w:tr>
        <w:tblPrEx>
          <w:tblCellMar>
            <w:top w:w="0" w:type="dxa"/>
            <w:left w:w="0" w:type="dxa"/>
            <w:bottom w:w="0" w:type="dxa"/>
            <w:right w:w="0" w:type="dxa"/>
          </w:tblCellMar>
        </w:tblPrEx>
        <w:trPr>
          <w:gridAfter w:val="1"/>
          <w:wAfter w:w="464" w:type="dxa"/>
          <w:trHeight w:val="1212"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市公安局</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负责组织和指导属地公安机关做好事故现场警戒、人员摸排、治安维护，负责组织和指导属地公安交警部门做好事故现场周边的道路交通管理工作。</w:t>
            </w:r>
          </w:p>
        </w:tc>
      </w:tr>
      <w:tr>
        <w:tblPrEx>
          <w:tblCellMar>
            <w:top w:w="0" w:type="dxa"/>
            <w:left w:w="0" w:type="dxa"/>
            <w:bottom w:w="0" w:type="dxa"/>
            <w:right w:w="0" w:type="dxa"/>
          </w:tblCellMar>
        </w:tblPrEx>
        <w:trPr>
          <w:gridAfter w:val="1"/>
          <w:wAfter w:w="464" w:type="dxa"/>
          <w:trHeight w:val="629"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市民政局</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负责指导做好遇难人员遗体火化工作。</w:t>
            </w:r>
          </w:p>
        </w:tc>
      </w:tr>
      <w:tr>
        <w:tblPrEx>
          <w:tblCellMar>
            <w:top w:w="0" w:type="dxa"/>
            <w:left w:w="0" w:type="dxa"/>
            <w:bottom w:w="0" w:type="dxa"/>
            <w:right w:w="0" w:type="dxa"/>
          </w:tblCellMar>
        </w:tblPrEx>
        <w:trPr>
          <w:gridAfter w:val="1"/>
          <w:wAfter w:w="464" w:type="dxa"/>
          <w:trHeight w:val="1673"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市财政局</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按照分级负担原则，负责落实扑救生产安全事故所需经费和生产安全事故应急救援项目配套资金；负责及时支付经市指挥部协调救援工作发生的医疗救助、事故评估等市级应急救援费用；做好应急资金使用的监督管理工作。</w:t>
            </w:r>
          </w:p>
        </w:tc>
      </w:tr>
      <w:tr>
        <w:tblPrEx>
          <w:tblCellMar>
            <w:top w:w="0" w:type="dxa"/>
            <w:left w:w="0" w:type="dxa"/>
            <w:bottom w:w="0" w:type="dxa"/>
            <w:right w:w="0" w:type="dxa"/>
          </w:tblCellMar>
        </w:tblPrEx>
        <w:trPr>
          <w:gridAfter w:val="1"/>
          <w:wAfter w:w="464" w:type="dxa"/>
          <w:trHeight w:val="972"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jc w:val="center"/>
              <w:textAlignment w:val="center"/>
              <w:rPr>
                <w:rStyle w:val="44"/>
                <w:rFonts w:eastAsia="仿宋_GB2312"/>
                <w:sz w:val="24"/>
              </w:rPr>
            </w:pPr>
            <w:r>
              <w:rPr>
                <w:rStyle w:val="44"/>
                <w:rFonts w:eastAsia="仿宋_GB2312"/>
                <w:sz w:val="24"/>
              </w:rPr>
              <w:t>市自然资源局</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负责会同市气象局发布地质灾害气象风险预警，为尾矿库生产安全事故引发的地质灾害的应急救援提供技术支撑。</w:t>
            </w:r>
          </w:p>
        </w:tc>
      </w:tr>
      <w:tr>
        <w:tblPrEx>
          <w:tblCellMar>
            <w:top w:w="0" w:type="dxa"/>
            <w:left w:w="0" w:type="dxa"/>
            <w:bottom w:w="0" w:type="dxa"/>
            <w:right w:w="0" w:type="dxa"/>
          </w:tblCellMar>
        </w:tblPrEx>
        <w:trPr>
          <w:gridAfter w:val="1"/>
          <w:wAfter w:w="464" w:type="dxa"/>
          <w:trHeight w:val="1258"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jc w:val="center"/>
              <w:textAlignment w:val="center"/>
              <w:rPr>
                <w:rStyle w:val="44"/>
                <w:rFonts w:eastAsia="仿宋_GB2312"/>
                <w:sz w:val="24"/>
              </w:rPr>
            </w:pPr>
            <w:r>
              <w:rPr>
                <w:rStyle w:val="44"/>
                <w:rFonts w:eastAsia="仿宋_GB2312"/>
                <w:sz w:val="24"/>
              </w:rPr>
              <w:t>市生态环境局</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负责尾矿库生产安全事故对大气、水体、土壤环境污染影响的环境应急监测工作，并根据监测结果及时提出次生环境污染事件的防控建议。</w:t>
            </w:r>
          </w:p>
        </w:tc>
      </w:tr>
      <w:tr>
        <w:tblPrEx>
          <w:tblCellMar>
            <w:top w:w="0" w:type="dxa"/>
            <w:left w:w="0" w:type="dxa"/>
            <w:bottom w:w="0" w:type="dxa"/>
            <w:right w:w="0" w:type="dxa"/>
          </w:tblCellMar>
        </w:tblPrEx>
        <w:trPr>
          <w:gridAfter w:val="1"/>
          <w:wAfter w:w="464" w:type="dxa"/>
          <w:trHeight w:val="927" w:hRule="atLeast"/>
          <w:jc w:val="center"/>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eastAsia="仿宋_GB2312"/>
                <w:color w:val="000000"/>
                <w:kern w:val="0"/>
                <w:sz w:val="24"/>
              </w:rPr>
            </w:pPr>
            <w:r>
              <w:rPr>
                <w:rFonts w:eastAsia="仿宋_GB2312"/>
                <w:color w:val="000000"/>
                <w:kern w:val="0"/>
                <w:sz w:val="24"/>
              </w:rPr>
              <w:t>成</w:t>
            </w:r>
            <w:r>
              <w:rPr>
                <w:rFonts w:eastAsia="仿宋_GB2312"/>
                <w:color w:val="000000"/>
                <w:kern w:val="0"/>
                <w:sz w:val="24"/>
              </w:rPr>
              <w:br w:type="textWrapping"/>
            </w:r>
            <w:r>
              <w:rPr>
                <w:rFonts w:eastAsia="仿宋_GB2312"/>
                <w:color w:val="000000"/>
                <w:kern w:val="0"/>
                <w:sz w:val="24"/>
              </w:rPr>
              <w:t>员</w:t>
            </w:r>
          </w:p>
          <w:p>
            <w:pPr>
              <w:widowControl/>
              <w:spacing w:line="420" w:lineRule="exact"/>
              <w:jc w:val="center"/>
              <w:textAlignment w:val="center"/>
              <w:rPr>
                <w:rFonts w:eastAsia="仿宋_GB2312"/>
                <w:color w:val="000000"/>
                <w:kern w:val="0"/>
                <w:sz w:val="24"/>
              </w:rPr>
            </w:pPr>
            <w:r>
              <w:rPr>
                <w:rFonts w:eastAsia="仿宋_GB2312"/>
                <w:color w:val="000000"/>
                <w:kern w:val="0"/>
                <w:sz w:val="24"/>
              </w:rPr>
              <w:t>单</w:t>
            </w:r>
          </w:p>
          <w:p>
            <w:pPr>
              <w:spacing w:line="420" w:lineRule="exact"/>
              <w:jc w:val="center"/>
              <w:textAlignment w:val="center"/>
              <w:rPr>
                <w:rFonts w:eastAsia="仿宋_GB2312"/>
                <w:color w:val="000000"/>
                <w:sz w:val="24"/>
              </w:rPr>
            </w:pPr>
            <w:r>
              <w:rPr>
                <w:rFonts w:eastAsia="仿宋_GB2312"/>
                <w:color w:val="000000"/>
                <w:kern w:val="0"/>
                <w:sz w:val="24"/>
              </w:rPr>
              <w:t>位</w:t>
            </w: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eastAsia="仿宋_GB2312"/>
                <w:color w:val="000000"/>
                <w:kern w:val="0"/>
                <w:sz w:val="24"/>
              </w:rPr>
            </w:pPr>
            <w:r>
              <w:rPr>
                <w:rFonts w:eastAsia="仿宋_GB2312"/>
                <w:color w:val="000000"/>
                <w:kern w:val="0"/>
                <w:sz w:val="24"/>
              </w:rPr>
              <w:t>市交通局</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exact"/>
              <w:ind w:firstLine="480" w:firstLineChars="200"/>
              <w:rPr>
                <w:rFonts w:eastAsia="仿宋_GB2312"/>
                <w:color w:val="000000"/>
                <w:sz w:val="24"/>
              </w:rPr>
            </w:pPr>
            <w:r>
              <w:rPr>
                <w:rFonts w:eastAsia="仿宋_GB2312"/>
                <w:color w:val="000000"/>
                <w:sz w:val="24"/>
              </w:rPr>
              <w:t>负责组织协调交通运力，做好应急救援物资的运输工作；为应急救援车辆提供绿色通道；协调有关部门为应急救援物资、人员提供民用机场保障。</w:t>
            </w:r>
          </w:p>
        </w:tc>
      </w:tr>
      <w:tr>
        <w:tblPrEx>
          <w:tblCellMar>
            <w:top w:w="0" w:type="dxa"/>
            <w:left w:w="0" w:type="dxa"/>
            <w:bottom w:w="0" w:type="dxa"/>
            <w:right w:w="0" w:type="dxa"/>
          </w:tblCellMar>
        </w:tblPrEx>
        <w:trPr>
          <w:gridAfter w:val="1"/>
          <w:wAfter w:w="464" w:type="dxa"/>
          <w:trHeight w:val="1023"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jc w:val="center"/>
              <w:textAlignment w:val="center"/>
              <w:rPr>
                <w:rStyle w:val="44"/>
                <w:rFonts w:eastAsia="仿宋_GB2312"/>
                <w:sz w:val="24"/>
              </w:rPr>
            </w:pPr>
            <w:r>
              <w:rPr>
                <w:rStyle w:val="44"/>
                <w:rFonts w:eastAsia="仿宋_GB2312"/>
                <w:sz w:val="24"/>
              </w:rPr>
              <w:t>市卫健委</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负责组织开展事故伤病员救治和相关区域卫生处理等紧急医学救援工作，为现场抢险救援人员提供必要的医疗卫生保障。</w:t>
            </w:r>
          </w:p>
        </w:tc>
      </w:tr>
      <w:tr>
        <w:tblPrEx>
          <w:tblCellMar>
            <w:top w:w="0" w:type="dxa"/>
            <w:left w:w="0" w:type="dxa"/>
            <w:bottom w:w="0" w:type="dxa"/>
            <w:right w:w="0" w:type="dxa"/>
          </w:tblCellMar>
        </w:tblPrEx>
        <w:trPr>
          <w:gridAfter w:val="1"/>
          <w:wAfter w:w="464" w:type="dxa"/>
          <w:trHeight w:val="1374"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ind w:firstLine="480" w:firstLineChars="200"/>
              <w:textAlignment w:val="center"/>
              <w:rPr>
                <w:rStyle w:val="44"/>
                <w:rFonts w:eastAsia="仿宋_GB2312"/>
                <w:sz w:val="24"/>
              </w:rPr>
            </w:pPr>
            <w:r>
              <w:rPr>
                <w:rStyle w:val="44"/>
                <w:rFonts w:eastAsia="仿宋_GB2312"/>
                <w:sz w:val="24"/>
              </w:rPr>
              <w:t>市应急局</w:t>
            </w:r>
          </w:p>
        </w:tc>
        <w:tc>
          <w:tcPr>
            <w:tcW w:w="10527"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60" w:lineRule="exact"/>
              <w:ind w:firstLine="480" w:firstLineChars="200"/>
              <w:rPr>
                <w:rStyle w:val="44"/>
                <w:rFonts w:eastAsia="仿宋_GB2312"/>
                <w:sz w:val="24"/>
              </w:rPr>
            </w:pPr>
            <w:r>
              <w:rPr>
                <w:rFonts w:eastAsia="仿宋_GB2312"/>
                <w:color w:val="000000"/>
                <w:sz w:val="24"/>
              </w:rPr>
              <w:t>承担指挥部办公室有关职责，负责组织协调有关部门做好尾矿库生产安全事故应急处置的各项工作，开展尾矿库生产安全事故预防和隐患排查治理工作，组织开展尾矿库生产安全事故应急演练，负责尾矿库生产安全事故应急救援队伍、装备和设施建设。</w:t>
            </w:r>
          </w:p>
        </w:tc>
      </w:tr>
      <w:tr>
        <w:tblPrEx>
          <w:tblCellMar>
            <w:top w:w="0" w:type="dxa"/>
            <w:left w:w="0" w:type="dxa"/>
            <w:bottom w:w="0" w:type="dxa"/>
            <w:right w:w="0" w:type="dxa"/>
          </w:tblCellMar>
        </w:tblPrEx>
        <w:trPr>
          <w:gridAfter w:val="1"/>
          <w:wAfter w:w="464" w:type="dxa"/>
          <w:trHeight w:val="681"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20" w:lineRule="exact"/>
              <w:jc w:val="center"/>
              <w:textAlignment w:val="center"/>
              <w:rPr>
                <w:rStyle w:val="44"/>
                <w:rFonts w:eastAsia="仿宋_GB2312"/>
                <w:sz w:val="24"/>
              </w:rPr>
            </w:pPr>
            <w:r>
              <w:rPr>
                <w:rStyle w:val="44"/>
                <w:rFonts w:eastAsia="仿宋_GB2312"/>
                <w:sz w:val="24"/>
              </w:rPr>
              <w:t>市市场监管局</w:t>
            </w:r>
          </w:p>
        </w:tc>
        <w:tc>
          <w:tcPr>
            <w:tcW w:w="10527"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60" w:lineRule="exact"/>
              <w:ind w:firstLine="480" w:firstLineChars="200"/>
              <w:rPr>
                <w:rFonts w:eastAsia="仿宋_GB2312"/>
                <w:color w:val="000000"/>
                <w:sz w:val="24"/>
              </w:rPr>
            </w:pPr>
            <w:r>
              <w:rPr>
                <w:rFonts w:eastAsia="仿宋_GB2312"/>
                <w:color w:val="000000"/>
                <w:sz w:val="24"/>
              </w:rPr>
              <w:t>负责参加尾矿库企业特种设备事故应急抢险和特种设备事故调查工作。</w:t>
            </w:r>
          </w:p>
        </w:tc>
      </w:tr>
      <w:tr>
        <w:tblPrEx>
          <w:tblCellMar>
            <w:top w:w="0" w:type="dxa"/>
            <w:left w:w="0" w:type="dxa"/>
            <w:bottom w:w="0" w:type="dxa"/>
            <w:right w:w="0" w:type="dxa"/>
          </w:tblCellMar>
        </w:tblPrEx>
        <w:trPr>
          <w:gridAfter w:val="1"/>
          <w:wAfter w:w="464" w:type="dxa"/>
          <w:trHeight w:val="665"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eastAsia="仿宋_GB2312"/>
                <w:color w:val="000000"/>
                <w:sz w:val="24"/>
              </w:rPr>
            </w:pPr>
            <w:r>
              <w:rPr>
                <w:rFonts w:eastAsia="仿宋_GB2312"/>
                <w:color w:val="000000"/>
                <w:kern w:val="0"/>
                <w:sz w:val="24"/>
              </w:rPr>
              <w:t>市能源局</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exact"/>
              <w:ind w:firstLine="480" w:firstLineChars="200"/>
              <w:rPr>
                <w:rFonts w:eastAsia="仿宋_GB2312"/>
                <w:color w:val="000000"/>
                <w:sz w:val="24"/>
              </w:rPr>
            </w:pPr>
            <w:r>
              <w:rPr>
                <w:rFonts w:eastAsia="仿宋_GB2312"/>
                <w:color w:val="000000"/>
                <w:sz w:val="24"/>
              </w:rPr>
              <w:t>负责协调电力企业对尾矿库生产安全事故应急救援的电力保障工作。</w:t>
            </w:r>
          </w:p>
        </w:tc>
      </w:tr>
      <w:tr>
        <w:tblPrEx>
          <w:tblCellMar>
            <w:top w:w="0" w:type="dxa"/>
            <w:left w:w="0" w:type="dxa"/>
            <w:bottom w:w="0" w:type="dxa"/>
            <w:right w:w="0" w:type="dxa"/>
          </w:tblCellMar>
        </w:tblPrEx>
        <w:trPr>
          <w:gridAfter w:val="1"/>
          <w:wAfter w:w="464" w:type="dxa"/>
          <w:trHeight w:val="947"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eastAsia="仿宋_GB2312"/>
                <w:color w:val="000000"/>
                <w:sz w:val="24"/>
              </w:rPr>
            </w:pPr>
            <w:r>
              <w:rPr>
                <w:rFonts w:eastAsia="仿宋_GB2312"/>
                <w:color w:val="000000"/>
                <w:kern w:val="0"/>
                <w:sz w:val="24"/>
              </w:rPr>
              <w:t>市气象局</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exact"/>
              <w:ind w:firstLine="480" w:firstLineChars="200"/>
              <w:rPr>
                <w:rFonts w:eastAsia="仿宋_GB2312"/>
                <w:color w:val="000000"/>
                <w:sz w:val="24"/>
              </w:rPr>
            </w:pPr>
            <w:r>
              <w:rPr>
                <w:rFonts w:eastAsia="仿宋_GB2312"/>
                <w:color w:val="000000"/>
                <w:sz w:val="24"/>
              </w:rPr>
              <w:t>负责定时向市指挥部提供短期和中、长期气象预报、预测；及时向现场指挥部提供天气形势分析数据，为应急指挥提供辅助决策支持。</w:t>
            </w:r>
          </w:p>
        </w:tc>
      </w:tr>
      <w:tr>
        <w:tblPrEx>
          <w:tblCellMar>
            <w:top w:w="0" w:type="dxa"/>
            <w:left w:w="0" w:type="dxa"/>
            <w:bottom w:w="0" w:type="dxa"/>
            <w:right w:w="0" w:type="dxa"/>
          </w:tblCellMar>
        </w:tblPrEx>
        <w:trPr>
          <w:gridAfter w:val="1"/>
          <w:wAfter w:w="464" w:type="dxa"/>
          <w:trHeight w:val="671"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eastAsia="仿宋_GB2312"/>
                <w:color w:val="000000"/>
                <w:sz w:val="24"/>
              </w:rPr>
            </w:pPr>
            <w:r>
              <w:rPr>
                <w:rFonts w:eastAsia="仿宋_GB2312"/>
                <w:color w:val="000000"/>
                <w:kern w:val="0"/>
                <w:sz w:val="24"/>
              </w:rPr>
              <w:t>市消防救援支队</w:t>
            </w:r>
          </w:p>
        </w:tc>
        <w:tc>
          <w:tcPr>
            <w:tcW w:w="1052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exact"/>
              <w:ind w:firstLine="480" w:firstLineChars="200"/>
              <w:rPr>
                <w:rFonts w:eastAsia="仿宋_GB2312"/>
                <w:color w:val="000000"/>
                <w:sz w:val="24"/>
              </w:rPr>
            </w:pPr>
            <w:r>
              <w:rPr>
                <w:rFonts w:eastAsia="仿宋_GB2312"/>
                <w:color w:val="000000"/>
                <w:sz w:val="24"/>
              </w:rPr>
              <w:t>参与事故应急救援和处置工作。</w:t>
            </w:r>
          </w:p>
        </w:tc>
      </w:tr>
      <w:tr>
        <w:tblPrEx>
          <w:tblCellMar>
            <w:top w:w="0" w:type="dxa"/>
            <w:left w:w="0" w:type="dxa"/>
            <w:bottom w:w="0" w:type="dxa"/>
            <w:right w:w="0" w:type="dxa"/>
          </w:tblCellMar>
        </w:tblPrEx>
        <w:trPr>
          <w:gridAfter w:val="1"/>
          <w:wAfter w:w="464" w:type="dxa"/>
          <w:trHeight w:val="975"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color w:val="000000"/>
                <w:sz w:val="24"/>
              </w:rPr>
            </w:pPr>
            <w:r>
              <w:rPr>
                <w:rFonts w:eastAsia="仿宋_GB2312"/>
                <w:color w:val="000000"/>
                <w:sz w:val="24"/>
              </w:rPr>
              <w:t>忻州军分区</w:t>
            </w:r>
          </w:p>
          <w:p>
            <w:pPr>
              <w:widowControl/>
              <w:spacing w:line="360" w:lineRule="exact"/>
              <w:jc w:val="center"/>
              <w:rPr>
                <w:rFonts w:eastAsia="仿宋_GB2312"/>
                <w:color w:val="000000"/>
                <w:sz w:val="24"/>
              </w:rPr>
            </w:pPr>
            <w:r>
              <w:rPr>
                <w:rFonts w:eastAsia="仿宋_GB2312"/>
                <w:color w:val="000000"/>
                <w:sz w:val="24"/>
              </w:rPr>
              <w:t>战备建设处</w:t>
            </w:r>
          </w:p>
        </w:tc>
        <w:tc>
          <w:tcPr>
            <w:tcW w:w="105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ind w:firstLine="480" w:firstLineChars="200"/>
              <w:rPr>
                <w:rFonts w:eastAsia="仿宋_GB2312"/>
                <w:color w:val="000000"/>
                <w:sz w:val="24"/>
              </w:rPr>
            </w:pPr>
            <w:r>
              <w:rPr>
                <w:rFonts w:eastAsia="仿宋_GB2312"/>
                <w:color w:val="000000"/>
                <w:sz w:val="24"/>
              </w:rPr>
              <w:t>根据地方应急救援工作需要，组织所属力量，协调驻军参加生产安全事故应急救援。</w:t>
            </w:r>
          </w:p>
        </w:tc>
      </w:tr>
      <w:tr>
        <w:tblPrEx>
          <w:tblCellMar>
            <w:top w:w="0" w:type="dxa"/>
            <w:left w:w="0" w:type="dxa"/>
            <w:bottom w:w="0" w:type="dxa"/>
            <w:right w:w="0" w:type="dxa"/>
          </w:tblCellMar>
        </w:tblPrEx>
        <w:trPr>
          <w:gridAfter w:val="1"/>
          <w:wAfter w:w="464" w:type="dxa"/>
          <w:trHeight w:val="975"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rPr>
                <w:rFonts w:eastAsia="仿宋_GB2312"/>
                <w:color w:val="000000"/>
                <w:sz w:val="24"/>
              </w:rPr>
            </w:pPr>
            <w:r>
              <w:rPr>
                <w:rFonts w:eastAsia="仿宋_GB2312"/>
                <w:color w:val="000000"/>
                <w:sz w:val="24"/>
              </w:rPr>
              <w:t>武警忻州支队</w:t>
            </w:r>
          </w:p>
        </w:tc>
        <w:tc>
          <w:tcPr>
            <w:tcW w:w="105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ind w:firstLine="480" w:firstLineChars="200"/>
              <w:rPr>
                <w:rFonts w:eastAsia="仿宋_GB2312"/>
                <w:color w:val="000000"/>
                <w:sz w:val="24"/>
              </w:rPr>
            </w:pPr>
            <w:r>
              <w:rPr>
                <w:rFonts w:eastAsia="仿宋_GB2312"/>
                <w:color w:val="000000"/>
                <w:sz w:val="24"/>
              </w:rPr>
              <w:t>根据应急救援工作需要，组织指挥所属武警部队参加生产安全事故应急救援工作，协助公安机关维护当地社会秩序。</w:t>
            </w:r>
          </w:p>
        </w:tc>
      </w:tr>
      <w:tr>
        <w:tblPrEx>
          <w:tblCellMar>
            <w:top w:w="0" w:type="dxa"/>
            <w:left w:w="0" w:type="dxa"/>
            <w:bottom w:w="0" w:type="dxa"/>
            <w:right w:w="0" w:type="dxa"/>
          </w:tblCellMar>
        </w:tblPrEx>
        <w:trPr>
          <w:trHeight w:val="680" w:hRule="atLeast"/>
          <w:jc w:val="center"/>
        </w:trPr>
        <w:tc>
          <w:tcPr>
            <w:tcW w:w="14007" w:type="dxa"/>
            <w:gridSpan w:val="4"/>
            <w:tcBorders>
              <w:top w:val="nil"/>
              <w:left w:val="nil"/>
              <w:bottom w:val="nil"/>
              <w:right w:val="nil"/>
            </w:tcBorders>
            <w:tcMar>
              <w:top w:w="15" w:type="dxa"/>
              <w:left w:w="15" w:type="dxa"/>
              <w:bottom w:w="0" w:type="dxa"/>
              <w:right w:w="15" w:type="dxa"/>
            </w:tcMar>
          </w:tcPr>
          <w:tbl>
            <w:tblPr>
              <w:tblStyle w:val="32"/>
              <w:tblW w:w="14008" w:type="dxa"/>
              <w:jc w:val="center"/>
              <w:tblLayout w:type="fixed"/>
              <w:tblCellMar>
                <w:top w:w="0" w:type="dxa"/>
                <w:left w:w="0" w:type="dxa"/>
                <w:bottom w:w="0" w:type="dxa"/>
                <w:right w:w="0" w:type="dxa"/>
              </w:tblCellMar>
            </w:tblPr>
            <w:tblGrid>
              <w:gridCol w:w="3208"/>
              <w:gridCol w:w="4050"/>
              <w:gridCol w:w="3720"/>
              <w:gridCol w:w="3030"/>
            </w:tblGrid>
            <w:tr>
              <w:tblPrEx>
                <w:tblCellMar>
                  <w:top w:w="0" w:type="dxa"/>
                  <w:left w:w="0" w:type="dxa"/>
                  <w:bottom w:w="0" w:type="dxa"/>
                  <w:right w:w="0" w:type="dxa"/>
                </w:tblCellMar>
              </w:tblPrEx>
              <w:trPr>
                <w:trHeight w:val="840" w:hRule="atLeast"/>
                <w:jc w:val="center"/>
              </w:trPr>
              <w:tc>
                <w:tcPr>
                  <w:tcW w:w="14008" w:type="dxa"/>
                  <w:gridSpan w:val="4"/>
                  <w:tcBorders>
                    <w:top w:val="nil"/>
                    <w:left w:val="nil"/>
                    <w:bottom w:val="nil"/>
                    <w:right w:val="nil"/>
                  </w:tcBorders>
                  <w:tcMar>
                    <w:top w:w="15" w:type="dxa"/>
                    <w:left w:w="15" w:type="dxa"/>
                    <w:bottom w:w="0" w:type="dxa"/>
                    <w:right w:w="15" w:type="dxa"/>
                  </w:tcMar>
                </w:tcPr>
                <w:p>
                  <w:pPr>
                    <w:widowControl/>
                    <w:jc w:val="left"/>
                    <w:textAlignment w:val="top"/>
                    <w:rPr>
                      <w:rFonts w:eastAsia="仿宋_GB2312"/>
                      <w:color w:val="000000"/>
                      <w:sz w:val="32"/>
                      <w:szCs w:val="32"/>
                    </w:rPr>
                  </w:pPr>
                  <w:r>
                    <w:rPr>
                      <w:rFonts w:eastAsia="仿宋_GB2312"/>
                      <w:color w:val="000000"/>
                      <w:kern w:val="0"/>
                      <w:sz w:val="32"/>
                      <w:szCs w:val="32"/>
                    </w:rPr>
                    <w:t xml:space="preserve">附件3：                  </w:t>
                  </w:r>
                </w:p>
              </w:tc>
            </w:tr>
            <w:tr>
              <w:tblPrEx>
                <w:tblCellMar>
                  <w:top w:w="0" w:type="dxa"/>
                  <w:left w:w="0" w:type="dxa"/>
                  <w:bottom w:w="0" w:type="dxa"/>
                  <w:right w:w="0" w:type="dxa"/>
                </w:tblCellMar>
              </w:tblPrEx>
              <w:trPr>
                <w:trHeight w:val="780" w:hRule="atLeast"/>
                <w:jc w:val="center"/>
              </w:trPr>
              <w:tc>
                <w:tcPr>
                  <w:tcW w:w="14008" w:type="dxa"/>
                  <w:gridSpan w:val="4"/>
                  <w:tcBorders>
                    <w:top w:val="nil"/>
                    <w:left w:val="nil"/>
                    <w:bottom w:val="single" w:color="auto" w:sz="4" w:space="0"/>
                    <w:right w:val="nil"/>
                  </w:tcBorders>
                  <w:tcMar>
                    <w:top w:w="15" w:type="dxa"/>
                    <w:left w:w="15" w:type="dxa"/>
                    <w:bottom w:w="0" w:type="dxa"/>
                    <w:right w:w="15" w:type="dxa"/>
                  </w:tcMar>
                  <w:vAlign w:val="center"/>
                </w:tcPr>
                <w:p>
                  <w:pPr>
                    <w:widowControl/>
                    <w:jc w:val="center"/>
                    <w:textAlignment w:val="center"/>
                    <w:rPr>
                      <w:rFonts w:eastAsia="方正大标宋简体"/>
                      <w:color w:val="000000"/>
                      <w:sz w:val="44"/>
                      <w:szCs w:val="44"/>
                    </w:rPr>
                  </w:pPr>
                  <w:r>
                    <w:rPr>
                      <w:rFonts w:eastAsia="方正大标宋简体"/>
                      <w:color w:val="000000"/>
                      <w:sz w:val="44"/>
                      <w:szCs w:val="44"/>
                    </w:rPr>
                    <w:t>尾矿库生产安全事故分级</w:t>
                  </w:r>
                </w:p>
                <w:p>
                  <w:pPr>
                    <w:pStyle w:val="102"/>
                    <w:ind w:left="420" w:firstLine="480"/>
                    <w:rPr>
                      <w:rFonts w:ascii="Times New Roman" w:hAnsi="Times New Roman" w:cs="Times New Roman"/>
                      <w:color w:val="000000"/>
                    </w:rPr>
                  </w:pPr>
                </w:p>
              </w:tc>
            </w:tr>
            <w:tr>
              <w:tblPrEx>
                <w:tblCellMar>
                  <w:top w:w="0" w:type="dxa"/>
                  <w:left w:w="0" w:type="dxa"/>
                  <w:bottom w:w="0" w:type="dxa"/>
                  <w:right w:w="0" w:type="dxa"/>
                </w:tblCellMar>
              </w:tblPrEx>
              <w:trPr>
                <w:trHeight w:val="946" w:hRule="atLeast"/>
                <w:jc w:val="center"/>
              </w:trPr>
              <w:tc>
                <w:tcPr>
                  <w:tcW w:w="3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eastAsia="黑体"/>
                      <w:color w:val="000000"/>
                      <w:kern w:val="0"/>
                      <w:sz w:val="32"/>
                      <w:szCs w:val="32"/>
                    </w:rPr>
                  </w:pPr>
                  <w:r>
                    <w:rPr>
                      <w:rFonts w:eastAsia="黑体"/>
                      <w:color w:val="000000"/>
                      <w:kern w:val="0"/>
                      <w:sz w:val="32"/>
                      <w:szCs w:val="32"/>
                    </w:rPr>
                    <w:t>特别重大事故</w:t>
                  </w:r>
                </w:p>
              </w:tc>
              <w:tc>
                <w:tcPr>
                  <w:tcW w:w="40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eastAsia="黑体"/>
                      <w:color w:val="000000"/>
                      <w:kern w:val="0"/>
                      <w:sz w:val="32"/>
                      <w:szCs w:val="32"/>
                    </w:rPr>
                  </w:pPr>
                  <w:r>
                    <w:rPr>
                      <w:rFonts w:eastAsia="黑体"/>
                      <w:color w:val="000000"/>
                      <w:kern w:val="0"/>
                      <w:sz w:val="32"/>
                      <w:szCs w:val="32"/>
                    </w:rPr>
                    <w:t>重大事故</w:t>
                  </w:r>
                </w:p>
              </w:tc>
              <w:tc>
                <w:tcPr>
                  <w:tcW w:w="37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eastAsia="黑体"/>
                      <w:color w:val="000000"/>
                      <w:kern w:val="0"/>
                      <w:sz w:val="32"/>
                      <w:szCs w:val="32"/>
                    </w:rPr>
                  </w:pPr>
                  <w:r>
                    <w:rPr>
                      <w:rFonts w:eastAsia="黑体"/>
                      <w:color w:val="000000"/>
                      <w:kern w:val="0"/>
                      <w:sz w:val="32"/>
                      <w:szCs w:val="32"/>
                    </w:rPr>
                    <w:t>较大事故</w:t>
                  </w:r>
                </w:p>
              </w:tc>
              <w:tc>
                <w:tcPr>
                  <w:tcW w:w="30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eastAsia="黑体"/>
                      <w:color w:val="000000"/>
                      <w:kern w:val="0"/>
                      <w:sz w:val="32"/>
                      <w:szCs w:val="32"/>
                    </w:rPr>
                  </w:pPr>
                  <w:r>
                    <w:rPr>
                      <w:rFonts w:eastAsia="黑体"/>
                      <w:color w:val="000000"/>
                      <w:kern w:val="0"/>
                      <w:sz w:val="32"/>
                      <w:szCs w:val="32"/>
                    </w:rPr>
                    <w:t>一般事故</w:t>
                  </w:r>
                </w:p>
              </w:tc>
            </w:tr>
            <w:tr>
              <w:tblPrEx>
                <w:tblCellMar>
                  <w:top w:w="0" w:type="dxa"/>
                  <w:left w:w="0" w:type="dxa"/>
                  <w:bottom w:w="0" w:type="dxa"/>
                  <w:right w:w="0" w:type="dxa"/>
                </w:tblCellMar>
              </w:tblPrEx>
              <w:trPr>
                <w:trHeight w:val="3654" w:hRule="atLeast"/>
                <w:jc w:val="center"/>
              </w:trPr>
              <w:tc>
                <w:tcPr>
                  <w:tcW w:w="3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40" w:lineRule="exact"/>
                    <w:ind w:firstLine="560" w:firstLineChars="200"/>
                    <w:textAlignment w:val="center"/>
                    <w:rPr>
                      <w:rFonts w:eastAsia="仿宋_GB2312"/>
                      <w:color w:val="000000"/>
                      <w:sz w:val="28"/>
                      <w:szCs w:val="28"/>
                    </w:rPr>
                  </w:pPr>
                  <w:r>
                    <w:rPr>
                      <w:rFonts w:eastAsia="仿宋_GB2312"/>
                      <w:color w:val="000000"/>
                      <w:kern w:val="0"/>
                      <w:sz w:val="28"/>
                      <w:szCs w:val="28"/>
                    </w:rPr>
                    <w:t>指造成30人以上死亡，或者100人以上重伤（包括急性工业中毒），或者1亿元以上直接经济损失的尾矿库生产安全事故。</w:t>
                  </w:r>
                </w:p>
              </w:tc>
              <w:tc>
                <w:tcPr>
                  <w:tcW w:w="40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440" w:lineRule="exact"/>
                    <w:ind w:firstLine="560" w:firstLineChars="200"/>
                    <w:textAlignment w:val="center"/>
                    <w:rPr>
                      <w:rFonts w:eastAsia="仿宋_GB2312"/>
                      <w:color w:val="000000"/>
                      <w:sz w:val="28"/>
                      <w:szCs w:val="28"/>
                    </w:rPr>
                  </w:pPr>
                  <w:r>
                    <w:rPr>
                      <w:rFonts w:eastAsia="仿宋_GB2312"/>
                      <w:color w:val="000000"/>
                      <w:kern w:val="0"/>
                      <w:sz w:val="28"/>
                      <w:szCs w:val="28"/>
                    </w:rPr>
                    <w:t>指造成10人以上30人以下死亡，或者50人以上100人以下重伤（包括急性工业中毒），或者5000万元以上1亿元以下直接经济损失的尾矿库生产安全事故。</w:t>
                  </w:r>
                </w:p>
              </w:tc>
              <w:tc>
                <w:tcPr>
                  <w:tcW w:w="37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440" w:lineRule="exact"/>
                    <w:ind w:firstLine="560" w:firstLineChars="200"/>
                    <w:textAlignment w:val="center"/>
                    <w:rPr>
                      <w:rFonts w:eastAsia="仿宋_GB2312"/>
                      <w:color w:val="000000"/>
                      <w:sz w:val="28"/>
                      <w:szCs w:val="28"/>
                    </w:rPr>
                  </w:pPr>
                  <w:r>
                    <w:rPr>
                      <w:rFonts w:eastAsia="仿宋_GB2312"/>
                      <w:color w:val="000000"/>
                      <w:kern w:val="0"/>
                      <w:sz w:val="28"/>
                      <w:szCs w:val="28"/>
                    </w:rPr>
                    <w:t>指造成3人以上10人以下死亡，或者10以上50人以下重伤（包括急性工业中毒），或者1000万元以上5000万元以下直接经济损失的尾矿库生产安全事故。</w:t>
                  </w:r>
                </w:p>
              </w:tc>
              <w:tc>
                <w:tcPr>
                  <w:tcW w:w="30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440" w:lineRule="exact"/>
                    <w:ind w:firstLine="560" w:firstLineChars="200"/>
                    <w:textAlignment w:val="center"/>
                    <w:rPr>
                      <w:rFonts w:eastAsia="仿宋_GB2312"/>
                      <w:color w:val="000000"/>
                      <w:sz w:val="28"/>
                      <w:szCs w:val="28"/>
                    </w:rPr>
                  </w:pPr>
                  <w:r>
                    <w:rPr>
                      <w:rFonts w:eastAsia="仿宋_GB2312"/>
                      <w:color w:val="000000"/>
                      <w:kern w:val="0"/>
                      <w:sz w:val="28"/>
                      <w:szCs w:val="28"/>
                    </w:rPr>
                    <w:t>指造成3人以下死亡，或者10人以下重伤（包括急性工业中毒），或者1000万元以下直接经济损失的尾矿库生产安全事故。</w:t>
                  </w:r>
                </w:p>
              </w:tc>
            </w:tr>
          </w:tbl>
          <w:p>
            <w:pPr>
              <w:widowControl/>
              <w:spacing w:line="300" w:lineRule="exact"/>
              <w:jc w:val="left"/>
              <w:textAlignment w:val="center"/>
              <w:rPr>
                <w:rFonts w:hint="eastAsia" w:eastAsia="仿宋_GB2312"/>
                <w:color w:val="000000"/>
                <w:kern w:val="0"/>
                <w:sz w:val="28"/>
                <w:szCs w:val="28"/>
              </w:rPr>
            </w:pPr>
          </w:p>
          <w:p>
            <w:pPr>
              <w:widowControl/>
              <w:jc w:val="left"/>
              <w:textAlignment w:val="center"/>
              <w:rPr>
                <w:rFonts w:eastAsia="黑体"/>
                <w:color w:val="000000"/>
                <w:kern w:val="0"/>
                <w:sz w:val="32"/>
                <w:szCs w:val="32"/>
              </w:rPr>
            </w:pPr>
            <w:r>
              <w:rPr>
                <w:rFonts w:eastAsia="仿宋_GB2312"/>
                <w:color w:val="000000"/>
                <w:kern w:val="0"/>
                <w:sz w:val="28"/>
                <w:szCs w:val="28"/>
              </w:rPr>
              <w:t>上述所称“以上”包括本数，所称“以下”不包括本数。</w:t>
            </w:r>
          </w:p>
        </w:tc>
      </w:tr>
    </w:tbl>
    <w:p>
      <w:r>
        <w:br w:type="page"/>
      </w:r>
    </w:p>
    <w:tbl>
      <w:tblPr>
        <w:tblStyle w:val="32"/>
        <w:tblW w:w="14092" w:type="dxa"/>
        <w:jc w:val="center"/>
        <w:tblLayout w:type="fixed"/>
        <w:tblCellMar>
          <w:top w:w="0" w:type="dxa"/>
          <w:left w:w="0" w:type="dxa"/>
          <w:bottom w:w="0" w:type="dxa"/>
          <w:right w:w="0" w:type="dxa"/>
        </w:tblCellMar>
      </w:tblPr>
      <w:tblGrid>
        <w:gridCol w:w="4252"/>
        <w:gridCol w:w="4933"/>
        <w:gridCol w:w="4907"/>
      </w:tblGrid>
      <w:tr>
        <w:tblPrEx>
          <w:tblCellMar>
            <w:top w:w="0" w:type="dxa"/>
            <w:left w:w="0" w:type="dxa"/>
            <w:bottom w:w="0" w:type="dxa"/>
            <w:right w:w="0" w:type="dxa"/>
          </w:tblCellMar>
        </w:tblPrEx>
        <w:trPr>
          <w:trHeight w:val="680" w:hRule="atLeast"/>
          <w:jc w:val="center"/>
        </w:trPr>
        <w:tc>
          <w:tcPr>
            <w:tcW w:w="14092" w:type="dxa"/>
            <w:gridSpan w:val="3"/>
            <w:tcBorders>
              <w:top w:val="nil"/>
              <w:left w:val="nil"/>
              <w:bottom w:val="nil"/>
              <w:right w:val="nil"/>
            </w:tcBorders>
            <w:tcMar>
              <w:top w:w="15" w:type="dxa"/>
              <w:left w:w="15" w:type="dxa"/>
              <w:bottom w:w="0" w:type="dxa"/>
              <w:right w:w="15" w:type="dxa"/>
            </w:tcMar>
          </w:tcPr>
          <w:p>
            <w:pPr>
              <w:widowControl/>
              <w:spacing w:line="500" w:lineRule="exact"/>
              <w:jc w:val="left"/>
              <w:textAlignment w:val="top"/>
              <w:rPr>
                <w:rFonts w:eastAsia="仿宋_GB2312"/>
                <w:color w:val="000000"/>
                <w:sz w:val="32"/>
                <w:szCs w:val="32"/>
              </w:rPr>
            </w:pPr>
            <w:r>
              <w:rPr>
                <w:rFonts w:eastAsia="仿宋_GB2312"/>
                <w:color w:val="000000"/>
                <w:kern w:val="0"/>
                <w:sz w:val="32"/>
                <w:szCs w:val="32"/>
              </w:rPr>
              <w:t xml:space="preserve">附件4:                    </w:t>
            </w:r>
          </w:p>
        </w:tc>
      </w:tr>
      <w:tr>
        <w:tblPrEx>
          <w:tblCellMar>
            <w:top w:w="0" w:type="dxa"/>
            <w:left w:w="0" w:type="dxa"/>
            <w:bottom w:w="0" w:type="dxa"/>
            <w:right w:w="0" w:type="dxa"/>
          </w:tblCellMar>
        </w:tblPrEx>
        <w:trPr>
          <w:trHeight w:val="1278" w:hRule="atLeast"/>
          <w:jc w:val="center"/>
        </w:trPr>
        <w:tc>
          <w:tcPr>
            <w:tcW w:w="14092" w:type="dxa"/>
            <w:gridSpan w:val="3"/>
            <w:tcBorders>
              <w:top w:val="nil"/>
              <w:left w:val="nil"/>
              <w:bottom w:val="nil"/>
              <w:right w:val="nil"/>
            </w:tcBorders>
            <w:tcMar>
              <w:top w:w="15" w:type="dxa"/>
              <w:left w:w="15" w:type="dxa"/>
              <w:bottom w:w="0" w:type="dxa"/>
              <w:right w:w="15" w:type="dxa"/>
            </w:tcMar>
            <w:vAlign w:val="center"/>
          </w:tcPr>
          <w:p>
            <w:pPr>
              <w:pStyle w:val="102"/>
              <w:spacing w:line="500" w:lineRule="exact"/>
              <w:ind w:left="420" w:firstLine="0" w:firstLineChars="0"/>
              <w:jc w:val="center"/>
              <w:rPr>
                <w:rFonts w:ascii="Times New Roman" w:hAnsi="Times New Roman" w:eastAsia="方正大标宋简体" w:cs="Times New Roman"/>
                <w:color w:val="000000"/>
              </w:rPr>
            </w:pPr>
            <w:r>
              <w:rPr>
                <w:rFonts w:ascii="Times New Roman" w:hAnsi="Times New Roman" w:eastAsia="方正大标宋简体" w:cs="Times New Roman"/>
                <w:color w:val="000000"/>
                <w:sz w:val="44"/>
                <w:szCs w:val="44"/>
              </w:rPr>
              <w:t>忻州市尾矿库生产安全事故应急响应条件</w:t>
            </w:r>
          </w:p>
        </w:tc>
      </w:tr>
      <w:tr>
        <w:tblPrEx>
          <w:tblCellMar>
            <w:top w:w="0" w:type="dxa"/>
            <w:left w:w="0" w:type="dxa"/>
            <w:bottom w:w="0" w:type="dxa"/>
            <w:right w:w="0" w:type="dxa"/>
          </w:tblCellMar>
        </w:tblPrEx>
        <w:trPr>
          <w:trHeight w:val="705" w:hRule="atLeast"/>
          <w:jc w:val="center"/>
        </w:trPr>
        <w:tc>
          <w:tcPr>
            <w:tcW w:w="42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黑体"/>
                <w:color w:val="000000"/>
                <w:sz w:val="32"/>
                <w:szCs w:val="32"/>
              </w:rPr>
            </w:pPr>
            <w:r>
              <w:rPr>
                <w:rFonts w:eastAsia="黑体"/>
                <w:color w:val="000000"/>
                <w:kern w:val="0"/>
                <w:sz w:val="32"/>
                <w:szCs w:val="32"/>
              </w:rPr>
              <w:t xml:space="preserve"> 一级响应</w:t>
            </w:r>
          </w:p>
        </w:tc>
        <w:tc>
          <w:tcPr>
            <w:tcW w:w="49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黑体"/>
                <w:color w:val="000000"/>
                <w:sz w:val="32"/>
                <w:szCs w:val="32"/>
              </w:rPr>
            </w:pPr>
            <w:r>
              <w:rPr>
                <w:rFonts w:eastAsia="黑体"/>
                <w:color w:val="000000"/>
                <w:kern w:val="0"/>
                <w:sz w:val="32"/>
                <w:szCs w:val="32"/>
              </w:rPr>
              <w:t>二级响应</w:t>
            </w:r>
          </w:p>
        </w:tc>
        <w:tc>
          <w:tcPr>
            <w:tcW w:w="49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黑体"/>
                <w:color w:val="000000"/>
                <w:sz w:val="32"/>
                <w:szCs w:val="32"/>
              </w:rPr>
            </w:pPr>
            <w:r>
              <w:rPr>
                <w:rFonts w:eastAsia="黑体"/>
                <w:color w:val="000000"/>
                <w:kern w:val="0"/>
                <w:sz w:val="32"/>
                <w:szCs w:val="32"/>
              </w:rPr>
              <w:t>三级响应</w:t>
            </w:r>
          </w:p>
        </w:tc>
      </w:tr>
      <w:tr>
        <w:tblPrEx>
          <w:tblCellMar>
            <w:top w:w="0" w:type="dxa"/>
            <w:left w:w="0" w:type="dxa"/>
            <w:bottom w:w="0" w:type="dxa"/>
            <w:right w:w="0" w:type="dxa"/>
          </w:tblCellMar>
        </w:tblPrEx>
        <w:trPr>
          <w:trHeight w:val="5192" w:hRule="atLeast"/>
          <w:jc w:val="center"/>
        </w:trPr>
        <w:tc>
          <w:tcPr>
            <w:tcW w:w="42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spacing w:line="440" w:lineRule="exact"/>
              <w:textAlignment w:val="center"/>
              <w:rPr>
                <w:rFonts w:eastAsia="仿宋_GB2312"/>
                <w:color w:val="000000"/>
                <w:kern w:val="0"/>
                <w:sz w:val="28"/>
                <w:szCs w:val="28"/>
              </w:rPr>
            </w:pPr>
          </w:p>
          <w:p>
            <w:pPr>
              <w:widowControl/>
              <w:spacing w:line="440" w:lineRule="exact"/>
              <w:ind w:firstLine="560" w:firstLineChars="200"/>
              <w:textAlignment w:val="center"/>
              <w:rPr>
                <w:rFonts w:eastAsia="仿宋_GB2312"/>
                <w:color w:val="000000"/>
                <w:kern w:val="0"/>
                <w:sz w:val="28"/>
                <w:szCs w:val="28"/>
              </w:rPr>
            </w:pPr>
            <w:r>
              <w:rPr>
                <w:rFonts w:eastAsia="仿宋_GB2312"/>
                <w:color w:val="000000"/>
                <w:kern w:val="0"/>
                <w:sz w:val="28"/>
                <w:szCs w:val="28"/>
              </w:rPr>
              <w:t>符合以下情形之一时，启动一级响应：</w:t>
            </w:r>
            <w:r>
              <w:rPr>
                <w:rFonts w:eastAsia="仿宋_GB2312"/>
                <w:color w:val="000000"/>
                <w:kern w:val="0"/>
                <w:sz w:val="28"/>
                <w:szCs w:val="28"/>
              </w:rPr>
              <w:br w:type="textWrapping"/>
            </w:r>
            <w:r>
              <w:rPr>
                <w:rFonts w:eastAsia="仿宋_GB2312"/>
                <w:color w:val="000000"/>
                <w:kern w:val="0"/>
                <w:sz w:val="28"/>
                <w:szCs w:val="28"/>
              </w:rPr>
              <w:t xml:space="preserve">    1.发生重大、特别重大生产安全事故；</w:t>
            </w:r>
            <w:r>
              <w:rPr>
                <w:rFonts w:eastAsia="仿宋_GB2312"/>
                <w:color w:val="000000"/>
                <w:kern w:val="0"/>
                <w:sz w:val="28"/>
                <w:szCs w:val="28"/>
              </w:rPr>
              <w:br w:type="textWrapping"/>
            </w:r>
            <w:r>
              <w:rPr>
                <w:rFonts w:eastAsia="仿宋_GB2312"/>
                <w:color w:val="000000"/>
                <w:kern w:val="0"/>
                <w:sz w:val="28"/>
                <w:szCs w:val="28"/>
              </w:rPr>
              <w:t xml:space="preserve">    2.造成10人以上涉险、被困、失联的事故；</w:t>
            </w:r>
            <w:r>
              <w:rPr>
                <w:rFonts w:eastAsia="仿宋_GB2312"/>
                <w:color w:val="000000"/>
                <w:kern w:val="0"/>
                <w:sz w:val="28"/>
                <w:szCs w:val="28"/>
              </w:rPr>
              <w:br w:type="textWrapping"/>
            </w:r>
            <w:r>
              <w:rPr>
                <w:rFonts w:eastAsia="仿宋_GB2312"/>
                <w:color w:val="000000"/>
                <w:kern w:val="0"/>
                <w:sz w:val="28"/>
                <w:szCs w:val="28"/>
              </w:rPr>
              <w:t xml:space="preserve">    3.超出市政府应急处置能力的事故；</w:t>
            </w:r>
            <w:r>
              <w:rPr>
                <w:rFonts w:eastAsia="仿宋_GB2312"/>
                <w:color w:val="000000"/>
                <w:kern w:val="0"/>
                <w:sz w:val="28"/>
                <w:szCs w:val="28"/>
              </w:rPr>
              <w:br w:type="textWrapping"/>
            </w:r>
            <w:r>
              <w:rPr>
                <w:rFonts w:eastAsia="仿宋_GB2312"/>
                <w:color w:val="000000"/>
                <w:kern w:val="0"/>
                <w:sz w:val="28"/>
                <w:szCs w:val="28"/>
              </w:rPr>
              <w:t xml:space="preserve">    4.市指挥部认为需要启动一级响应的其他情形。  </w:t>
            </w:r>
          </w:p>
        </w:tc>
        <w:tc>
          <w:tcPr>
            <w:tcW w:w="4933"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pacing w:line="440" w:lineRule="exact"/>
              <w:ind w:firstLine="560" w:firstLineChars="200"/>
              <w:textAlignment w:val="center"/>
              <w:rPr>
                <w:rFonts w:eastAsia="仿宋_GB2312"/>
                <w:color w:val="000000"/>
                <w:kern w:val="0"/>
                <w:sz w:val="28"/>
                <w:szCs w:val="28"/>
              </w:rPr>
            </w:pPr>
            <w:r>
              <w:rPr>
                <w:rFonts w:eastAsia="仿宋_GB2312"/>
                <w:color w:val="000000"/>
                <w:kern w:val="0"/>
                <w:sz w:val="28"/>
                <w:szCs w:val="28"/>
              </w:rPr>
              <w:t xml:space="preserve">    </w:t>
            </w:r>
          </w:p>
          <w:p>
            <w:pPr>
              <w:widowControl/>
              <w:spacing w:line="440" w:lineRule="exact"/>
              <w:ind w:firstLine="560" w:firstLineChars="200"/>
              <w:textAlignment w:val="center"/>
              <w:rPr>
                <w:rFonts w:eastAsia="仿宋_GB2312"/>
                <w:color w:val="000000"/>
                <w:kern w:val="0"/>
                <w:sz w:val="28"/>
                <w:szCs w:val="28"/>
              </w:rPr>
            </w:pPr>
            <w:r>
              <w:rPr>
                <w:rFonts w:eastAsia="仿宋_GB2312"/>
                <w:color w:val="000000"/>
                <w:kern w:val="0"/>
                <w:sz w:val="28"/>
                <w:szCs w:val="28"/>
              </w:rPr>
              <w:t>符合以下情形之一时，启动二级响应:</w:t>
            </w:r>
            <w:r>
              <w:rPr>
                <w:rFonts w:eastAsia="仿宋_GB2312"/>
                <w:color w:val="000000"/>
                <w:kern w:val="0"/>
                <w:sz w:val="28"/>
                <w:szCs w:val="28"/>
              </w:rPr>
              <w:br w:type="textWrapping"/>
            </w:r>
            <w:r>
              <w:rPr>
                <w:rFonts w:eastAsia="仿宋_GB2312"/>
                <w:color w:val="000000"/>
                <w:kern w:val="0"/>
                <w:sz w:val="28"/>
                <w:szCs w:val="28"/>
              </w:rPr>
              <w:t xml:space="preserve">    1.发生较大生产安全事故；</w:t>
            </w:r>
            <w:r>
              <w:rPr>
                <w:rFonts w:eastAsia="仿宋_GB2312"/>
                <w:color w:val="000000"/>
                <w:kern w:val="0"/>
                <w:sz w:val="28"/>
                <w:szCs w:val="28"/>
              </w:rPr>
              <w:br w:type="textWrapping"/>
            </w:r>
            <w:r>
              <w:rPr>
                <w:rFonts w:eastAsia="仿宋_GB2312"/>
                <w:color w:val="000000"/>
                <w:kern w:val="0"/>
                <w:sz w:val="28"/>
                <w:szCs w:val="28"/>
              </w:rPr>
              <w:t xml:space="preserve">    2.造成3人以上10人以下涉险、被困、失联的事故；</w:t>
            </w:r>
          </w:p>
          <w:p>
            <w:pPr>
              <w:widowControl/>
              <w:spacing w:line="440" w:lineRule="exact"/>
              <w:ind w:firstLine="560" w:firstLineChars="200"/>
              <w:textAlignment w:val="center"/>
              <w:rPr>
                <w:rFonts w:eastAsia="仿宋_GB2312"/>
                <w:color w:val="000000"/>
                <w:kern w:val="0"/>
                <w:sz w:val="28"/>
                <w:szCs w:val="28"/>
              </w:rPr>
            </w:pPr>
            <w:r>
              <w:rPr>
                <w:rFonts w:eastAsia="仿宋_GB2312"/>
                <w:color w:val="000000"/>
                <w:kern w:val="0"/>
                <w:sz w:val="28"/>
                <w:szCs w:val="28"/>
              </w:rPr>
              <w:t>3.超出县级政府应急处置能力的事故</w:t>
            </w:r>
            <w:r>
              <w:rPr>
                <w:rFonts w:hint="eastAsia" w:eastAsia="仿宋_GB2312"/>
                <w:color w:val="000000"/>
                <w:kern w:val="0"/>
                <w:sz w:val="28"/>
                <w:szCs w:val="28"/>
              </w:rPr>
              <w:t>；</w:t>
            </w:r>
          </w:p>
          <w:p>
            <w:pPr>
              <w:widowControl/>
              <w:spacing w:line="440" w:lineRule="exact"/>
              <w:ind w:firstLine="560" w:firstLineChars="200"/>
              <w:textAlignment w:val="center"/>
              <w:rPr>
                <w:rFonts w:eastAsia="仿宋_GB2312"/>
                <w:color w:val="000000"/>
                <w:kern w:val="0"/>
                <w:sz w:val="28"/>
                <w:szCs w:val="28"/>
              </w:rPr>
            </w:pPr>
            <w:r>
              <w:rPr>
                <w:rFonts w:eastAsia="仿宋_GB2312"/>
                <w:color w:val="000000"/>
                <w:kern w:val="0"/>
                <w:sz w:val="28"/>
                <w:szCs w:val="28"/>
              </w:rPr>
              <w:t>4.市指挥部办公室认为需要启动二级响应的其他情形。</w:t>
            </w:r>
          </w:p>
        </w:tc>
        <w:tc>
          <w:tcPr>
            <w:tcW w:w="4907" w:type="dxa"/>
            <w:tcBorders>
              <w:top w:val="single" w:color="000000" w:sz="4" w:space="0"/>
              <w:left w:val="nil"/>
              <w:bottom w:val="single" w:color="000000" w:sz="4" w:space="0"/>
              <w:right w:val="single" w:color="000000" w:sz="4" w:space="0"/>
            </w:tcBorders>
            <w:tcMar>
              <w:top w:w="15" w:type="dxa"/>
              <w:left w:w="15" w:type="dxa"/>
              <w:bottom w:w="0" w:type="dxa"/>
              <w:right w:w="15" w:type="dxa"/>
            </w:tcMar>
          </w:tcPr>
          <w:p>
            <w:pPr>
              <w:widowControl/>
              <w:spacing w:line="440" w:lineRule="exact"/>
              <w:ind w:firstLine="560" w:firstLineChars="200"/>
              <w:textAlignment w:val="center"/>
              <w:rPr>
                <w:rFonts w:eastAsia="仿宋_GB2312"/>
                <w:color w:val="000000"/>
                <w:kern w:val="0"/>
                <w:sz w:val="28"/>
                <w:szCs w:val="28"/>
              </w:rPr>
            </w:pPr>
            <w:r>
              <w:rPr>
                <w:rFonts w:eastAsia="仿宋_GB2312"/>
                <w:color w:val="000000"/>
                <w:kern w:val="0"/>
                <w:sz w:val="28"/>
                <w:szCs w:val="28"/>
              </w:rPr>
              <w:t xml:space="preserve">    </w:t>
            </w:r>
          </w:p>
          <w:p>
            <w:pPr>
              <w:widowControl/>
              <w:spacing w:line="440" w:lineRule="exact"/>
              <w:ind w:firstLine="560" w:firstLineChars="200"/>
              <w:textAlignment w:val="center"/>
              <w:rPr>
                <w:rFonts w:eastAsia="仿宋_GB2312"/>
                <w:color w:val="000000"/>
                <w:kern w:val="0"/>
                <w:sz w:val="28"/>
                <w:szCs w:val="28"/>
              </w:rPr>
            </w:pPr>
            <w:r>
              <w:rPr>
                <w:rFonts w:eastAsia="仿宋_GB2312"/>
                <w:color w:val="000000"/>
                <w:kern w:val="0"/>
                <w:sz w:val="28"/>
                <w:szCs w:val="28"/>
              </w:rPr>
              <w:t>符合以下情形之一时，启动三级响应:</w:t>
            </w:r>
            <w:r>
              <w:rPr>
                <w:rFonts w:eastAsia="仿宋_GB2312"/>
                <w:color w:val="000000"/>
                <w:kern w:val="0"/>
                <w:sz w:val="28"/>
                <w:szCs w:val="28"/>
              </w:rPr>
              <w:br w:type="textWrapping"/>
            </w:r>
            <w:r>
              <w:rPr>
                <w:rFonts w:eastAsia="仿宋_GB2312"/>
                <w:color w:val="000000"/>
                <w:kern w:val="0"/>
                <w:sz w:val="28"/>
                <w:szCs w:val="28"/>
              </w:rPr>
              <w:t xml:space="preserve">    1.发生一般生产安全事故；</w:t>
            </w:r>
            <w:r>
              <w:rPr>
                <w:rFonts w:eastAsia="仿宋_GB2312"/>
                <w:color w:val="000000"/>
                <w:kern w:val="0"/>
                <w:sz w:val="28"/>
                <w:szCs w:val="28"/>
              </w:rPr>
              <w:br w:type="textWrapping"/>
            </w:r>
            <w:r>
              <w:rPr>
                <w:rFonts w:eastAsia="仿宋_GB2312"/>
                <w:color w:val="000000"/>
                <w:kern w:val="0"/>
                <w:sz w:val="28"/>
                <w:szCs w:val="28"/>
              </w:rPr>
              <w:t xml:space="preserve">    2.造成3人以下涉险、被困、失联的事故</w:t>
            </w:r>
            <w:r>
              <w:rPr>
                <w:rFonts w:hint="eastAsia" w:eastAsia="仿宋_GB2312"/>
                <w:color w:val="000000"/>
                <w:kern w:val="0"/>
                <w:sz w:val="28"/>
                <w:szCs w:val="28"/>
              </w:rPr>
              <w:t>；</w:t>
            </w:r>
          </w:p>
          <w:p>
            <w:pPr>
              <w:widowControl/>
              <w:spacing w:line="440" w:lineRule="exact"/>
              <w:ind w:firstLine="560" w:firstLineChars="200"/>
              <w:textAlignment w:val="center"/>
              <w:rPr>
                <w:rFonts w:eastAsia="仿宋_GB2312"/>
                <w:color w:val="000000"/>
                <w:kern w:val="0"/>
                <w:sz w:val="28"/>
                <w:szCs w:val="28"/>
              </w:rPr>
            </w:pPr>
            <w:r>
              <w:rPr>
                <w:rFonts w:eastAsia="仿宋_GB2312"/>
                <w:color w:val="000000"/>
                <w:kern w:val="0"/>
                <w:sz w:val="28"/>
                <w:szCs w:val="28"/>
              </w:rPr>
              <w:t>3.市指挥部办公室认为需要启动三级响应的其他情形。</w:t>
            </w:r>
          </w:p>
          <w:p>
            <w:pPr>
              <w:widowControl/>
              <w:spacing w:line="440" w:lineRule="exact"/>
              <w:ind w:firstLine="420" w:firstLineChars="200"/>
              <w:textAlignment w:val="center"/>
              <w:rPr>
                <w:color w:val="000000"/>
                <w:szCs w:val="21"/>
              </w:rPr>
            </w:pPr>
            <w:r>
              <w:rPr>
                <w:color w:val="000000"/>
              </w:rPr>
              <w:t xml:space="preserve">    </w:t>
            </w:r>
          </w:p>
          <w:p>
            <w:pPr>
              <w:widowControl/>
              <w:spacing w:line="440" w:lineRule="exact"/>
              <w:ind w:firstLine="420" w:firstLineChars="200"/>
              <w:textAlignment w:val="center"/>
              <w:rPr>
                <w:color w:val="000000"/>
              </w:rPr>
            </w:pPr>
          </w:p>
          <w:p>
            <w:pPr>
              <w:widowControl/>
              <w:spacing w:line="440" w:lineRule="exact"/>
              <w:ind w:firstLine="420" w:firstLineChars="200"/>
              <w:textAlignment w:val="center"/>
              <w:rPr>
                <w:color w:val="000000"/>
                <w:szCs w:val="21"/>
              </w:rPr>
            </w:pPr>
          </w:p>
        </w:tc>
      </w:tr>
    </w:tbl>
    <w:p>
      <w:pPr>
        <w:spacing w:line="200" w:lineRule="exact"/>
        <w:rPr>
          <w:rFonts w:eastAsia="仿宋_GB2312"/>
          <w:color w:val="000000"/>
          <w:kern w:val="0"/>
          <w:sz w:val="28"/>
          <w:szCs w:val="28"/>
        </w:rPr>
      </w:pPr>
    </w:p>
    <w:p>
      <w:pPr>
        <w:spacing w:line="360" w:lineRule="exact"/>
        <w:rPr>
          <w:rFonts w:eastAsia="仿宋_GB2312"/>
          <w:color w:val="000000"/>
          <w:kern w:val="0"/>
          <w:sz w:val="28"/>
          <w:szCs w:val="28"/>
        </w:rPr>
        <w:sectPr>
          <w:footerReference r:id="rId7" w:type="first"/>
          <w:footerReference r:id="rId5" w:type="default"/>
          <w:footerReference r:id="rId6" w:type="even"/>
          <w:pgSz w:w="16838" w:h="11906" w:orient="landscape"/>
          <w:pgMar w:top="1588" w:right="2098" w:bottom="1588" w:left="1701" w:header="851" w:footer="1134" w:gutter="0"/>
          <w:pgNumType w:fmt="numberInDash" w:start="14"/>
          <w:cols w:space="720" w:num="1"/>
          <w:titlePg/>
          <w:docGrid w:type="lines" w:linePitch="317" w:charSpace="0"/>
        </w:sectPr>
      </w:pPr>
      <w:r>
        <w:rPr>
          <w:rFonts w:eastAsia="仿宋_GB2312"/>
          <w:color w:val="000000"/>
          <w:kern w:val="0"/>
          <w:sz w:val="28"/>
          <w:szCs w:val="28"/>
        </w:rPr>
        <w:t>上述所称“以上”包括本数，所称“以下”不包括本数。</w:t>
      </w:r>
    </w:p>
    <w:p>
      <w:pPr>
        <w:spacing w:line="360" w:lineRule="exac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spacing w:line="360" w:lineRule="exact"/>
        <w:rPr>
          <w:rFonts w:hint="eastAsia" w:eastAsia="仿宋_GB2312"/>
          <w:sz w:val="32"/>
          <w:szCs w:val="32"/>
        </w:rPr>
      </w:pPr>
    </w:p>
    <w:p>
      <w:pPr>
        <w:spacing w:line="360" w:lineRule="exact"/>
        <w:rPr>
          <w:rFonts w:hint="eastAsia" w:eastAsia="仿宋_GB2312"/>
          <w:sz w:val="32"/>
          <w:szCs w:val="32"/>
        </w:rPr>
      </w:pPr>
    </w:p>
    <w:p>
      <w:pPr>
        <w:spacing w:line="360" w:lineRule="exact"/>
        <w:rPr>
          <w:rFonts w:hint="eastAsia" w:eastAsia="仿宋_GB2312"/>
          <w:sz w:val="32"/>
          <w:szCs w:val="32"/>
        </w:rPr>
      </w:pPr>
    </w:p>
    <w:p>
      <w:pPr>
        <w:spacing w:line="360" w:lineRule="exact"/>
        <w:rPr>
          <w:rFonts w:hint="eastAsia" w:eastAsia="仿宋_GB2312"/>
          <w:sz w:val="32"/>
          <w:szCs w:val="32"/>
        </w:rPr>
      </w:pPr>
    </w:p>
    <w:p>
      <w:pPr>
        <w:spacing w:line="360" w:lineRule="exact"/>
        <w:rPr>
          <w:rFonts w:hint="eastAsia" w:eastAsia="仿宋_GB2312"/>
          <w:sz w:val="32"/>
          <w:szCs w:val="32"/>
        </w:rPr>
      </w:pPr>
    </w:p>
    <w:p>
      <w:pPr>
        <w:spacing w:line="360" w:lineRule="exact"/>
        <w:rPr>
          <w:rFonts w:hint="eastAsia" w:eastAsia="仿宋_GB2312"/>
          <w:sz w:val="32"/>
          <w:szCs w:val="32"/>
        </w:rPr>
      </w:pPr>
    </w:p>
    <w:p>
      <w:pPr>
        <w:spacing w:line="360" w:lineRule="exact"/>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eastAsia="仿宋_GB2312"/>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500" w:lineRule="exact"/>
        <w:rPr>
          <w:rFonts w:eastAsia="仿宋_GB2312"/>
          <w:color w:val="000000"/>
          <w:kern w:val="0"/>
          <w:sz w:val="28"/>
          <w:szCs w:val="28"/>
        </w:rPr>
      </w:pPr>
      <w:r>
        <w:rPr>
          <w:rFonts w:eastAsia="仿宋_GB2312"/>
          <w:color w:val="000000"/>
          <w:kern w:val="0"/>
          <w:sz w:val="28"/>
          <w:szCs w:val="28"/>
        </w:rPr>
        <w:pict>
          <v:line id="_x0000_s1766" o:spid="_x0000_s1766" o:spt="20" style="position:absolute;left:0pt;margin-top:2.5pt;height:0pt;width:441pt;mso-position-horizontal:center;z-index:251661312;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 xml:space="preserve">院，市检察院。 </w:t>
      </w:r>
    </w:p>
    <w:p>
      <w:pPr>
        <w:spacing w:line="500" w:lineRule="exact"/>
        <w:rPr>
          <w:rFonts w:eastAsia="仿宋_GB2312"/>
          <w:color w:val="000000"/>
          <w:kern w:val="0"/>
          <w:sz w:val="28"/>
          <w:szCs w:val="28"/>
        </w:rPr>
      </w:pPr>
      <w:r>
        <w:rPr>
          <w:rFonts w:eastAsia="仿宋_GB2312"/>
          <w:color w:val="000000"/>
          <w:kern w:val="0"/>
          <w:sz w:val="28"/>
          <w:szCs w:val="28"/>
        </w:rPr>
        <w:pict>
          <v:line id="_x0000_s1764" o:spid="_x0000_s1764" o:spt="20" style="position:absolute;left:0pt;margin-left:0.75pt;margin-top:2.75pt;height:0pt;width:441pt;z-index:251659264;mso-width-relative:page;mso-height-relative:page;" coordsize="21600,21600">
            <v:path arrowok="t"/>
            <v:fill focussize="0,0"/>
            <v:stroke weight="0.55pt"/>
            <v:imagedata o:title=""/>
            <o:lock v:ext="edit"/>
          </v:line>
        </w:pict>
      </w:r>
      <w:r>
        <w:rPr>
          <w:rFonts w:eastAsia="仿宋_GB2312"/>
          <w:color w:val="000000"/>
          <w:kern w:val="0"/>
          <w:sz w:val="28"/>
          <w:szCs w:val="28"/>
        </w:rPr>
        <w:t xml:space="preserve">  忻州市人民政府办公室                     2024年2月</w:t>
      </w:r>
      <w:r>
        <w:rPr>
          <w:rFonts w:hint="eastAsia" w:eastAsia="仿宋_GB2312"/>
          <w:color w:val="000000"/>
          <w:kern w:val="0"/>
          <w:sz w:val="28"/>
          <w:szCs w:val="28"/>
        </w:rPr>
        <w:t>2</w:t>
      </w:r>
      <w:r>
        <w:rPr>
          <w:rFonts w:eastAsia="仿宋_GB2312"/>
          <w:color w:val="000000"/>
          <w:kern w:val="0"/>
          <w:sz w:val="28"/>
          <w:szCs w:val="28"/>
        </w:rPr>
        <w:t xml:space="preserve">9日印发 </w:t>
      </w:r>
    </w:p>
    <w:p>
      <w:pPr>
        <w:spacing w:line="500" w:lineRule="exact"/>
        <w:rPr>
          <w:rFonts w:eastAsia="仿宋_GB2312"/>
        </w:rPr>
      </w:pPr>
      <w:r>
        <w:rPr>
          <w:rFonts w:eastAsia="仿宋_GB2312"/>
          <w:color w:val="000000"/>
          <w:kern w:val="0"/>
          <w:sz w:val="28"/>
          <w:szCs w:val="28"/>
        </w:rPr>
        <w:drawing>
          <wp:anchor distT="0" distB="0" distL="114300" distR="114300" simplePos="0" relativeHeight="251662336" behindDoc="0" locked="0" layoutInCell="1" allowOverlap="1">
            <wp:simplePos x="0" y="0"/>
            <wp:positionH relativeFrom="page">
              <wp:posOffset>4763135</wp:posOffset>
            </wp:positionH>
            <wp:positionV relativeFrom="page">
              <wp:posOffset>9626600</wp:posOffset>
            </wp:positionV>
            <wp:extent cx="1792605" cy="491490"/>
            <wp:effectExtent l="19050" t="0" r="0" b="0"/>
            <wp:wrapNone/>
            <wp:docPr id="743" name="图片 539"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图片 539" descr="wps"/>
                    <pic:cNvPicPr>
                      <a:picLocks noChangeAspect="1" noChangeArrowheads="1"/>
                    </pic:cNvPicPr>
                  </pic:nvPicPr>
                  <pic:blipFill>
                    <a:blip r:embed="rId12" cstate="print"/>
                    <a:srcRect/>
                    <a:stretch>
                      <a:fillRect/>
                    </a:stretch>
                  </pic:blipFill>
                  <pic:spPr>
                    <a:xfrm>
                      <a:off x="0" y="0"/>
                      <a:ext cx="1792497" cy="491705"/>
                    </a:xfrm>
                    <a:prstGeom prst="rect">
                      <a:avLst/>
                    </a:prstGeom>
                    <a:noFill/>
                    <a:ln w="9525">
                      <a:noFill/>
                      <a:miter lim="800000"/>
                      <a:headEnd/>
                      <a:tailEnd/>
                    </a:ln>
                  </pic:spPr>
                </pic:pic>
              </a:graphicData>
            </a:graphic>
          </wp:anchor>
        </w:drawing>
      </w:r>
      <w:r>
        <w:rPr>
          <w:rFonts w:eastAsia="仿宋_GB2312"/>
          <w:color w:val="000000"/>
          <w:kern w:val="0"/>
          <w:sz w:val="28"/>
          <w:szCs w:val="28"/>
        </w:rPr>
        <w:pict>
          <v:line id="_x0000_s1765" o:spid="_x0000_s1765" o:spt="20" style="position:absolute;left:0pt;margin-left:0pt;margin-top:3.25pt;height:0pt;width:441pt;z-index:251660288;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共印</w:t>
      </w:r>
      <w:r>
        <w:rPr>
          <w:rFonts w:hint="eastAsia" w:eastAsia="仿宋_GB2312"/>
          <w:color w:val="000000"/>
          <w:kern w:val="0"/>
          <w:sz w:val="28"/>
          <w:szCs w:val="28"/>
        </w:rPr>
        <w:t>95</w:t>
      </w:r>
      <w:r>
        <w:rPr>
          <w:rFonts w:eastAsia="仿宋_GB2312"/>
          <w:color w:val="000000"/>
          <w:kern w:val="0"/>
          <w:sz w:val="28"/>
          <w:szCs w:val="28"/>
        </w:rPr>
        <w:t>份</w:t>
      </w:r>
    </w:p>
    <w:sectPr>
      <w:footerReference r:id="rId9" w:type="first"/>
      <w:footerReference r:id="rId8"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方正黑体_GBK">
    <w:panose1 w:val="02000000000000000000"/>
    <w:charset w:val="86"/>
    <w:family w:val="auto"/>
    <w:pitch w:val="default"/>
    <w:sig w:usb0="A00002BF" w:usb1="38CF7CFA" w:usb2="00082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FreeSerif">
    <w:panose1 w:val="02020603050405020304"/>
    <w:charset w:val="00"/>
    <w:family w:val="auto"/>
    <w:pitch w:val="default"/>
    <w:sig w:usb0="E59FAFFF" w:usb1="C200FDFF" w:usb2="43501B29" w:usb3="04000043" w:csb0="600101FF" w:csb1="FFFF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altName w:val="华文中宋"/>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方正大标宋简体">
    <w:altName w:val="方正书宋_GBK"/>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 w:name="FangSong">
    <w:altName w:val="方正仿宋_GBK"/>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Liberation Serif">
    <w:panose1 w:val="02020603050405020304"/>
    <w:charset w:val="00"/>
    <w:family w:val="auto"/>
    <w:pitch w:val="default"/>
    <w:sig w:usb0="A00002AF" w:usb1="500078FB" w:usb2="00000000" w:usb3="00000000" w:csb0="6000009F" w:csb1="DFD70000"/>
  </w:font>
  <w:font w:name="C059">
    <w:panose1 w:val="00000500000000000000"/>
    <w:charset w:val="00"/>
    <w:family w:val="auto"/>
    <w:pitch w:val="default"/>
    <w:sig w:usb0="00000287" w:usb1="00000800" w:usb2="00000000" w:usb3="00000000" w:csb0="6000009F"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535"/>
      <w:docPartObj>
        <w:docPartGallery w:val="AutoText"/>
      </w:docPartObj>
    </w:sdtPr>
    <w:sdtEndPr>
      <w:rPr>
        <w:rFonts w:asciiTheme="minorEastAsia" w:hAnsiTheme="minorEastAsia" w:eastAsiaTheme="minorEastAsia"/>
        <w:sz w:val="24"/>
      </w:rPr>
    </w:sdtEndPr>
    <w:sdtContent>
      <w:p>
        <w:pPr>
          <w:pStyle w:val="20"/>
          <w:jc w:val="right"/>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13 -</w:t>
        </w:r>
        <w:r>
          <w:rPr>
            <w:rFonts w:asciiTheme="minorEastAsia" w:hAnsiTheme="minorEastAsia" w:eastAsiaTheme="minorEastAsia"/>
            <w:sz w:val="24"/>
          </w:rP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532"/>
      <w:docPartObj>
        <w:docPartGallery w:val="AutoText"/>
      </w:docPartObj>
    </w:sdtPr>
    <w:sdtContent>
      <w:p>
        <w:pPr>
          <w:pStyle w:val="20"/>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12 -</w:t>
        </w:r>
        <w:r>
          <w:rPr>
            <w:rFonts w:asciiTheme="minorEastAsia" w:hAnsiTheme="minorEastAsia" w:eastAsiaTheme="minorEastAsia"/>
            <w:sz w:val="24"/>
          </w:rPr>
          <w:fldChar w:fldCharType="end"/>
        </w:r>
      </w:p>
    </w:sdtContent>
  </w:sdt>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544"/>
      <w:docPartObj>
        <w:docPartGallery w:val="AutoText"/>
      </w:docPartObj>
    </w:sdtPr>
    <w:sdtContent>
      <w:p>
        <w:pPr>
          <w:pStyle w:val="20"/>
          <w:jc w:val="cente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17 -</w:t>
        </w:r>
        <w:r>
          <w:rPr>
            <w:rFonts w:asciiTheme="minorEastAsia" w:hAnsiTheme="minorEastAsia" w:eastAsiaTheme="minorEastAsia"/>
            <w:sz w:val="24"/>
          </w:rPr>
          <w:fldChar w:fldCharType="end"/>
        </w:r>
      </w:p>
    </w:sdtContent>
  </w:sdt>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548"/>
      <w:docPartObj>
        <w:docPartGallery w:val="AutoText"/>
      </w:docPartObj>
    </w:sdtPr>
    <w:sdtEndPr>
      <w:rPr>
        <w:rFonts w:asciiTheme="minorEastAsia" w:hAnsiTheme="minorEastAsia" w:eastAsiaTheme="minorEastAsia"/>
        <w:sz w:val="24"/>
      </w:rPr>
    </w:sdtEndPr>
    <w:sdtContent>
      <w:p>
        <w:pPr>
          <w:pStyle w:val="20"/>
          <w:jc w:val="cente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18 -</w:t>
        </w:r>
        <w:r>
          <w:rPr>
            <w:rFonts w:asciiTheme="minorEastAsia" w:hAnsiTheme="minorEastAsia" w:eastAsiaTheme="minorEastAsia"/>
            <w:sz w:val="24"/>
          </w:rP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537"/>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14 -</w:t>
        </w:r>
        <w:r>
          <w:rPr>
            <w:rFonts w:asciiTheme="minorEastAsia" w:hAnsiTheme="minorEastAsia" w:eastAsiaTheme="minorEastAsia"/>
            <w:sz w:val="24"/>
          </w:rPr>
          <w:fldChar w:fldCharType="end"/>
        </w:r>
      </w:p>
    </w:sdtContent>
  </w:sdt>
  <w:p>
    <w:pPr>
      <w:pStyle w:val="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Theme="minorEastAsia" w:hAnsiTheme="minorEastAsia" w:eastAsiaTheme="minorEastAsia"/>
        <w:sz w:val="24"/>
      </w:rPr>
    </w:pPr>
  </w:p>
  <w:p>
    <w:pPr>
      <w:pStyle w:val="2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63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373"/>
    <w:rsid w:val="000347C4"/>
    <w:rsid w:val="0003484E"/>
    <w:rsid w:val="000348D3"/>
    <w:rsid w:val="00034FDD"/>
    <w:rsid w:val="000352A7"/>
    <w:rsid w:val="000352AA"/>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7E"/>
    <w:rsid w:val="00053C93"/>
    <w:rsid w:val="00054ACE"/>
    <w:rsid w:val="00055B11"/>
    <w:rsid w:val="000561AF"/>
    <w:rsid w:val="00056B47"/>
    <w:rsid w:val="00056C3F"/>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0F9"/>
    <w:rsid w:val="000A126F"/>
    <w:rsid w:val="000A1688"/>
    <w:rsid w:val="000A2182"/>
    <w:rsid w:val="000A24F3"/>
    <w:rsid w:val="000A2E51"/>
    <w:rsid w:val="000A2E79"/>
    <w:rsid w:val="000A485F"/>
    <w:rsid w:val="000A520E"/>
    <w:rsid w:val="000A5AC8"/>
    <w:rsid w:val="000A5C0F"/>
    <w:rsid w:val="000A6147"/>
    <w:rsid w:val="000A6401"/>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3D"/>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D5D"/>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D7E80"/>
    <w:rsid w:val="000E03E8"/>
    <w:rsid w:val="000E071D"/>
    <w:rsid w:val="000E0816"/>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0FCD"/>
    <w:rsid w:val="00151078"/>
    <w:rsid w:val="0015293E"/>
    <w:rsid w:val="00152C5E"/>
    <w:rsid w:val="001535B2"/>
    <w:rsid w:val="00153DEF"/>
    <w:rsid w:val="00153F93"/>
    <w:rsid w:val="00154069"/>
    <w:rsid w:val="00155591"/>
    <w:rsid w:val="001556BF"/>
    <w:rsid w:val="00155961"/>
    <w:rsid w:val="00155B85"/>
    <w:rsid w:val="00157D5C"/>
    <w:rsid w:val="00160AB2"/>
    <w:rsid w:val="00160C52"/>
    <w:rsid w:val="001615AE"/>
    <w:rsid w:val="00161739"/>
    <w:rsid w:val="0016241F"/>
    <w:rsid w:val="00162AAA"/>
    <w:rsid w:val="00162B3C"/>
    <w:rsid w:val="00162C7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50C5"/>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972C9"/>
    <w:rsid w:val="001A0DCC"/>
    <w:rsid w:val="001A0F0E"/>
    <w:rsid w:val="001A2941"/>
    <w:rsid w:val="001A2B6D"/>
    <w:rsid w:val="001A2FA7"/>
    <w:rsid w:val="001A313C"/>
    <w:rsid w:val="001A324C"/>
    <w:rsid w:val="001A4178"/>
    <w:rsid w:val="001A463A"/>
    <w:rsid w:val="001A5194"/>
    <w:rsid w:val="001A6040"/>
    <w:rsid w:val="001A60BB"/>
    <w:rsid w:val="001A7D60"/>
    <w:rsid w:val="001A7D8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C7E05"/>
    <w:rsid w:val="001D00C9"/>
    <w:rsid w:val="001D0213"/>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0660"/>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3C2"/>
    <w:rsid w:val="00227FE0"/>
    <w:rsid w:val="002300C4"/>
    <w:rsid w:val="00232163"/>
    <w:rsid w:val="00234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0CCB"/>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032"/>
    <w:rsid w:val="00286100"/>
    <w:rsid w:val="002863D9"/>
    <w:rsid w:val="00287CEE"/>
    <w:rsid w:val="00287F23"/>
    <w:rsid w:val="00290688"/>
    <w:rsid w:val="00291436"/>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EE7"/>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667"/>
    <w:rsid w:val="00312D50"/>
    <w:rsid w:val="00312F8B"/>
    <w:rsid w:val="0031359C"/>
    <w:rsid w:val="00313AA9"/>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465A"/>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1A23"/>
    <w:rsid w:val="00371BB4"/>
    <w:rsid w:val="00372470"/>
    <w:rsid w:val="0037261C"/>
    <w:rsid w:val="00372BAF"/>
    <w:rsid w:val="00373227"/>
    <w:rsid w:val="0037357D"/>
    <w:rsid w:val="00373967"/>
    <w:rsid w:val="003740F6"/>
    <w:rsid w:val="003757DE"/>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205"/>
    <w:rsid w:val="00393978"/>
    <w:rsid w:val="00393B94"/>
    <w:rsid w:val="00393EA2"/>
    <w:rsid w:val="00394D8F"/>
    <w:rsid w:val="00394D93"/>
    <w:rsid w:val="0039545A"/>
    <w:rsid w:val="00395A59"/>
    <w:rsid w:val="00395DEA"/>
    <w:rsid w:val="00395EBF"/>
    <w:rsid w:val="00396D08"/>
    <w:rsid w:val="00397491"/>
    <w:rsid w:val="00397CD3"/>
    <w:rsid w:val="003A06E4"/>
    <w:rsid w:val="003A0B64"/>
    <w:rsid w:val="003A0EE1"/>
    <w:rsid w:val="003A1469"/>
    <w:rsid w:val="003A16AB"/>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5A0"/>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69FE"/>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3F7A8E"/>
    <w:rsid w:val="00400E4C"/>
    <w:rsid w:val="004012A9"/>
    <w:rsid w:val="004012C8"/>
    <w:rsid w:val="00403A96"/>
    <w:rsid w:val="004042DA"/>
    <w:rsid w:val="00404632"/>
    <w:rsid w:val="00404975"/>
    <w:rsid w:val="004050C9"/>
    <w:rsid w:val="004068EC"/>
    <w:rsid w:val="004071AA"/>
    <w:rsid w:val="00407E1F"/>
    <w:rsid w:val="0041008C"/>
    <w:rsid w:val="00413F1C"/>
    <w:rsid w:val="004144D1"/>
    <w:rsid w:val="004145AF"/>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66D2"/>
    <w:rsid w:val="00476EA2"/>
    <w:rsid w:val="004779B7"/>
    <w:rsid w:val="00480B6C"/>
    <w:rsid w:val="0048120A"/>
    <w:rsid w:val="00481570"/>
    <w:rsid w:val="004815ED"/>
    <w:rsid w:val="00481BA4"/>
    <w:rsid w:val="0048298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51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46FF"/>
    <w:rsid w:val="004A50D6"/>
    <w:rsid w:val="004A582C"/>
    <w:rsid w:val="004A6123"/>
    <w:rsid w:val="004A785F"/>
    <w:rsid w:val="004A7D5A"/>
    <w:rsid w:val="004B00C8"/>
    <w:rsid w:val="004B1661"/>
    <w:rsid w:val="004B16A5"/>
    <w:rsid w:val="004B186E"/>
    <w:rsid w:val="004B2F96"/>
    <w:rsid w:val="004B321D"/>
    <w:rsid w:val="004B3758"/>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68E"/>
    <w:rsid w:val="004F39F3"/>
    <w:rsid w:val="004F45E1"/>
    <w:rsid w:val="004F577F"/>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4FED"/>
    <w:rsid w:val="00556A7A"/>
    <w:rsid w:val="005573B6"/>
    <w:rsid w:val="005574CC"/>
    <w:rsid w:val="00557818"/>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36D"/>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6CCD"/>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172"/>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3C9"/>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237"/>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591A"/>
    <w:rsid w:val="00686614"/>
    <w:rsid w:val="00687582"/>
    <w:rsid w:val="00687B4C"/>
    <w:rsid w:val="00687EF8"/>
    <w:rsid w:val="006910C3"/>
    <w:rsid w:val="006916E5"/>
    <w:rsid w:val="00693952"/>
    <w:rsid w:val="0069504F"/>
    <w:rsid w:val="006953BB"/>
    <w:rsid w:val="00695EB2"/>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2A73"/>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37066"/>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47F96"/>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A7F8E"/>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26A"/>
    <w:rsid w:val="007C2BE1"/>
    <w:rsid w:val="007C3723"/>
    <w:rsid w:val="007C390C"/>
    <w:rsid w:val="007C4B35"/>
    <w:rsid w:val="007C5584"/>
    <w:rsid w:val="007C5665"/>
    <w:rsid w:val="007C65C3"/>
    <w:rsid w:val="007C706C"/>
    <w:rsid w:val="007C725E"/>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0E95"/>
    <w:rsid w:val="007F15AA"/>
    <w:rsid w:val="007F15FE"/>
    <w:rsid w:val="007F165D"/>
    <w:rsid w:val="007F1BF5"/>
    <w:rsid w:val="007F1CF4"/>
    <w:rsid w:val="007F3211"/>
    <w:rsid w:val="007F330A"/>
    <w:rsid w:val="007F358C"/>
    <w:rsid w:val="007F4246"/>
    <w:rsid w:val="007F4EE1"/>
    <w:rsid w:val="007F4FE2"/>
    <w:rsid w:val="007F6DA0"/>
    <w:rsid w:val="007F72C3"/>
    <w:rsid w:val="00800081"/>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3EF"/>
    <w:rsid w:val="00811E35"/>
    <w:rsid w:val="0081262E"/>
    <w:rsid w:val="008130A4"/>
    <w:rsid w:val="00813472"/>
    <w:rsid w:val="00813A9A"/>
    <w:rsid w:val="00814FBF"/>
    <w:rsid w:val="008162CA"/>
    <w:rsid w:val="00816BA9"/>
    <w:rsid w:val="00816D94"/>
    <w:rsid w:val="00816EBA"/>
    <w:rsid w:val="008174D9"/>
    <w:rsid w:val="0081795A"/>
    <w:rsid w:val="00817ED6"/>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5FD8"/>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6595"/>
    <w:rsid w:val="00847441"/>
    <w:rsid w:val="00847B94"/>
    <w:rsid w:val="00850C7C"/>
    <w:rsid w:val="00851625"/>
    <w:rsid w:val="00851C23"/>
    <w:rsid w:val="00851C7E"/>
    <w:rsid w:val="00851E7D"/>
    <w:rsid w:val="00852562"/>
    <w:rsid w:val="00852E20"/>
    <w:rsid w:val="00853B0C"/>
    <w:rsid w:val="00853CEF"/>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762E8"/>
    <w:rsid w:val="00877FBC"/>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6C81"/>
    <w:rsid w:val="00887824"/>
    <w:rsid w:val="00887E0D"/>
    <w:rsid w:val="00887FF4"/>
    <w:rsid w:val="00890A5C"/>
    <w:rsid w:val="00890BE5"/>
    <w:rsid w:val="008910C5"/>
    <w:rsid w:val="00891D46"/>
    <w:rsid w:val="00893900"/>
    <w:rsid w:val="00894CC5"/>
    <w:rsid w:val="00894FCD"/>
    <w:rsid w:val="00896217"/>
    <w:rsid w:val="0089679F"/>
    <w:rsid w:val="008967D2"/>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6A48"/>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1E68"/>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D97"/>
    <w:rsid w:val="00904E7E"/>
    <w:rsid w:val="00905A2F"/>
    <w:rsid w:val="00906019"/>
    <w:rsid w:val="00906740"/>
    <w:rsid w:val="00906AF4"/>
    <w:rsid w:val="00907564"/>
    <w:rsid w:val="00907785"/>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B2D"/>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735"/>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B1D"/>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5B3"/>
    <w:rsid w:val="00992B14"/>
    <w:rsid w:val="00992B21"/>
    <w:rsid w:val="00993B74"/>
    <w:rsid w:val="009946F9"/>
    <w:rsid w:val="009947C7"/>
    <w:rsid w:val="00994BEC"/>
    <w:rsid w:val="0099584A"/>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276A5"/>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1EE3"/>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640F"/>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C3C"/>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5EEA"/>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8D7"/>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AF67F6"/>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17207"/>
    <w:rsid w:val="00B21330"/>
    <w:rsid w:val="00B21489"/>
    <w:rsid w:val="00B2181E"/>
    <w:rsid w:val="00B21E10"/>
    <w:rsid w:val="00B21FEC"/>
    <w:rsid w:val="00B2201A"/>
    <w:rsid w:val="00B22AB3"/>
    <w:rsid w:val="00B233B5"/>
    <w:rsid w:val="00B23798"/>
    <w:rsid w:val="00B23ECD"/>
    <w:rsid w:val="00B2453D"/>
    <w:rsid w:val="00B25F85"/>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78F"/>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338D"/>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4F54"/>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02F"/>
    <w:rsid w:val="00BB3F0F"/>
    <w:rsid w:val="00BB57FD"/>
    <w:rsid w:val="00BB67BD"/>
    <w:rsid w:val="00BB7026"/>
    <w:rsid w:val="00BC0611"/>
    <w:rsid w:val="00BC0EA5"/>
    <w:rsid w:val="00BC149A"/>
    <w:rsid w:val="00BC16F3"/>
    <w:rsid w:val="00BC1D80"/>
    <w:rsid w:val="00BC27C9"/>
    <w:rsid w:val="00BC292C"/>
    <w:rsid w:val="00BC3CD7"/>
    <w:rsid w:val="00BC3D98"/>
    <w:rsid w:val="00BC42E2"/>
    <w:rsid w:val="00BC5D22"/>
    <w:rsid w:val="00BC645E"/>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5E25"/>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037"/>
    <w:rsid w:val="00C30FE5"/>
    <w:rsid w:val="00C315F1"/>
    <w:rsid w:val="00C31882"/>
    <w:rsid w:val="00C31A58"/>
    <w:rsid w:val="00C31E84"/>
    <w:rsid w:val="00C32E66"/>
    <w:rsid w:val="00C33659"/>
    <w:rsid w:val="00C33DF0"/>
    <w:rsid w:val="00C34404"/>
    <w:rsid w:val="00C345A4"/>
    <w:rsid w:val="00C3521F"/>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76DAE"/>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70C"/>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735"/>
    <w:rsid w:val="00CD69CB"/>
    <w:rsid w:val="00CD6E4E"/>
    <w:rsid w:val="00CD77C9"/>
    <w:rsid w:val="00CE008E"/>
    <w:rsid w:val="00CE091F"/>
    <w:rsid w:val="00CE0A6E"/>
    <w:rsid w:val="00CE10B4"/>
    <w:rsid w:val="00CE13DB"/>
    <w:rsid w:val="00CE211F"/>
    <w:rsid w:val="00CE2137"/>
    <w:rsid w:val="00CE2389"/>
    <w:rsid w:val="00CE267B"/>
    <w:rsid w:val="00CE288C"/>
    <w:rsid w:val="00CE2893"/>
    <w:rsid w:val="00CE2CFC"/>
    <w:rsid w:val="00CE3234"/>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B8F"/>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831"/>
    <w:rsid w:val="00D36D79"/>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381"/>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11E"/>
    <w:rsid w:val="00D81461"/>
    <w:rsid w:val="00D81A2E"/>
    <w:rsid w:val="00D81C6C"/>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3EE"/>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23B"/>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C00"/>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204"/>
    <w:rsid w:val="00DF5ABD"/>
    <w:rsid w:val="00DF71EC"/>
    <w:rsid w:val="00DF7556"/>
    <w:rsid w:val="00E00497"/>
    <w:rsid w:val="00E0052C"/>
    <w:rsid w:val="00E0061D"/>
    <w:rsid w:val="00E0107D"/>
    <w:rsid w:val="00E01114"/>
    <w:rsid w:val="00E0161A"/>
    <w:rsid w:val="00E019A8"/>
    <w:rsid w:val="00E01B0F"/>
    <w:rsid w:val="00E01D70"/>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8F0"/>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3089"/>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4D9A"/>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C0A"/>
    <w:rsid w:val="00EE1D44"/>
    <w:rsid w:val="00EE1EB6"/>
    <w:rsid w:val="00EE2C9E"/>
    <w:rsid w:val="00EE2F93"/>
    <w:rsid w:val="00EE3055"/>
    <w:rsid w:val="00EE3A97"/>
    <w:rsid w:val="00EE480C"/>
    <w:rsid w:val="00EE4901"/>
    <w:rsid w:val="00EE4928"/>
    <w:rsid w:val="00EE497F"/>
    <w:rsid w:val="00EE58EB"/>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89E"/>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17F0C"/>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66F"/>
    <w:rsid w:val="00F35AEE"/>
    <w:rsid w:val="00F35D99"/>
    <w:rsid w:val="00F36E1C"/>
    <w:rsid w:val="00F40733"/>
    <w:rsid w:val="00F41C2F"/>
    <w:rsid w:val="00F4256D"/>
    <w:rsid w:val="00F42644"/>
    <w:rsid w:val="00F43EC6"/>
    <w:rsid w:val="00F445AC"/>
    <w:rsid w:val="00F44C05"/>
    <w:rsid w:val="00F45AEC"/>
    <w:rsid w:val="00F45B62"/>
    <w:rsid w:val="00F45BAA"/>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2D8"/>
    <w:rsid w:val="00F646A1"/>
    <w:rsid w:val="00F6478E"/>
    <w:rsid w:val="00F64A7D"/>
    <w:rsid w:val="00F66184"/>
    <w:rsid w:val="00F663B2"/>
    <w:rsid w:val="00F667EE"/>
    <w:rsid w:val="00F66B62"/>
    <w:rsid w:val="00F70F7B"/>
    <w:rsid w:val="00F71127"/>
    <w:rsid w:val="00F71541"/>
    <w:rsid w:val="00F71DA5"/>
    <w:rsid w:val="00F72854"/>
    <w:rsid w:val="00F72EBA"/>
    <w:rsid w:val="00F72FE4"/>
    <w:rsid w:val="00F73169"/>
    <w:rsid w:val="00F73330"/>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A1C"/>
    <w:rsid w:val="00F87C83"/>
    <w:rsid w:val="00F87E34"/>
    <w:rsid w:val="00F9031A"/>
    <w:rsid w:val="00F906B1"/>
    <w:rsid w:val="00F91FBF"/>
    <w:rsid w:val="00F92357"/>
    <w:rsid w:val="00F92753"/>
    <w:rsid w:val="00F933F7"/>
    <w:rsid w:val="00F93475"/>
    <w:rsid w:val="00F93E7A"/>
    <w:rsid w:val="00F93F38"/>
    <w:rsid w:val="00F93FFE"/>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C7FFD"/>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011"/>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 w:val="7B5F19CD"/>
    <w:rsid w:val="B63F1A4F"/>
    <w:rsid w:val="B6B754ED"/>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1086"/>
        <o:r id="V:Rule2" type="connector" idref="#肘形连接符 1098"/>
        <o:r id="V:Rule3" type="connector" idref="#直接连接符 1118"/>
        <o:r id="V:Rule4" type="connector" idref="#肘形连接符 1113"/>
        <o:r id="V:Rule5" type="connector" idref="#肘形连接符 1114"/>
        <o:r id="V:Rule6" type="connector" idref="#直接连接符 1125"/>
        <o:r id="V:Rule7" type="connector" idref="#肘形连接符 1099"/>
        <o:r id="V:Rule8" type="connector" idref="#肘形连接符 1100"/>
        <o:r id="V:Rule9" type="connector" idref="#肘形连接符 1101"/>
        <o:r id="V:Rule10" type="connector" idref="#肘形连接符 1102"/>
        <o:r id="V:Rule11" type="connector" idref="#肘形连接符 1104"/>
        <o:r id="V:Rule12" type="connector" idref="#肘形连接符 1105"/>
        <o:r id="V:Rule13" type="connector" idref="#肘形连接符 110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113"/>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8"/>
    <w:unhideWhenUsed/>
    <w:qFormat/>
    <w:uiPriority w:val="9"/>
    <w:pPr>
      <w:keepNext/>
      <w:keepLines/>
      <w:spacing w:before="280" w:after="290" w:line="376" w:lineRule="auto"/>
      <w:outlineLvl w:val="4"/>
    </w:pPr>
    <w:rPr>
      <w:b/>
      <w:bCs/>
      <w:sz w:val="28"/>
      <w:szCs w:val="28"/>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Normal Indent"/>
    <w:basedOn w:val="1"/>
    <w:qFormat/>
    <w:uiPriority w:val="0"/>
    <w:pPr>
      <w:ind w:firstLine="420" w:firstLineChars="200"/>
    </w:pPr>
    <w:rPr>
      <w:rFonts w:asciiTheme="minorHAnsi" w:hAnsiTheme="minorHAnsi" w:eastAsiaTheme="minorEastAsia" w:cstheme="minorBidi"/>
    </w:rPr>
  </w:style>
  <w:style w:type="paragraph" w:styleId="9">
    <w:name w:val="Document Map"/>
    <w:basedOn w:val="1"/>
    <w:link w:val="97"/>
    <w:qFormat/>
    <w:uiPriority w:val="0"/>
    <w:rPr>
      <w:rFonts w:ascii="宋体"/>
      <w:sz w:val="18"/>
      <w:szCs w:val="18"/>
    </w:rPr>
  </w:style>
  <w:style w:type="paragraph" w:styleId="10">
    <w:name w:val="toa heading"/>
    <w:basedOn w:val="1"/>
    <w:next w:val="1"/>
    <w:qFormat/>
    <w:uiPriority w:val="99"/>
    <w:pPr>
      <w:spacing w:before="120"/>
    </w:pPr>
    <w:rPr>
      <w:rFonts w:ascii="Calibri Light" w:hAnsi="Calibri Light"/>
      <w:sz w:val="24"/>
    </w:rPr>
  </w:style>
  <w:style w:type="paragraph" w:styleId="11">
    <w:name w:val="annotation text"/>
    <w:basedOn w:val="1"/>
    <w:link w:val="71"/>
    <w:qFormat/>
    <w:uiPriority w:val="99"/>
    <w:pPr>
      <w:jc w:val="left"/>
    </w:pPr>
    <w:rPr>
      <w:szCs w:val="20"/>
    </w:rPr>
  </w:style>
  <w:style w:type="paragraph" w:styleId="12">
    <w:name w:val="Body Text 3"/>
    <w:basedOn w:val="1"/>
    <w:link w:val="75"/>
    <w:qFormat/>
    <w:uiPriority w:val="0"/>
    <w:pPr>
      <w:spacing w:after="120"/>
    </w:pPr>
    <w:rPr>
      <w:sz w:val="16"/>
      <w:szCs w:val="16"/>
    </w:rPr>
  </w:style>
  <w:style w:type="paragraph" w:styleId="13">
    <w:name w:val="Body Text"/>
    <w:basedOn w:val="1"/>
    <w:qFormat/>
    <w:uiPriority w:val="1"/>
    <w:pPr>
      <w:spacing w:after="120"/>
    </w:pPr>
  </w:style>
  <w:style w:type="paragraph" w:styleId="14">
    <w:name w:val="Body Text Indent"/>
    <w:basedOn w:val="1"/>
    <w:link w:val="105"/>
    <w:qFormat/>
    <w:uiPriority w:val="0"/>
    <w:pPr>
      <w:ind w:firstLine="435"/>
    </w:pPr>
    <w:rPr>
      <w:rFonts w:eastAsia="仿宋_GB2312"/>
      <w:sz w:val="32"/>
    </w:rPr>
  </w:style>
  <w:style w:type="paragraph" w:styleId="15">
    <w:name w:val="toc 3"/>
    <w:basedOn w:val="1"/>
    <w:next w:val="1"/>
    <w:unhideWhenUsed/>
    <w:qFormat/>
    <w:uiPriority w:val="39"/>
    <w:pPr>
      <w:ind w:left="840" w:leftChars="400"/>
    </w:pPr>
  </w:style>
  <w:style w:type="paragraph" w:styleId="16">
    <w:name w:val="Plain Text"/>
    <w:basedOn w:val="1"/>
    <w:link w:val="110"/>
    <w:qFormat/>
    <w:uiPriority w:val="99"/>
    <w:rPr>
      <w:rFonts w:ascii="宋体" w:hAnsi="Courier New"/>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53"/>
    <w:qFormat/>
    <w:uiPriority w:val="99"/>
    <w:pPr>
      <w:tabs>
        <w:tab w:val="center" w:pos="4153"/>
        <w:tab w:val="right" w:pos="8306"/>
      </w:tabs>
      <w:snapToGrid w:val="0"/>
      <w:jc w:val="left"/>
    </w:pPr>
    <w:rPr>
      <w:sz w:val="18"/>
    </w:rPr>
  </w:style>
  <w:style w:type="paragraph" w:styleId="21">
    <w:name w:val="header"/>
    <w:basedOn w:val="1"/>
    <w:link w:val="5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39"/>
  </w:style>
  <w:style w:type="paragraph" w:styleId="23">
    <w:name w:val="Subtitle"/>
    <w:basedOn w:val="1"/>
    <w:next w:val="1"/>
    <w:link w:val="93"/>
    <w:qFormat/>
    <w:uiPriority w:val="11"/>
    <w:pPr>
      <w:spacing w:before="240" w:after="60" w:line="312" w:lineRule="auto"/>
      <w:jc w:val="center"/>
      <w:outlineLvl w:val="1"/>
    </w:pPr>
    <w:rPr>
      <w:rFonts w:ascii="Cambria" w:hAnsi="Cambria"/>
      <w:b/>
      <w:bCs/>
      <w:kern w:val="28"/>
      <w:sz w:val="32"/>
      <w:szCs w:val="32"/>
    </w:rPr>
  </w:style>
  <w:style w:type="paragraph" w:styleId="24">
    <w:name w:val="footnote text"/>
    <w:basedOn w:val="1"/>
    <w:link w:val="100"/>
    <w:unhideWhenUsed/>
    <w:qFormat/>
    <w:uiPriority w:val="99"/>
    <w:pPr>
      <w:snapToGrid w:val="0"/>
      <w:jc w:val="left"/>
    </w:pPr>
    <w:rPr>
      <w:rFonts w:ascii="等线" w:hAnsi="等线" w:eastAsia="等线" w:cs="黑体"/>
      <w:sz w:val="18"/>
      <w:szCs w:val="18"/>
    </w:rPr>
  </w:style>
  <w:style w:type="paragraph" w:styleId="25">
    <w:name w:val="Body Text Indent 3"/>
    <w:basedOn w:val="1"/>
    <w:qFormat/>
    <w:uiPriority w:val="0"/>
    <w:pPr>
      <w:spacing w:after="120"/>
      <w:ind w:left="420" w:leftChars="200"/>
    </w:pPr>
    <w:rPr>
      <w:sz w:val="16"/>
      <w:szCs w:val="16"/>
    </w:rPr>
  </w:style>
  <w:style w:type="paragraph" w:styleId="26">
    <w:name w:val="toc 2"/>
    <w:basedOn w:val="1"/>
    <w:next w:val="1"/>
    <w:qFormat/>
    <w:uiPriority w:val="39"/>
    <w:pPr>
      <w:ind w:left="420"/>
      <w:jc w:val="center"/>
    </w:pPr>
    <w:rPr>
      <w:rFonts w:ascii="楷体_GB2312" w:eastAsia="楷体_GB2312"/>
      <w:sz w:val="32"/>
    </w:rPr>
  </w:style>
  <w:style w:type="paragraph" w:styleId="27">
    <w:name w:val="Body Text 2"/>
    <w:basedOn w:val="1"/>
    <w:link w:val="89"/>
    <w:qFormat/>
    <w:uiPriority w:val="0"/>
    <w:pPr>
      <w:spacing w:after="120" w:line="480" w:lineRule="auto"/>
    </w:pPr>
  </w:style>
  <w:style w:type="paragraph" w:styleId="28">
    <w:name w:val="HTML Preformatted"/>
    <w:basedOn w:val="1"/>
    <w:link w:val="107"/>
    <w:unhideWhenUsed/>
    <w:qFormat/>
    <w:uiPriority w:val="99"/>
    <w:pPr>
      <w:widowControl/>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kern w:val="0"/>
      <w:sz w:val="24"/>
    </w:rPr>
  </w:style>
  <w:style w:type="paragraph" w:styleId="30">
    <w:name w:val="Title"/>
    <w:basedOn w:val="1"/>
    <w:next w:val="1"/>
    <w:link w:val="104"/>
    <w:qFormat/>
    <w:uiPriority w:val="10"/>
    <w:pPr>
      <w:spacing w:before="240" w:after="60"/>
      <w:jc w:val="center"/>
      <w:outlineLvl w:val="0"/>
    </w:pPr>
    <w:rPr>
      <w:rFonts w:ascii="Arial" w:hAnsi="Arial"/>
      <w:b/>
      <w:sz w:val="32"/>
    </w:rPr>
  </w:style>
  <w:style w:type="paragraph" w:styleId="31">
    <w:name w:val="Body Text First Indent 2"/>
    <w:basedOn w:val="14"/>
    <w:link w:val="106"/>
    <w:unhideWhenUsed/>
    <w:qFormat/>
    <w:uiPriority w:val="0"/>
    <w:pPr>
      <w:spacing w:after="120"/>
      <w:ind w:left="420" w:leftChars="200" w:firstLine="420" w:firstLineChars="200"/>
    </w:pPr>
    <w:rPr>
      <w:rFonts w:ascii="Calibri" w:hAnsi="Calibri" w:eastAsia="宋体"/>
      <w:sz w:val="21"/>
    </w:rPr>
  </w:style>
  <w:style w:type="table" w:styleId="33">
    <w:name w:val="Table Grid"/>
    <w:basedOn w:val="3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qFormat/>
    <w:uiPriority w:val="0"/>
  </w:style>
  <w:style w:type="character" w:styleId="37">
    <w:name w:val="Emphasis"/>
    <w:basedOn w:val="34"/>
    <w:qFormat/>
    <w:uiPriority w:val="0"/>
    <w:rPr>
      <w:i/>
      <w:iCs/>
    </w:rPr>
  </w:style>
  <w:style w:type="character" w:styleId="38">
    <w:name w:val="Hyperlink"/>
    <w:basedOn w:val="34"/>
    <w:qFormat/>
    <w:uiPriority w:val="99"/>
    <w:rPr>
      <w:color w:val="0000FF"/>
      <w:u w:val="single"/>
    </w:rPr>
  </w:style>
  <w:style w:type="character" w:customStyle="1" w:styleId="39">
    <w:name w:val="标题 1 Char"/>
    <w:basedOn w:val="34"/>
    <w:link w:val="2"/>
    <w:qFormat/>
    <w:locked/>
    <w:uiPriority w:val="9"/>
    <w:rPr>
      <w:rFonts w:eastAsia="宋体"/>
      <w:b/>
      <w:bCs/>
      <w:kern w:val="44"/>
      <w:sz w:val="44"/>
      <w:szCs w:val="44"/>
      <w:lang w:val="en-US" w:eastAsia="zh-CN" w:bidi="ar-SA"/>
    </w:rPr>
  </w:style>
  <w:style w:type="character" w:customStyle="1" w:styleId="40">
    <w:name w:val="标题 2 Char"/>
    <w:basedOn w:val="34"/>
    <w:link w:val="3"/>
    <w:qFormat/>
    <w:uiPriority w:val="0"/>
    <w:rPr>
      <w:rFonts w:ascii="Arial" w:hAnsi="Arial" w:eastAsia="黑体"/>
      <w:b/>
      <w:bCs/>
      <w:kern w:val="2"/>
      <w:sz w:val="32"/>
      <w:szCs w:val="32"/>
      <w:lang w:val="en-US" w:eastAsia="zh-CN" w:bidi="ar-SA"/>
    </w:rPr>
  </w:style>
  <w:style w:type="character" w:customStyle="1" w:styleId="41">
    <w:name w:val="标题 3 Char"/>
    <w:basedOn w:val="34"/>
    <w:link w:val="4"/>
    <w:qFormat/>
    <w:locked/>
    <w:uiPriority w:val="0"/>
    <w:rPr>
      <w:rFonts w:eastAsia="宋体"/>
      <w:b/>
      <w:bCs/>
      <w:kern w:val="2"/>
      <w:sz w:val="32"/>
      <w:szCs w:val="32"/>
      <w:lang w:val="en-US" w:eastAsia="zh-CN" w:bidi="ar-SA"/>
    </w:rPr>
  </w:style>
  <w:style w:type="paragraph" w:customStyle="1" w:styleId="42">
    <w:name w:val="_Style 5"/>
    <w:basedOn w:val="1"/>
    <w:qFormat/>
    <w:uiPriority w:val="0"/>
  </w:style>
  <w:style w:type="character" w:customStyle="1" w:styleId="43">
    <w:name w:val="ca-3"/>
    <w:basedOn w:val="34"/>
    <w:qFormat/>
    <w:uiPriority w:val="0"/>
  </w:style>
  <w:style w:type="character" w:customStyle="1" w:styleId="44">
    <w:name w:val="16"/>
    <w:basedOn w:val="34"/>
    <w:qFormat/>
    <w:uiPriority w:val="0"/>
  </w:style>
  <w:style w:type="character" w:customStyle="1" w:styleId="45">
    <w:name w:val="biaoti-61"/>
    <w:basedOn w:val="34"/>
    <w:qFormat/>
    <w:uiPriority w:val="0"/>
    <w:rPr>
      <w:b/>
      <w:bCs/>
      <w:color w:val="000066"/>
      <w:sz w:val="30"/>
      <w:szCs w:val="30"/>
    </w:rPr>
  </w:style>
  <w:style w:type="character" w:customStyle="1" w:styleId="46">
    <w:name w:val="scayt-misspell"/>
    <w:basedOn w:val="34"/>
    <w:qFormat/>
    <w:uiPriority w:val="0"/>
  </w:style>
  <w:style w:type="character" w:customStyle="1" w:styleId="47">
    <w:name w:val="ht1"/>
    <w:basedOn w:val="34"/>
    <w:qFormat/>
    <w:uiPriority w:val="0"/>
  </w:style>
  <w:style w:type="character" w:customStyle="1" w:styleId="48">
    <w:name w:val="我的正文 Char Char"/>
    <w:basedOn w:val="34"/>
    <w:link w:val="49"/>
    <w:qFormat/>
    <w:uiPriority w:val="0"/>
    <w:rPr>
      <w:rFonts w:ascii="楷体_GB2312" w:hAnsi="Arial" w:eastAsia="楷体_GB2312" w:cs="Arial"/>
      <w:kern w:val="2"/>
      <w:sz w:val="28"/>
      <w:szCs w:val="30"/>
      <w:lang w:val="en-US" w:eastAsia="zh-CN" w:bidi="ar-SA"/>
    </w:rPr>
  </w:style>
  <w:style w:type="paragraph" w:customStyle="1" w:styleId="49">
    <w:name w:val="我的正文"/>
    <w:basedOn w:val="1"/>
    <w:link w:val="48"/>
    <w:qFormat/>
    <w:uiPriority w:val="0"/>
    <w:pPr>
      <w:spacing w:line="360" w:lineRule="auto"/>
      <w:ind w:firstLine="200" w:firstLineChars="200"/>
    </w:pPr>
    <w:rPr>
      <w:rFonts w:ascii="楷体_GB2312" w:hAnsi="Arial" w:eastAsia="楷体_GB2312" w:cs="Arial"/>
      <w:sz w:val="28"/>
      <w:szCs w:val="30"/>
    </w:rPr>
  </w:style>
  <w:style w:type="character" w:customStyle="1" w:styleId="50">
    <w:name w:val="页眉 Char"/>
    <w:basedOn w:val="34"/>
    <w:link w:val="21"/>
    <w:qFormat/>
    <w:uiPriority w:val="99"/>
    <w:rPr>
      <w:rFonts w:eastAsia="宋体"/>
      <w:kern w:val="2"/>
      <w:sz w:val="18"/>
      <w:szCs w:val="24"/>
      <w:lang w:val="en-US" w:eastAsia="zh-CN" w:bidi="ar-SA"/>
    </w:rPr>
  </w:style>
  <w:style w:type="paragraph" w:customStyle="1" w:styleId="51">
    <w:name w:val="Char"/>
    <w:basedOn w:val="1"/>
    <w:qFormat/>
    <w:uiPriority w:val="0"/>
    <w:pPr>
      <w:widowControl/>
      <w:spacing w:after="160" w:line="240" w:lineRule="exact"/>
      <w:jc w:val="left"/>
    </w:pPr>
  </w:style>
  <w:style w:type="paragraph" w:customStyle="1" w:styleId="52">
    <w:name w:val="Char1"/>
    <w:basedOn w:val="1"/>
    <w:qFormat/>
    <w:uiPriority w:val="0"/>
    <w:pPr>
      <w:widowControl/>
      <w:adjustRightInd w:val="0"/>
      <w:spacing w:after="160" w:line="240" w:lineRule="exact"/>
      <w:jc w:val="left"/>
    </w:pPr>
  </w:style>
  <w:style w:type="character" w:customStyle="1" w:styleId="53">
    <w:name w:val="页脚 Char"/>
    <w:basedOn w:val="34"/>
    <w:link w:val="20"/>
    <w:qFormat/>
    <w:uiPriority w:val="99"/>
    <w:rPr>
      <w:rFonts w:eastAsia="宋体"/>
      <w:kern w:val="2"/>
      <w:sz w:val="18"/>
      <w:szCs w:val="24"/>
      <w:lang w:val="en-US" w:eastAsia="zh-CN" w:bidi="ar-SA"/>
    </w:rPr>
  </w:style>
  <w:style w:type="paragraph" w:customStyle="1" w:styleId="5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报告正文1"/>
    <w:basedOn w:val="1"/>
    <w:qFormat/>
    <w:uiPriority w:val="0"/>
    <w:pPr>
      <w:spacing w:line="580" w:lineRule="exact"/>
      <w:ind w:firstLine="200" w:firstLineChars="200"/>
    </w:pPr>
    <w:rPr>
      <w:rFonts w:eastAsia="方正仿宋_GBK" w:cs="宋体"/>
      <w:szCs w:val="20"/>
    </w:rPr>
  </w:style>
  <w:style w:type="paragraph" w:customStyle="1" w:styleId="56">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7">
    <w:name w:val="Char Char Char1 Char"/>
    <w:basedOn w:val="1"/>
    <w:qFormat/>
    <w:uiPriority w:val="0"/>
    <w:pPr>
      <w:widowControl/>
      <w:spacing w:after="160" w:line="240" w:lineRule="exact"/>
      <w:jc w:val="left"/>
    </w:pPr>
  </w:style>
  <w:style w:type="paragraph" w:customStyle="1" w:styleId="58">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9">
    <w:name w:val="p0"/>
    <w:basedOn w:val="1"/>
    <w:qFormat/>
    <w:uiPriority w:val="0"/>
    <w:pPr>
      <w:widowControl/>
      <w:spacing w:line="365" w:lineRule="atLeast"/>
      <w:ind w:left="1"/>
      <w:textAlignment w:val="bottom"/>
    </w:pPr>
    <w:rPr>
      <w:kern w:val="0"/>
      <w:sz w:val="20"/>
    </w:rPr>
  </w:style>
  <w:style w:type="paragraph" w:customStyle="1" w:styleId="60">
    <w:name w:val="p15"/>
    <w:basedOn w:val="1"/>
    <w:qFormat/>
    <w:uiPriority w:val="0"/>
    <w:pPr>
      <w:widowControl/>
    </w:pPr>
    <w:rPr>
      <w:kern w:val="0"/>
      <w:szCs w:val="21"/>
    </w:rPr>
  </w:style>
  <w:style w:type="paragraph" w:customStyle="1" w:styleId="61">
    <w:name w:val="列出段落1"/>
    <w:basedOn w:val="1"/>
    <w:qFormat/>
    <w:uiPriority w:val="34"/>
    <w:pPr>
      <w:ind w:firstLine="420" w:firstLineChars="200"/>
    </w:pPr>
  </w:style>
  <w:style w:type="paragraph" w:customStyle="1" w:styleId="62">
    <w:name w:val="Char1 Char Char Char"/>
    <w:basedOn w:val="1"/>
    <w:qFormat/>
    <w:uiPriority w:val="0"/>
    <w:pPr>
      <w:spacing w:line="360" w:lineRule="auto"/>
    </w:pPr>
  </w:style>
  <w:style w:type="paragraph" w:customStyle="1" w:styleId="63">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4">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默认段落字体 Para Char Char Char Char"/>
    <w:basedOn w:val="1"/>
    <w:qFormat/>
    <w:uiPriority w:val="0"/>
  </w:style>
  <w:style w:type="character" w:customStyle="1" w:styleId="71">
    <w:name w:val="批注文字 Char"/>
    <w:basedOn w:val="34"/>
    <w:link w:val="11"/>
    <w:qFormat/>
    <w:uiPriority w:val="99"/>
    <w:rPr>
      <w:kern w:val="2"/>
      <w:sz w:val="21"/>
    </w:rPr>
  </w:style>
  <w:style w:type="character" w:customStyle="1" w:styleId="72">
    <w:name w:val="font121"/>
    <w:basedOn w:val="34"/>
    <w:qFormat/>
    <w:uiPriority w:val="0"/>
    <w:rPr>
      <w:sz w:val="18"/>
      <w:szCs w:val="18"/>
    </w:rPr>
  </w:style>
  <w:style w:type="paragraph" w:customStyle="1" w:styleId="73">
    <w:name w:val="p16"/>
    <w:basedOn w:val="1"/>
    <w:qFormat/>
    <w:uiPriority w:val="0"/>
    <w:pPr>
      <w:widowControl/>
    </w:pPr>
    <w:rPr>
      <w:rFonts w:ascii="宋体" w:hAnsi="宋体" w:cs="宋体"/>
      <w:kern w:val="0"/>
      <w:szCs w:val="21"/>
    </w:rPr>
  </w:style>
  <w:style w:type="paragraph" w:customStyle="1" w:styleId="74">
    <w:name w:val="p17"/>
    <w:basedOn w:val="1"/>
    <w:qFormat/>
    <w:uiPriority w:val="0"/>
    <w:pPr>
      <w:widowControl/>
      <w:jc w:val="left"/>
    </w:pPr>
    <w:rPr>
      <w:rFonts w:ascii="宋体" w:hAnsi="宋体" w:cs="宋体"/>
      <w:kern w:val="0"/>
      <w:sz w:val="24"/>
    </w:rPr>
  </w:style>
  <w:style w:type="character" w:customStyle="1" w:styleId="75">
    <w:name w:val="正文文本 3 Char"/>
    <w:basedOn w:val="34"/>
    <w:link w:val="12"/>
    <w:qFormat/>
    <w:uiPriority w:val="0"/>
    <w:rPr>
      <w:rFonts w:eastAsia="宋体"/>
      <w:kern w:val="2"/>
      <w:sz w:val="16"/>
      <w:szCs w:val="16"/>
      <w:lang w:val="en-US" w:eastAsia="zh-CN" w:bidi="ar-SA"/>
    </w:rPr>
  </w:style>
  <w:style w:type="paragraph" w:customStyle="1" w:styleId="7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8">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9">
    <w:name w:val="Char Char Char Char"/>
    <w:basedOn w:val="1"/>
    <w:qFormat/>
    <w:uiPriority w:val="0"/>
  </w:style>
  <w:style w:type="character" w:customStyle="1" w:styleId="80">
    <w:name w:val="15"/>
    <w:basedOn w:val="34"/>
    <w:qFormat/>
    <w:uiPriority w:val="0"/>
    <w:rPr>
      <w:rFonts w:hint="default" w:ascii="Times New Roman" w:hAnsi="Times New Roman" w:cs="Times New Roman"/>
      <w:b/>
      <w:bCs/>
      <w:sz w:val="20"/>
      <w:szCs w:val="20"/>
    </w:rPr>
  </w:style>
  <w:style w:type="character" w:customStyle="1" w:styleId="81">
    <w:name w:val="Character Style 2"/>
    <w:qFormat/>
    <w:uiPriority w:val="0"/>
    <w:rPr>
      <w:rFonts w:cs="Times New Roman"/>
    </w:rPr>
  </w:style>
  <w:style w:type="paragraph" w:customStyle="1" w:styleId="82">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3">
    <w:name w:val="apple-converted-space"/>
    <w:basedOn w:val="34"/>
    <w:qFormat/>
    <w:uiPriority w:val="0"/>
  </w:style>
  <w:style w:type="paragraph" w:customStyle="1" w:styleId="84">
    <w:name w:val="列出段落11"/>
    <w:basedOn w:val="1"/>
    <w:qFormat/>
    <w:uiPriority w:val="34"/>
    <w:pPr>
      <w:ind w:firstLine="420" w:firstLineChars="200"/>
    </w:pPr>
    <w:rPr>
      <w:rFonts w:ascii="Calibri" w:hAnsi="Calibri" w:cs="黑体"/>
      <w:szCs w:val="22"/>
    </w:rPr>
  </w:style>
  <w:style w:type="character" w:customStyle="1" w:styleId="85">
    <w:name w:val="Header Char"/>
    <w:basedOn w:val="34"/>
    <w:semiHidden/>
    <w:qFormat/>
    <w:locked/>
    <w:uiPriority w:val="0"/>
    <w:rPr>
      <w:rFonts w:eastAsia="宋体"/>
      <w:kern w:val="2"/>
      <w:sz w:val="18"/>
      <w:szCs w:val="18"/>
      <w:lang w:val="en-US" w:eastAsia="zh-CN" w:bidi="ar-SA"/>
    </w:rPr>
  </w:style>
  <w:style w:type="character" w:customStyle="1" w:styleId="86">
    <w:name w:val="Footer Char"/>
    <w:basedOn w:val="34"/>
    <w:semiHidden/>
    <w:qFormat/>
    <w:locked/>
    <w:uiPriority w:val="0"/>
    <w:rPr>
      <w:rFonts w:eastAsia="宋体"/>
      <w:kern w:val="2"/>
      <w:sz w:val="18"/>
      <w:szCs w:val="18"/>
      <w:lang w:val="en-US" w:eastAsia="zh-CN" w:bidi="ar-SA"/>
    </w:rPr>
  </w:style>
  <w:style w:type="paragraph" w:customStyle="1" w:styleId="87">
    <w:name w:val="p18"/>
    <w:basedOn w:val="1"/>
    <w:qFormat/>
    <w:uiPriority w:val="0"/>
    <w:pPr>
      <w:widowControl/>
    </w:pPr>
    <w:rPr>
      <w:kern w:val="0"/>
      <w:szCs w:val="21"/>
    </w:rPr>
  </w:style>
  <w:style w:type="paragraph" w:styleId="88">
    <w:name w:val="List Paragraph"/>
    <w:basedOn w:val="1"/>
    <w:qFormat/>
    <w:uiPriority w:val="34"/>
    <w:pPr>
      <w:ind w:firstLine="420" w:firstLineChars="200"/>
    </w:pPr>
    <w:rPr>
      <w:rFonts w:ascii="Calibri" w:hAnsi="Calibri"/>
      <w:szCs w:val="22"/>
    </w:rPr>
  </w:style>
  <w:style w:type="character" w:customStyle="1" w:styleId="89">
    <w:name w:val="正文文本 2 Char"/>
    <w:basedOn w:val="34"/>
    <w:link w:val="27"/>
    <w:qFormat/>
    <w:uiPriority w:val="0"/>
    <w:rPr>
      <w:kern w:val="2"/>
      <w:sz w:val="21"/>
      <w:szCs w:val="24"/>
    </w:rPr>
  </w:style>
  <w:style w:type="character" w:customStyle="1" w:styleId="90">
    <w:name w:val="副标题 Char"/>
    <w:basedOn w:val="34"/>
    <w:link w:val="23"/>
    <w:qFormat/>
    <w:uiPriority w:val="0"/>
    <w:rPr>
      <w:rFonts w:ascii="Cambria" w:hAnsi="Cambria"/>
      <w:b/>
      <w:bCs/>
      <w:kern w:val="28"/>
      <w:sz w:val="32"/>
      <w:szCs w:val="32"/>
    </w:rPr>
  </w:style>
  <w:style w:type="character" w:customStyle="1" w:styleId="91">
    <w:name w:val="Char Char"/>
    <w:basedOn w:val="34"/>
    <w:qFormat/>
    <w:locked/>
    <w:uiPriority w:val="0"/>
    <w:rPr>
      <w:rFonts w:ascii="Cambria" w:hAnsi="Cambria" w:cs="Times New Roman"/>
      <w:b/>
      <w:bCs/>
      <w:kern w:val="28"/>
      <w:sz w:val="32"/>
      <w:szCs w:val="32"/>
    </w:rPr>
  </w:style>
  <w:style w:type="paragraph" w:customStyle="1" w:styleId="92">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3">
    <w:name w:val="副标题 Char1"/>
    <w:basedOn w:val="34"/>
    <w:link w:val="23"/>
    <w:qFormat/>
    <w:uiPriority w:val="0"/>
    <w:rPr>
      <w:rFonts w:ascii="Cambria" w:hAnsi="Cambria" w:cs="Times New Roman"/>
      <w:b/>
      <w:bCs/>
      <w:kern w:val="28"/>
      <w:sz w:val="32"/>
      <w:szCs w:val="32"/>
    </w:rPr>
  </w:style>
  <w:style w:type="paragraph" w:styleId="94">
    <w:name w:val="No Spacing"/>
    <w:link w:val="9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无间隔 Char"/>
    <w:basedOn w:val="34"/>
    <w:link w:val="94"/>
    <w:qFormat/>
    <w:uiPriority w:val="1"/>
    <w:rPr>
      <w:kern w:val="2"/>
      <w:sz w:val="21"/>
      <w:szCs w:val="24"/>
      <w:lang w:val="en-US" w:eastAsia="zh-CN" w:bidi="ar-SA"/>
    </w:rPr>
  </w:style>
  <w:style w:type="paragraph" w:customStyle="1" w:styleId="96">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7">
    <w:name w:val="文档结构图 Char"/>
    <w:basedOn w:val="34"/>
    <w:link w:val="9"/>
    <w:qFormat/>
    <w:uiPriority w:val="0"/>
    <w:rPr>
      <w:rFonts w:ascii="宋体"/>
      <w:kern w:val="2"/>
      <w:sz w:val="18"/>
      <w:szCs w:val="18"/>
    </w:rPr>
  </w:style>
  <w:style w:type="paragraph" w:customStyle="1" w:styleId="98">
    <w:name w:val="样式 标题 1 + 两端对齐 首行缩进:  2 字符"/>
    <w:basedOn w:val="2"/>
    <w:qFormat/>
    <w:uiPriority w:val="0"/>
    <w:pPr>
      <w:spacing w:line="240" w:lineRule="auto"/>
    </w:pPr>
    <w:rPr>
      <w:rFonts w:eastAsia="方正大标宋简体" w:cs="宋体"/>
      <w:szCs w:val="20"/>
    </w:rPr>
  </w:style>
  <w:style w:type="paragraph" w:customStyle="1" w:styleId="99">
    <w:name w:val="样式 标题 1 + 首行缩进:  2 字符"/>
    <w:basedOn w:val="2"/>
    <w:qFormat/>
    <w:uiPriority w:val="0"/>
    <w:pPr>
      <w:spacing w:line="240" w:lineRule="auto"/>
      <w:jc w:val="center"/>
    </w:pPr>
    <w:rPr>
      <w:rFonts w:eastAsia="方正大标宋简体" w:cs="宋体"/>
      <w:szCs w:val="20"/>
    </w:rPr>
  </w:style>
  <w:style w:type="character" w:customStyle="1" w:styleId="100">
    <w:name w:val="脚注文本 Char"/>
    <w:basedOn w:val="34"/>
    <w:link w:val="24"/>
    <w:qFormat/>
    <w:uiPriority w:val="99"/>
    <w:rPr>
      <w:rFonts w:ascii="等线" w:hAnsi="等线" w:eastAsia="等线" w:cs="黑体"/>
      <w:kern w:val="2"/>
      <w:sz w:val="18"/>
      <w:szCs w:val="18"/>
    </w:rPr>
  </w:style>
  <w:style w:type="character" w:customStyle="1" w:styleId="101">
    <w:name w:val="NormalCharacter"/>
    <w:qFormat/>
    <w:uiPriority w:val="0"/>
  </w:style>
  <w:style w:type="paragraph" w:customStyle="1" w:styleId="102">
    <w:name w:val="正文首行缩进 21"/>
    <w:basedOn w:val="1"/>
    <w:next w:val="29"/>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3">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4">
    <w:name w:val="标题 Char"/>
    <w:basedOn w:val="34"/>
    <w:link w:val="30"/>
    <w:qFormat/>
    <w:uiPriority w:val="0"/>
    <w:rPr>
      <w:rFonts w:ascii="Arial" w:hAnsi="Arial"/>
      <w:b/>
      <w:kern w:val="2"/>
      <w:sz w:val="32"/>
      <w:szCs w:val="24"/>
    </w:rPr>
  </w:style>
  <w:style w:type="character" w:customStyle="1" w:styleId="105">
    <w:name w:val="正文文本缩进 Char"/>
    <w:basedOn w:val="34"/>
    <w:link w:val="14"/>
    <w:qFormat/>
    <w:uiPriority w:val="0"/>
    <w:rPr>
      <w:rFonts w:eastAsia="仿宋_GB2312"/>
      <w:kern w:val="2"/>
      <w:sz w:val="32"/>
      <w:szCs w:val="24"/>
    </w:rPr>
  </w:style>
  <w:style w:type="character" w:customStyle="1" w:styleId="106">
    <w:name w:val="正文首行缩进 2 Char"/>
    <w:basedOn w:val="105"/>
    <w:link w:val="31"/>
    <w:qFormat/>
    <w:uiPriority w:val="99"/>
    <w:rPr>
      <w:rFonts w:ascii="Calibri" w:hAnsi="Calibri"/>
      <w:sz w:val="21"/>
    </w:rPr>
  </w:style>
  <w:style w:type="character" w:customStyle="1" w:styleId="107">
    <w:name w:val="HTML 预设格式 Char"/>
    <w:basedOn w:val="34"/>
    <w:link w:val="28"/>
    <w:qFormat/>
    <w:uiPriority w:val="99"/>
    <w:rPr>
      <w:rFonts w:ascii="宋体" w:hAnsi="宋体" w:cs="宋体"/>
      <w:sz w:val="24"/>
      <w:szCs w:val="24"/>
    </w:rPr>
  </w:style>
  <w:style w:type="paragraph" w:customStyle="1" w:styleId="108">
    <w:name w:val="List Paragraph1"/>
    <w:basedOn w:val="1"/>
    <w:qFormat/>
    <w:uiPriority w:val="0"/>
    <w:pPr>
      <w:widowControl/>
      <w:ind w:firstLine="420" w:firstLineChars="200"/>
    </w:pPr>
    <w:rPr>
      <w:rFonts w:ascii="Calibri" w:hAnsi="Calibri" w:cs="Calibri"/>
      <w:szCs w:val="21"/>
    </w:rPr>
  </w:style>
  <w:style w:type="paragraph" w:customStyle="1" w:styleId="109">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10">
    <w:name w:val="纯文本 Char"/>
    <w:basedOn w:val="34"/>
    <w:link w:val="16"/>
    <w:qFormat/>
    <w:locked/>
    <w:uiPriority w:val="99"/>
    <w:rPr>
      <w:rFonts w:ascii="宋体" w:hAnsi="Courier New"/>
      <w:kern w:val="2"/>
      <w:sz w:val="21"/>
      <w:szCs w:val="24"/>
    </w:rPr>
  </w:style>
  <w:style w:type="character" w:customStyle="1" w:styleId="111">
    <w:name w:val="font51"/>
    <w:basedOn w:val="34"/>
    <w:qFormat/>
    <w:uiPriority w:val="0"/>
    <w:rPr>
      <w:rFonts w:hint="eastAsia" w:ascii="仿宋" w:hAnsi="仿宋" w:eastAsia="仿宋" w:cs="仿宋"/>
      <w:color w:val="000000"/>
      <w:sz w:val="32"/>
      <w:szCs w:val="32"/>
      <w:u w:val="none"/>
    </w:rPr>
  </w:style>
  <w:style w:type="character" w:customStyle="1" w:styleId="112">
    <w:name w:val="font41"/>
    <w:basedOn w:val="34"/>
    <w:qFormat/>
    <w:uiPriority w:val="0"/>
    <w:rPr>
      <w:rFonts w:hint="eastAsia" w:ascii="仿宋" w:hAnsi="仿宋" w:eastAsia="仿宋" w:cs="仿宋"/>
      <w:color w:val="0C0C0C"/>
      <w:sz w:val="32"/>
      <w:szCs w:val="32"/>
      <w:u w:val="none"/>
    </w:rPr>
  </w:style>
  <w:style w:type="character" w:customStyle="1" w:styleId="113">
    <w:name w:val="标题 4 Char"/>
    <w:basedOn w:val="34"/>
    <w:link w:val="5"/>
    <w:qFormat/>
    <w:uiPriority w:val="0"/>
    <w:rPr>
      <w:rFonts w:ascii="Cambria" w:hAnsi="Cambria"/>
      <w:b/>
      <w:bCs/>
      <w:kern w:val="2"/>
      <w:sz w:val="28"/>
      <w:szCs w:val="28"/>
    </w:rPr>
  </w:style>
  <w:style w:type="character" w:customStyle="1" w:styleId="114">
    <w:name w:val="font31"/>
    <w:qFormat/>
    <w:uiPriority w:val="0"/>
    <w:rPr>
      <w:rFonts w:hint="eastAsia" w:ascii="黑体" w:hAnsi="宋体" w:eastAsia="黑体" w:cs="黑体"/>
      <w:b/>
      <w:color w:val="000000"/>
      <w:sz w:val="24"/>
      <w:szCs w:val="24"/>
      <w:u w:val="none"/>
    </w:rPr>
  </w:style>
  <w:style w:type="paragraph" w:customStyle="1" w:styleId="115">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6">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7">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8">
    <w:name w:val="标题 5 Char"/>
    <w:basedOn w:val="34"/>
    <w:link w:val="6"/>
    <w:semiHidden/>
    <w:qFormat/>
    <w:uiPriority w:val="0"/>
    <w:rPr>
      <w:b/>
      <w:bCs/>
      <w:kern w:val="2"/>
      <w:sz w:val="28"/>
      <w:szCs w:val="28"/>
    </w:rPr>
  </w:style>
  <w:style w:type="paragraph" w:customStyle="1" w:styleId="119">
    <w:name w:val="TableOfAuthoring"/>
    <w:basedOn w:val="1"/>
    <w:next w:val="1"/>
    <w:qFormat/>
    <w:uiPriority w:val="0"/>
    <w:pPr>
      <w:ind w:left="420" w:leftChars="200"/>
      <w:textAlignment w:val="baseline"/>
    </w:pPr>
  </w:style>
  <w:style w:type="paragraph" w:customStyle="1" w:styleId="120">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1">
    <w:name w:val="Body Text First Indent 21"/>
    <w:basedOn w:val="1"/>
    <w:qFormat/>
    <w:uiPriority w:val="0"/>
    <w:pPr>
      <w:spacing w:after="120"/>
      <w:ind w:left="420" w:leftChars="200" w:firstLine="420" w:firstLineChars="200"/>
    </w:pPr>
  </w:style>
  <w:style w:type="paragraph" w:customStyle="1" w:styleId="122">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3">
    <w:name w:val="BodyText"/>
    <w:basedOn w:val="1"/>
    <w:qFormat/>
    <w:uiPriority w:val="0"/>
    <w:pPr>
      <w:spacing w:after="120"/>
      <w:textAlignment w:val="baseline"/>
    </w:pPr>
    <w:rPr>
      <w:szCs w:val="20"/>
    </w:rPr>
  </w:style>
  <w:style w:type="paragraph" w:customStyle="1" w:styleId="124">
    <w:name w:val="二级标题 Char Char Char"/>
    <w:basedOn w:val="1"/>
    <w:next w:val="1"/>
    <w:qFormat/>
    <w:uiPriority w:val="0"/>
    <w:pPr>
      <w:ind w:firstLine="200" w:firstLineChars="200"/>
    </w:pPr>
    <w:rPr>
      <w:rFonts w:eastAsia="Times New Roman"/>
      <w:kern w:val="0"/>
      <w:sz w:val="20"/>
    </w:rPr>
  </w:style>
  <w:style w:type="paragraph" w:customStyle="1" w:styleId="125">
    <w:name w:val="文本"/>
    <w:basedOn w:val="1"/>
    <w:next w:val="1"/>
    <w:qFormat/>
    <w:uiPriority w:val="0"/>
    <w:pPr>
      <w:spacing w:line="360" w:lineRule="auto"/>
    </w:pPr>
    <w:rPr>
      <w:rFonts w:ascii="宋体"/>
      <w:spacing w:val="4"/>
      <w:sz w:val="24"/>
    </w:rPr>
  </w:style>
  <w:style w:type="paragraph" w:customStyle="1" w:styleId="126">
    <w:name w:val="TOAHeading"/>
    <w:basedOn w:val="1"/>
    <w:next w:val="1"/>
    <w:uiPriority w:val="0"/>
    <w:pPr>
      <w:spacing w:before="120" w:after="100" w:afterAutospacing="1"/>
      <w:textAlignment w:val="baseline"/>
    </w:pPr>
    <w:rPr>
      <w:rFonts w:ascii="Arial" w:hAnsi="Arial" w:cs="Arial"/>
      <w:sz w:val="24"/>
    </w:rPr>
  </w:style>
  <w:style w:type="paragraph" w:customStyle="1" w:styleId="127">
    <w:name w:val="正文文本首行缩进 21"/>
    <w:basedOn w:val="1"/>
    <w:uiPriority w:val="0"/>
    <w:pPr>
      <w:spacing w:before="100" w:beforeAutospacing="1" w:after="100" w:afterAutospacing="1"/>
      <w:ind w:left="200" w:leftChars="200" w:firstLine="420" w:firstLineChars="200"/>
    </w:pPr>
    <w:rPr>
      <w:rFonts w:ascii="Calibri" w:hAnsi="Calibri"/>
      <w:szCs w:val="21"/>
    </w:rPr>
  </w:style>
  <w:style w:type="paragraph" w:customStyle="1" w:styleId="128">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 w:type="paragraph" w:customStyle="1" w:styleId="129">
    <w:name w:val="UserStyle_0"/>
    <w:basedOn w:val="1"/>
    <w:next w:val="130"/>
    <w:uiPriority w:val="0"/>
    <w:pPr>
      <w:widowControl/>
      <w:spacing w:before="100" w:beforeAutospacing="1" w:after="100" w:afterAutospacing="1"/>
      <w:ind w:left="200" w:leftChars="200" w:firstLine="200" w:firstLineChars="200"/>
      <w:jc w:val="left"/>
      <w:textAlignment w:val="baseline"/>
    </w:pPr>
    <w:rPr>
      <w:rFonts w:ascii="Calibri" w:hAnsi="Calibri" w:eastAsia="仿宋_GB2312"/>
      <w:kern w:val="0"/>
      <w:sz w:val="24"/>
    </w:rPr>
  </w:style>
  <w:style w:type="paragraph" w:customStyle="1" w:styleId="130">
    <w:name w:val="HtmlNormal"/>
    <w:basedOn w:val="1"/>
    <w:next w:val="1"/>
    <w:uiPriority w:val="0"/>
    <w:pPr>
      <w:spacing w:before="100" w:beforeAutospacing="1" w:after="100" w:afterAutospacing="1"/>
      <w:jc w:val="left"/>
      <w:textAlignment w:val="baseline"/>
    </w:pPr>
    <w:rPr>
      <w:rFonts w:ascii="Calibri" w:hAnsi="Calibri"/>
      <w:kern w:val="0"/>
      <w:sz w:val="24"/>
    </w:rPr>
  </w:style>
  <w:style w:type="paragraph" w:customStyle="1" w:styleId="131">
    <w:name w:val="Heading #2|1"/>
    <w:basedOn w:val="1"/>
    <w:qFormat/>
    <w:uiPriority w:val="0"/>
    <w:pPr>
      <w:spacing w:after="280" w:line="661" w:lineRule="exact"/>
      <w:jc w:val="center"/>
      <w:outlineLvl w:val="1"/>
    </w:pPr>
    <w:rPr>
      <w:rFonts w:ascii="宋体" w:hAnsi="宋体" w:cs="宋体"/>
      <w:sz w:val="40"/>
      <w:szCs w:val="40"/>
      <w:lang w:val="zh-TW" w:eastAsia="zh-TW" w:bidi="zh-TW"/>
    </w:rPr>
  </w:style>
  <w:style w:type="paragraph" w:customStyle="1" w:styleId="132">
    <w:name w:val="Body text|1"/>
    <w:basedOn w:val="1"/>
    <w:qFormat/>
    <w:uiPriority w:val="0"/>
    <w:pPr>
      <w:spacing w:line="425" w:lineRule="auto"/>
      <w:ind w:firstLine="400"/>
    </w:pPr>
    <w:rPr>
      <w:rFonts w:ascii="宋体" w:hAnsi="宋体" w:cs="宋体"/>
      <w:sz w:val="28"/>
      <w:szCs w:val="28"/>
      <w:lang w:val="zh-TW" w:eastAsia="zh-TW" w:bidi="zh-TW"/>
    </w:rPr>
  </w:style>
  <w:style w:type="paragraph" w:customStyle="1" w:styleId="133">
    <w:name w:val="普通(网站) Char"/>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5">
    <w:name w:val="Normal (Web)1"/>
    <w:basedOn w:val="1"/>
    <w:next w:val="1"/>
    <w:uiPriority w:val="0"/>
    <w:pPr>
      <w:jc w:val="left"/>
    </w:pPr>
    <w:rPr>
      <w:rFonts w:ascii="宋体" w:hAnsi="宋体" w:cs="宋体"/>
      <w:kern w:val="0"/>
      <w:sz w:val="24"/>
    </w:rPr>
  </w:style>
  <w:style w:type="paragraph" w:customStyle="1" w:styleId="136">
    <w:name w:val="font4"/>
    <w:basedOn w:val="1"/>
    <w:uiPriority w:val="0"/>
    <w:pPr>
      <w:widowControl/>
      <w:spacing w:before="100" w:beforeAutospacing="1" w:after="100" w:afterAutospacing="1"/>
      <w:jc w:val="left"/>
    </w:pPr>
    <w:rPr>
      <w:rFonts w:ascii="FangSong" w:hAnsi="FangSong" w:cs="宋体"/>
      <w:color w:val="000000"/>
      <w:kern w:val="0"/>
      <w:sz w:val="24"/>
    </w:rPr>
  </w:style>
  <w:style w:type="paragraph" w:customStyle="1" w:styleId="137">
    <w:name w:val="et4"/>
    <w:basedOn w:val="1"/>
    <w:uiPriority w:val="0"/>
    <w:pPr>
      <w:widowControl/>
      <w:spacing w:before="100" w:beforeAutospacing="1" w:after="100" w:afterAutospacing="1"/>
      <w:jc w:val="left"/>
      <w:textAlignment w:val="bottom"/>
    </w:pPr>
    <w:rPr>
      <w:rFonts w:ascii="黑体" w:hAnsi="黑体" w:eastAsia="黑体" w:cs="宋体"/>
      <w:color w:val="000000"/>
      <w:kern w:val="0"/>
      <w:sz w:val="22"/>
      <w:szCs w:val="22"/>
    </w:rPr>
  </w:style>
  <w:style w:type="paragraph" w:customStyle="1" w:styleId="138">
    <w:name w:val="et5"/>
    <w:basedOn w:val="1"/>
    <w:uiPriority w:val="0"/>
    <w:pPr>
      <w:widowControl/>
      <w:spacing w:before="100" w:beforeAutospacing="1" w:after="100" w:afterAutospacing="1"/>
      <w:jc w:val="left"/>
      <w:textAlignment w:val="bottom"/>
    </w:pPr>
    <w:rPr>
      <w:rFonts w:ascii="黑体" w:hAnsi="黑体" w:eastAsia="黑体" w:cs="宋体"/>
      <w:color w:val="000000"/>
      <w:kern w:val="0"/>
      <w:sz w:val="22"/>
      <w:szCs w:val="22"/>
    </w:rPr>
  </w:style>
  <w:style w:type="paragraph" w:customStyle="1" w:styleId="139">
    <w:name w:val="et6"/>
    <w:basedOn w:val="1"/>
    <w:uiPriority w:val="0"/>
    <w:pPr>
      <w:widowControl/>
      <w:spacing w:before="100" w:beforeAutospacing="1" w:after="100" w:afterAutospacing="1"/>
      <w:jc w:val="left"/>
      <w:textAlignment w:val="bottom"/>
    </w:pPr>
    <w:rPr>
      <w:rFonts w:ascii="黑体" w:hAnsi="黑体" w:eastAsia="黑体" w:cs="宋体"/>
      <w:color w:val="000000"/>
      <w:kern w:val="0"/>
      <w:sz w:val="22"/>
      <w:szCs w:val="22"/>
    </w:rPr>
  </w:style>
  <w:style w:type="paragraph" w:customStyle="1" w:styleId="140">
    <w:name w:val="et7"/>
    <w:basedOn w:val="1"/>
    <w:uiPriority w:val="0"/>
    <w:pPr>
      <w:widowControl/>
      <w:spacing w:before="100" w:beforeAutospacing="1" w:after="100" w:afterAutospacing="1"/>
      <w:jc w:val="left"/>
      <w:textAlignment w:val="bottom"/>
    </w:pPr>
    <w:rPr>
      <w:rFonts w:ascii="黑体" w:hAnsi="黑体" w:eastAsia="黑体" w:cs="宋体"/>
      <w:color w:val="000000"/>
      <w:kern w:val="0"/>
      <w:sz w:val="22"/>
      <w:szCs w:val="22"/>
    </w:rPr>
  </w:style>
  <w:style w:type="paragraph" w:customStyle="1" w:styleId="141">
    <w:name w:val="et8"/>
    <w:basedOn w:val="1"/>
    <w:uiPriority w:val="0"/>
    <w:pPr>
      <w:widowControl/>
      <w:spacing w:before="100" w:beforeAutospacing="1" w:after="100" w:afterAutospacing="1"/>
      <w:jc w:val="left"/>
      <w:textAlignment w:val="bottom"/>
    </w:pPr>
    <w:rPr>
      <w:rFonts w:ascii="黑体" w:hAnsi="黑体" w:eastAsia="黑体" w:cs="宋体"/>
      <w:color w:val="000000"/>
      <w:kern w:val="0"/>
      <w:sz w:val="22"/>
      <w:szCs w:val="22"/>
    </w:rPr>
  </w:style>
  <w:style w:type="paragraph" w:customStyle="1" w:styleId="142">
    <w:name w:val="et9"/>
    <w:basedOn w:val="1"/>
    <w:uiPriority w:val="0"/>
    <w:pPr>
      <w:widowControl/>
      <w:spacing w:before="100" w:beforeAutospacing="1" w:after="100" w:afterAutospacing="1"/>
      <w:jc w:val="left"/>
      <w:textAlignment w:val="bottom"/>
    </w:pPr>
    <w:rPr>
      <w:rFonts w:ascii="黑体" w:hAnsi="黑体" w:eastAsia="黑体" w:cs="宋体"/>
      <w:color w:val="000000"/>
      <w:kern w:val="0"/>
      <w:sz w:val="22"/>
      <w:szCs w:val="22"/>
    </w:rPr>
  </w:style>
  <w:style w:type="paragraph" w:customStyle="1" w:styleId="143">
    <w:name w:val="et10"/>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44">
    <w:name w:val="et11"/>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45">
    <w:name w:val="et12"/>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46">
    <w:name w:val="et13"/>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47">
    <w:name w:val="et14"/>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48">
    <w:name w:val="et15"/>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49">
    <w:name w:val="et16"/>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50">
    <w:name w:val="et17"/>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51">
    <w:name w:val="et18"/>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52">
    <w:name w:val="et19"/>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53">
    <w:name w:val="et20"/>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54">
    <w:name w:val="et21"/>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55">
    <w:name w:val="et22"/>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56">
    <w:name w:val="et23"/>
    <w:basedOn w:val="1"/>
    <w:uiPriority w:val="0"/>
    <w:pPr>
      <w:widowControl/>
      <w:spacing w:before="100" w:beforeAutospacing="1" w:after="100" w:afterAutospacing="1"/>
      <w:jc w:val="left"/>
      <w:textAlignment w:val="bottom"/>
    </w:pPr>
    <w:rPr>
      <w:rFonts w:ascii="仿宋_GB2312" w:hAnsi="宋体" w:eastAsia="仿宋_GB2312" w:cs="宋体"/>
      <w:color w:val="000000"/>
      <w:kern w:val="0"/>
      <w:sz w:val="22"/>
      <w:szCs w:val="22"/>
    </w:rPr>
  </w:style>
  <w:style w:type="paragraph" w:customStyle="1" w:styleId="157">
    <w:name w:val="et24"/>
    <w:basedOn w:val="1"/>
    <w:qFormat/>
    <w:uiPriority w:val="0"/>
    <w:pPr>
      <w:widowControl/>
      <w:spacing w:before="100" w:beforeAutospacing="1" w:after="100" w:afterAutospacing="1"/>
      <w:jc w:val="left"/>
      <w:textAlignment w:val="bottom"/>
    </w:pPr>
    <w:rPr>
      <w:rFonts w:ascii="黑体" w:hAnsi="黑体" w:eastAsia="黑体" w:cs="宋体"/>
      <w:color w:val="000000"/>
      <w:kern w:val="0"/>
      <w:sz w:val="22"/>
      <w:szCs w:val="22"/>
    </w:rPr>
  </w:style>
  <w:style w:type="paragraph" w:customStyle="1" w:styleId="158">
    <w:name w:val="Body Text Indent 21"/>
    <w:basedOn w:val="1"/>
    <w:qFormat/>
    <w:uiPriority w:val="0"/>
    <w:pPr>
      <w:spacing w:before="100" w:beforeAutospacing="1" w:line="480" w:lineRule="auto"/>
      <w:ind w:left="200" w:leftChars="20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7"/>
    <customShpInfo spid="_x0000_s1788"/>
    <customShpInfo spid="_x0000_s1789"/>
    <customShpInfo spid="_x0000_s1790"/>
    <customShpInfo spid="_x0000_s1791"/>
    <customShpInfo spid="_x0000_s1786"/>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4"/>
    <customShpInfo spid="_x0000_s1805"/>
    <customShpInfo spid="_x0000_s1806"/>
    <customShpInfo spid="_x0000_s1807"/>
    <customShpInfo spid="_x0000_s1808"/>
    <customShpInfo spid="_x0000_s1803"/>
    <customShpInfo spid="_x0000_s1809"/>
    <customShpInfo spid="_x0000_s1810"/>
    <customShpInfo spid="_x0000_s1802"/>
    <customShpInfo spid="_x0000_s1812"/>
    <customShpInfo spid="_x0000_s1813"/>
    <customShpInfo spid="_x0000_s1814"/>
    <customShpInfo spid="_x0000_s1815"/>
    <customShpInfo spid="_x0000_s1816"/>
    <customShpInfo spid="_x0000_s1817"/>
    <customShpInfo spid="_x0000_s1818"/>
    <customShpInfo spid="_x0000_s1819"/>
    <customShpInfo spid="_x0000_s1811"/>
    <customShpInfo spid="_x0000_s1801"/>
    <customShpInfo spid="_x0000_s1768"/>
    <customShpInfo spid="_x0000_s1766"/>
    <customShpInfo spid="_x0000_s1764"/>
    <customShpInfo spid="_x0000_s1765"/>
  </customShpExts>
</s:customData>
</file>

<file path=customXml/item2.xml><b:Sources xmlns:b="http://schemas.openxmlformats.org/officeDocument/2006/bibliography" StyleName="" xmlns:b="http://schemas.openxmlformats.org/officeDocument/2006/bibliography" SelectedStyl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BD8A5-247E-4CB0-8DF5-CF557588A6D7}">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20</Pages>
  <Words>1182</Words>
  <Characters>6742</Characters>
  <Lines>56</Lines>
  <Paragraphs>15</Paragraphs>
  <TotalTime>0</TotalTime>
  <ScaleCrop>false</ScaleCrop>
  <LinksUpToDate>false</LinksUpToDate>
  <CharactersWithSpaces>7909</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2024-03-01T16:17:00Z</dcterms:created>
  <dc:creator>Administrator</dc:creator>
  <cp:lastModifiedBy>kylin1</cp:lastModifiedBy>
  <cp:lastPrinted>2024-03-01T17:31:00Z</cp:lastPrinted>
  <dcterms:modified xsi:type="dcterms:W3CDTF">2024-05-06T09:13:34Z</dcterms:modified>
  <dc:title>忻州市人民政府办公厅</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D1B036BC1D3C0F86BE2E3866E44D90CA</vt:lpwstr>
  </property>
</Properties>
</file>