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6"/>
        <w:pBdr/>
        <w:spacing w:line="560" w:lineRule="exact"/>
        <w:ind/>
        <w:jc w:val="center"/>
        <w:rPr>
          <w:rFonts w:hint="eastAsia" w:eastAsia="方正大标宋简体"/>
          <w:sz w:val="44"/>
        </w:rPr>
      </w:pPr>
      <w:r>
        <w:rPr>
          <w:rFonts w:hint="eastAsia" w:eastAsia="方正大标宋简体"/>
          <w:sz w:val="44"/>
        </w:rPr>
      </w:r>
      <w:r>
        <w:rPr>
          <w:rFonts w:hint="eastAsia" w:eastAsia="方正大标宋简体"/>
          <w:sz w:val="44"/>
        </w:rPr>
      </w:r>
    </w:p>
    <w:p>
      <w:pPr>
        <w:pStyle w:val="666"/>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600" w:lineRule="exact"/>
        <w:ind/>
        <w:jc w:val="center"/>
        <w:rPr>
          <w:rFonts w:eastAsia="方正大标宋简体"/>
          <w:sz w:val="44"/>
        </w:rPr>
      </w:pPr>
      <w:r>
        <w:rPr>
          <w:rFonts w:eastAsia="方正大标宋简体"/>
          <w:sz w:val="44"/>
        </w:rPr>
      </w:r>
      <w:r>
        <w:rPr>
          <w:rFonts w:eastAsia="方正大标宋简体"/>
          <w:sz w:val="44"/>
        </w:rPr>
      </w:r>
    </w:p>
    <w:p>
      <w:pPr>
        <w:pStyle w:val="666"/>
        <w:pBdr/>
        <w:spacing w:line="560" w:lineRule="exact"/>
        <w:ind/>
        <w:jc w:val="center"/>
        <w:rPr>
          <w:rFonts w:eastAsia="楷体_GB2312"/>
        </w:rPr>
      </w:pPr>
      <w:r>
        <w:t xml:space="preserve">忻政发〔202</w:t>
      </w:r>
      <w:r>
        <w:rPr>
          <w:rFonts w:hint="eastAsia"/>
        </w:rPr>
        <w:t xml:space="preserve">3</w:t>
      </w:r>
      <w:r>
        <w:t xml:space="preserve">〕</w:t>
      </w:r>
      <w:r>
        <w:rPr>
          <w:rFonts w:hint="eastAsia"/>
        </w:rPr>
        <w:t xml:space="preserve">7</w:t>
      </w:r>
      <w:r>
        <w:t xml:space="preserve">号</w:t>
      </w:r>
      <w:r>
        <w:rPr>
          <w:rFonts w:eastAsia="楷体_GB2312"/>
        </w:rPr>
      </w:r>
      <w:r>
        <w:rPr>
          <w:rFonts w:eastAsia="楷体_GB2312"/>
        </w:rPr>
      </w:r>
    </w:p>
    <w:p>
      <w:pPr>
        <w:pStyle w:val="666"/>
        <w:pBdr/>
        <w:spacing w:line="560" w:lineRule="exact"/>
        <w:ind w:firstLine="880"/>
        <w:jc w:val="center"/>
        <w:rPr>
          <w:rFonts w:eastAsia="方正大标宋简体"/>
          <w:sz w:val="44"/>
        </w:rPr>
      </w:pPr>
      <w:r>
        <w:rPr>
          <w:rFonts w:eastAsia="方正大标宋简体"/>
          <w:sz w:val="44"/>
        </w:rPr>
      </w:r>
      <w:r>
        <w:rPr>
          <w:rFonts w:eastAsia="方正大标宋简体"/>
          <w:sz w:val="44"/>
        </w:rPr>
      </w:r>
    </w:p>
    <w:p>
      <w:pPr>
        <w:pStyle w:val="666"/>
        <w:pBdr/>
        <w:spacing w:line="360" w:lineRule="exact"/>
        <w:ind w:firstLine="880"/>
        <w:jc w:val="center"/>
        <w:rPr>
          <w:rFonts w:eastAsia="方正大标宋简体"/>
          <w:sz w:val="44"/>
        </w:rPr>
      </w:pPr>
      <w:r>
        <w:rPr>
          <w:rFonts w:eastAsia="方正大标宋简体"/>
          <w:sz w:val="44"/>
        </w:rPr>
      </w:r>
      <w:r>
        <w:rPr>
          <w:rFonts w:eastAsia="方正大标宋简体"/>
          <w:sz w:val="44"/>
        </w:rPr>
      </w:r>
    </w:p>
    <w:p>
      <w:pPr>
        <w:pStyle w:val="666"/>
        <w:pBdr/>
        <w:spacing w:line="600" w:lineRule="exact"/>
        <w:ind/>
        <w:jc w:val="center"/>
        <w:rPr>
          <w:rFonts w:eastAsia="方正大标宋简体"/>
          <w:sz w:val="44"/>
          <w:szCs w:val="44"/>
        </w:rPr>
      </w:pPr>
      <w:r>
        <w:rPr>
          <w:rFonts w:eastAsia="方正大标宋简体"/>
          <w:sz w:val="44"/>
          <w:szCs w:val="44"/>
        </w:rPr>
        <w:t xml:space="preserve">忻州市人民政府</w:t>
      </w:r>
      <w:r>
        <w:rPr>
          <w:rFonts w:eastAsia="方正大标宋简体"/>
          <w:sz w:val="44"/>
          <w:szCs w:val="44"/>
        </w:rPr>
      </w:r>
    </w:p>
    <w:p>
      <w:pPr>
        <w:pStyle w:val="666"/>
        <w:pBdr/>
        <w:spacing w:line="600" w:lineRule="exact"/>
        <w:ind/>
        <w:jc w:val="center"/>
        <w:rPr>
          <w:rFonts w:hint="eastAsia" w:eastAsia="方正大标宋简体"/>
          <w:sz w:val="44"/>
          <w:szCs w:val="44"/>
        </w:rPr>
      </w:pPr>
      <w:r>
        <w:rPr>
          <w:rFonts w:hint="eastAsia" w:eastAsia="方正大标宋简体"/>
          <w:sz w:val="44"/>
          <w:szCs w:val="44"/>
        </w:rPr>
        <w:t xml:space="preserve">关于贯彻落实计量发展规划</w:t>
      </w:r>
      <w:r>
        <w:rPr>
          <w:rFonts w:hint="eastAsia" w:eastAsia="方正大标宋简体"/>
          <w:sz w:val="44"/>
          <w:szCs w:val="44"/>
        </w:rPr>
      </w:r>
    </w:p>
    <w:p>
      <w:pPr>
        <w:pStyle w:val="666"/>
        <w:pBdr/>
        <w:spacing w:line="600" w:lineRule="exact"/>
        <w:ind/>
        <w:jc w:val="center"/>
        <w:rPr>
          <w:rFonts w:hint="eastAsia" w:eastAsia="方正大标宋简体"/>
          <w:sz w:val="44"/>
          <w:szCs w:val="44"/>
        </w:rPr>
      </w:pPr>
      <w:r>
        <w:rPr>
          <w:rFonts w:hint="eastAsia" w:eastAsia="方正大标宋简体"/>
          <w:sz w:val="44"/>
          <w:szCs w:val="44"/>
        </w:rPr>
        <w:t xml:space="preserve">（2021—2035年）的实施意见</w:t>
      </w:r>
      <w:r>
        <w:rPr>
          <w:rFonts w:hint="eastAsia" w:eastAsia="方正大标宋简体"/>
          <w:sz w:val="44"/>
          <w:szCs w:val="44"/>
        </w:rPr>
      </w:r>
    </w:p>
    <w:p>
      <w:pPr>
        <w:pStyle w:val="666"/>
        <w:pBdr/>
        <w:spacing w:line="500" w:lineRule="exact"/>
        <w:ind/>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r>
      <w:r>
        <w:rPr>
          <w:rFonts w:hint="eastAsia" w:ascii="方正小标宋简体" w:hAnsi="方正小标宋简体" w:eastAsia="方正小标宋简体" w:cs="方正小标宋简体"/>
          <w:sz w:val="44"/>
          <w:szCs w:val="44"/>
        </w:rPr>
      </w:r>
    </w:p>
    <w:p>
      <w:pPr>
        <w:pStyle w:val="666"/>
        <w:pBdr/>
        <w:spacing w:line="560" w:lineRule="exact"/>
        <w:ind/>
        <w:rPr>
          <w:szCs w:val="32"/>
        </w:rPr>
      </w:pPr>
      <w:r>
        <w:rPr>
          <w:rFonts w:hAnsi="仿宋_GB2312"/>
          <w:szCs w:val="32"/>
        </w:rPr>
        <w:t xml:space="preserve">各县（市、区）人民政府</w:t>
      </w:r>
      <w:r>
        <w:rPr>
          <w:rFonts w:hint="eastAsia"/>
          <w:szCs w:val="32"/>
        </w:rPr>
        <w:t xml:space="preserve">，</w:t>
      </w:r>
      <w:r>
        <w:rPr>
          <w:rFonts w:hAnsi="仿宋_GB2312"/>
          <w:szCs w:val="32"/>
        </w:rPr>
        <w:t xml:space="preserve">忻州经济开发区管委会，五台山风景名胜区管委会，市人民政府各委、办、局：</w:t>
      </w:r>
      <w:r>
        <w:rPr>
          <w:szCs w:val="32"/>
        </w:rPr>
      </w:r>
      <w:r>
        <w:rPr>
          <w:szCs w:val="32"/>
        </w:rPr>
      </w:r>
    </w:p>
    <w:p>
      <w:pPr>
        <w:pStyle w:val="666"/>
        <w:pBdr/>
        <w:spacing w:line="560" w:lineRule="exact"/>
        <w:ind w:firstLine="640"/>
        <w:rPr>
          <w:szCs w:val="32"/>
        </w:rPr>
      </w:pPr>
      <w:r>
        <w:rPr>
          <w:rFonts w:hAnsi="仿宋_GB2312"/>
          <w:szCs w:val="32"/>
        </w:rPr>
        <w:t xml:space="preserve">为贯彻落实《山西省人民政府关于贯彻落实计量发展规划（</w:t>
      </w:r>
      <w:r>
        <w:rPr>
          <w:szCs w:val="32"/>
        </w:rPr>
        <w:t xml:space="preserve">2021—2035</w:t>
      </w:r>
      <w:r>
        <w:rPr>
          <w:rFonts w:hAnsi="仿宋_GB2312"/>
          <w:szCs w:val="32"/>
        </w:rPr>
        <w:t xml:space="preserve">年）的实施意见》（晋政发〔</w:t>
      </w:r>
      <w:r>
        <w:rPr>
          <w:szCs w:val="32"/>
        </w:rPr>
        <w:t xml:space="preserve">2022</w:t>
      </w:r>
      <w:r>
        <w:rPr>
          <w:rFonts w:hAnsi="仿宋_GB2312"/>
          <w:szCs w:val="32"/>
        </w:rPr>
        <w:t xml:space="preserve">〕</w:t>
      </w:r>
      <w:r>
        <w:rPr>
          <w:szCs w:val="32"/>
        </w:rPr>
        <w:t xml:space="preserve">19</w:t>
      </w:r>
      <w:r>
        <w:rPr>
          <w:rFonts w:hAnsi="仿宋_GB2312"/>
          <w:szCs w:val="32"/>
        </w:rPr>
        <w:t xml:space="preserve">号），充分发挥计量工作在促进全市经济社会和各项事业健康快速发展作用，有效促进我市全方位推动高质量发展，提出如下实施意见（以下简称</w:t>
      </w:r>
      <w:r>
        <w:rPr>
          <w:rFonts w:hint="eastAsia" w:hAnsi="仿宋_GB2312"/>
          <w:szCs w:val="32"/>
        </w:rPr>
        <w:t xml:space="preserve">《</w:t>
      </w:r>
      <w:r>
        <w:rPr>
          <w:rFonts w:hAnsi="仿宋_GB2312"/>
          <w:szCs w:val="32"/>
        </w:rPr>
        <w:t xml:space="preserve">意见</w:t>
      </w:r>
      <w:r>
        <w:rPr>
          <w:rFonts w:hint="eastAsia" w:hAnsi="仿宋_GB2312"/>
          <w:szCs w:val="32"/>
        </w:rPr>
        <w:t xml:space="preserve">》</w:t>
      </w:r>
      <w:r>
        <w:rPr>
          <w:rFonts w:hAnsi="仿宋_GB2312"/>
          <w:szCs w:val="32"/>
        </w:rPr>
        <w:t xml:space="preserve">）：</w:t>
      </w:r>
      <w:r>
        <w:rPr>
          <w:szCs w:val="32"/>
        </w:rPr>
      </w:r>
      <w:r>
        <w:rPr>
          <w:szCs w:val="32"/>
        </w:rPr>
      </w:r>
    </w:p>
    <w:p>
      <w:pPr>
        <w:pStyle w:val="666"/>
        <w:pBdr/>
        <w:spacing w:line="560" w:lineRule="exact"/>
        <w:ind w:firstLine="640"/>
        <w:rPr>
          <w:rFonts w:eastAsia="黑体"/>
          <w:color w:val="000000"/>
          <w:szCs w:val="32"/>
        </w:rPr>
      </w:pPr>
      <w:r>
        <w:rPr>
          <w:rFonts w:hint="eastAsia" w:hAnsi="黑体" w:eastAsia="黑体"/>
          <w:color w:val="000000"/>
          <w:szCs w:val="32"/>
        </w:rPr>
        <w:t xml:space="preserve">一、</w:t>
      </w:r>
      <w:r>
        <w:rPr>
          <w:rFonts w:hAnsi="黑体" w:eastAsia="黑体"/>
          <w:color w:val="000000"/>
          <w:szCs w:val="32"/>
        </w:rPr>
        <w:t xml:space="preserve">总体要求</w:t>
      </w:r>
      <w:r>
        <w:rPr>
          <w:rFonts w:eastAsia="黑体"/>
          <w:color w:val="000000"/>
          <w:szCs w:val="32"/>
        </w:rPr>
      </w:r>
      <w:r>
        <w:rPr>
          <w:rFonts w:eastAsia="黑体"/>
          <w:color w:val="000000"/>
          <w:szCs w:val="32"/>
        </w:rPr>
      </w:r>
    </w:p>
    <w:p>
      <w:pPr>
        <w:pStyle w:val="666"/>
        <w:pBdr/>
        <w:spacing w:line="560" w:lineRule="exact"/>
        <w:ind w:firstLine="640"/>
        <w:rPr>
          <w:rFonts w:eastAsia="楷体_GB2312"/>
          <w:szCs w:val="32"/>
        </w:rPr>
      </w:pPr>
      <w:r>
        <w:rPr>
          <w:rFonts w:hint="eastAsia" w:hAnsi="楷体_GB2312" w:eastAsia="楷体_GB2312"/>
          <w:szCs w:val="32"/>
        </w:rPr>
        <w:t xml:space="preserve">（一）</w:t>
      </w:r>
      <w:r>
        <w:rPr>
          <w:rFonts w:hAnsi="楷体_GB2312" w:eastAsia="楷体_GB2312"/>
          <w:szCs w:val="32"/>
        </w:rPr>
        <w:t xml:space="preserve">指导思想</w:t>
      </w:r>
      <w:r>
        <w:rPr>
          <w:rFonts w:eastAsia="楷体_GB2312"/>
          <w:szCs w:val="32"/>
        </w:rPr>
      </w:r>
      <w:r>
        <w:rPr>
          <w:rFonts w:eastAsia="楷体_GB2312"/>
          <w:szCs w:val="32"/>
        </w:rPr>
      </w:r>
    </w:p>
    <w:p>
      <w:pPr>
        <w:pStyle w:val="666"/>
        <w:pBdr/>
        <w:spacing w:line="560" w:lineRule="exact"/>
        <w:ind w:firstLine="640"/>
        <w:rPr>
          <w:rFonts w:hint="eastAsia" w:hAnsi="仿宋_GB2312"/>
          <w:szCs w:val="32"/>
        </w:rPr>
      </w:pPr>
      <w:r>
        <w:rPr>
          <w:rFonts w:hAnsi="仿宋_GB2312"/>
          <w:szCs w:val="32"/>
        </w:rPr>
        <w:t xml:space="preserve">以习近平新时代中国特色社会主义思想为指导，</w:t>
      </w:r>
      <w:r>
        <w:rPr>
          <w:rFonts w:hint="eastAsia" w:hAnsi="仿宋_GB2312"/>
          <w:szCs w:val="32"/>
        </w:rPr>
        <w:t xml:space="preserve">全面贯彻落实党的二十大精神，以推动高质量发展为主题，坚持问题导向、需求牵引、政府统筹、市场驱动、协同融合，主动服务和融入新发展格局，充分调动各方资源和力量，加快构建现代先进测量体系，为科技创新、产业发展、城市建设、民生保障提供强有力的计量基础支撑和保障，</w:t>
      </w:r>
      <w:r>
        <w:rPr>
          <w:rFonts w:hAnsi="仿宋_GB2312"/>
          <w:szCs w:val="32"/>
        </w:rPr>
        <w:t xml:space="preserve">为</w:t>
      </w:r>
      <w:r>
        <w:rPr>
          <w:rFonts w:hint="eastAsia" w:hAnsi="仿宋_GB2312"/>
          <w:szCs w:val="32"/>
        </w:rPr>
        <w:t xml:space="preserve">推动中国式现代化“忻州实践”贡献计量力量。</w:t>
      </w:r>
      <w:r>
        <w:rPr>
          <w:rFonts w:hint="eastAsia" w:hAnsi="仿宋_GB2312"/>
          <w:szCs w:val="32"/>
        </w:rPr>
      </w:r>
    </w:p>
    <w:p>
      <w:pPr>
        <w:pStyle w:val="666"/>
        <w:pBdr/>
        <w:spacing w:line="560" w:lineRule="exact"/>
        <w:ind w:firstLine="640"/>
        <w:rPr>
          <w:rFonts w:eastAsia="楷体_GB2312"/>
          <w:szCs w:val="32"/>
        </w:rPr>
      </w:pPr>
      <w:r>
        <w:rPr>
          <w:rFonts w:hAnsi="楷体_GB2312" w:eastAsia="楷体_GB2312"/>
          <w:szCs w:val="32"/>
        </w:rPr>
        <w:t xml:space="preserve">（二）发展目标</w:t>
      </w:r>
      <w:r>
        <w:rPr>
          <w:rFonts w:eastAsia="楷体_GB2312"/>
          <w:szCs w:val="32"/>
        </w:rPr>
      </w:r>
      <w:r>
        <w:rPr>
          <w:rFonts w:eastAsia="楷体_GB2312"/>
          <w:szCs w:val="32"/>
        </w:rPr>
      </w:r>
    </w:p>
    <w:p>
      <w:pPr>
        <w:pStyle w:val="666"/>
        <w:pBdr/>
        <w:spacing w:line="560" w:lineRule="exact"/>
        <w:ind w:firstLine="640"/>
        <w:rPr>
          <w:szCs w:val="32"/>
        </w:rPr>
      </w:pPr>
      <w:r>
        <w:rPr>
          <w:rFonts w:hAnsi="仿宋_GB2312"/>
          <w:szCs w:val="32"/>
        </w:rPr>
        <w:t xml:space="preserve">随着经济社会发展计量保障能力显著提升，到</w:t>
      </w:r>
      <w:r>
        <w:rPr>
          <w:szCs w:val="32"/>
        </w:rPr>
        <w:t xml:space="preserve">2025</w:t>
      </w:r>
      <w:r>
        <w:rPr>
          <w:rFonts w:hAnsi="仿宋_GB2312"/>
          <w:szCs w:val="32"/>
        </w:rPr>
        <w:t xml:space="preserve">年，全市计量标准、标准物质和量传溯源体系覆盖率达到</w:t>
      </w:r>
      <w:r>
        <w:rPr>
          <w:szCs w:val="32"/>
        </w:rPr>
        <w:t xml:space="preserve">90%</w:t>
      </w:r>
      <w:r>
        <w:rPr>
          <w:rFonts w:hAnsi="仿宋_GB2312"/>
          <w:szCs w:val="32"/>
        </w:rPr>
        <w:t xml:space="preserve">以上</w:t>
      </w:r>
      <w:r>
        <w:rPr>
          <w:rFonts w:hint="eastAsia"/>
          <w:szCs w:val="32"/>
        </w:rPr>
        <w:t xml:space="preserve">，</w:t>
      </w:r>
      <w:r>
        <w:rPr>
          <w:rFonts w:hAnsi="仿宋_GB2312"/>
          <w:szCs w:val="32"/>
        </w:rPr>
        <w:t xml:space="preserve">建立全市最高计量标准</w:t>
      </w:r>
      <w:r>
        <w:rPr>
          <w:szCs w:val="32"/>
        </w:rPr>
        <w:t xml:space="preserve">85</w:t>
      </w:r>
      <w:r>
        <w:rPr>
          <w:rFonts w:hAnsi="仿宋_GB2312"/>
          <w:szCs w:val="32"/>
        </w:rPr>
        <w:t xml:space="preserve">项以上，计量科技创新力、影响力进一步提高，部分领域达全省领先水平。计量在经济社会各领域的地位和作用日益显著，计量工作体制机制进一步完善。</w:t>
      </w:r>
      <w:r>
        <w:rPr>
          <w:szCs w:val="32"/>
        </w:rPr>
      </w:r>
      <w:r>
        <w:rPr>
          <w:szCs w:val="32"/>
        </w:rPr>
      </w:r>
    </w:p>
    <w:p>
      <w:pPr>
        <w:pStyle w:val="666"/>
        <w:pBdr/>
        <w:spacing w:line="560" w:lineRule="exact"/>
        <w:ind w:firstLine="640"/>
        <w:rPr>
          <w:color w:val="000000"/>
          <w:szCs w:val="32"/>
        </w:rPr>
      </w:pPr>
      <w:r>
        <w:rPr>
          <w:rFonts w:hAnsi="仿宋_GB2312"/>
          <w:color w:val="000000"/>
          <w:szCs w:val="32"/>
        </w:rPr>
        <w:t xml:space="preserve">计量基础技术水平有效提升。计量基础设施明显改善，标准器装备水平明显提升，检测能力明显增强，构建起分工明确、服务优质、行为公正、廉洁高效的适应市场经济发展需要的计量技术机构公共服务平台，建立健全能源资源计量器具和计量数据管理系统与运行机制，全面提升能源资源计量检测技术服务能力与水平。</w:t>
      </w:r>
      <w:r>
        <w:rPr>
          <w:color w:val="000000"/>
          <w:szCs w:val="32"/>
        </w:rPr>
      </w:r>
      <w:r>
        <w:rPr>
          <w:color w:val="000000"/>
          <w:szCs w:val="32"/>
        </w:rPr>
      </w:r>
    </w:p>
    <w:p>
      <w:pPr>
        <w:pStyle w:val="666"/>
        <w:pBdr/>
        <w:spacing w:line="560" w:lineRule="exact"/>
        <w:ind w:firstLine="640"/>
        <w:rPr>
          <w:color w:val="000000"/>
          <w:szCs w:val="32"/>
        </w:rPr>
      </w:pPr>
      <w:r>
        <w:rPr>
          <w:rFonts w:hAnsi="仿宋_GB2312"/>
          <w:color w:val="000000"/>
          <w:szCs w:val="32"/>
        </w:rPr>
        <w:t xml:space="preserve">计量服务保障能力持续增强。计量在全市太忻一体化战略中的基础支撑和保障作用更加突出，计量测试服务能力基本满足全市主要产业发展领域。持续推进国家级、省级产业计量测试中心建设，企业计量检测能力明显增强，大、中型企业建立符合要求的计量实验室或计量控制中心，合理配置计量器具，有效应用计量数据，实现生产全过程监控。计量服务全市经济社会各领域高质量发展体系日趋完善。</w:t>
      </w:r>
      <w:r>
        <w:rPr>
          <w:color w:val="000000"/>
          <w:szCs w:val="32"/>
        </w:rPr>
      </w:r>
      <w:r>
        <w:rPr>
          <w:color w:val="000000"/>
          <w:szCs w:val="32"/>
        </w:rPr>
      </w:r>
    </w:p>
    <w:p>
      <w:pPr>
        <w:pStyle w:val="666"/>
        <w:pBdr/>
        <w:spacing w:line="560" w:lineRule="exact"/>
        <w:ind w:firstLine="640"/>
        <w:rPr>
          <w:szCs w:val="32"/>
        </w:rPr>
      </w:pPr>
      <w:r>
        <w:rPr>
          <w:rFonts w:hAnsi="仿宋_GB2312"/>
          <w:szCs w:val="32"/>
        </w:rPr>
        <w:t xml:space="preserve">计量监管体系更加健全。充分运用大数据、人工智能等现代技术，探索建立新型计量监管模式和制度，推动监管重点从管器具向管数据、管行为、管结果的全链条计量监管体制转变。社会各方计量溯源性意识得到明显增强，开放共享的计量协同发展机制基本建立并不断完善。</w:t>
      </w:r>
      <w:r>
        <w:rPr>
          <w:szCs w:val="32"/>
        </w:rPr>
      </w:r>
      <w:r>
        <w:rPr>
          <w:szCs w:val="32"/>
        </w:rPr>
      </w:r>
    </w:p>
    <w:p>
      <w:pPr>
        <w:pStyle w:val="666"/>
        <w:pBdr/>
        <w:spacing w:line="560" w:lineRule="exact"/>
        <w:ind w:firstLine="640"/>
        <w:rPr>
          <w:rFonts w:hint="eastAsia" w:hAnsi="仿宋_GB2312"/>
          <w:szCs w:val="32"/>
        </w:rPr>
      </w:pPr>
      <w:r>
        <w:rPr>
          <w:rFonts w:hAnsi="仿宋_GB2312"/>
          <w:szCs w:val="32"/>
        </w:rPr>
        <w:t xml:space="preserve">到</w:t>
      </w:r>
      <w:r>
        <w:rPr>
          <w:szCs w:val="32"/>
        </w:rPr>
        <w:t xml:space="preserve">2035</w:t>
      </w:r>
      <w:r>
        <w:rPr>
          <w:rFonts w:hAnsi="仿宋_GB2312"/>
          <w:szCs w:val="32"/>
        </w:rPr>
        <w:t xml:space="preserve">年</w:t>
      </w:r>
      <w:r>
        <w:rPr>
          <w:rFonts w:hint="eastAsia" w:hAnsi="仿宋_GB2312"/>
          <w:szCs w:val="32"/>
        </w:rPr>
        <w:t xml:space="preserve">，</w:t>
      </w:r>
      <w:r>
        <w:rPr>
          <w:rFonts w:hAnsi="仿宋_GB2312"/>
          <w:szCs w:val="32"/>
        </w:rPr>
        <w:t xml:space="preserve">全市计量科技基础水平大幅提升，综合实力迈进全省前列</w:t>
      </w:r>
      <w:r>
        <w:rPr>
          <w:rFonts w:hint="eastAsia" w:hAnsi="仿宋_GB2312"/>
          <w:szCs w:val="32"/>
        </w:rPr>
        <w:t xml:space="preserve">，</w:t>
      </w:r>
      <w:r>
        <w:rPr>
          <w:rFonts w:hAnsi="仿宋_GB2312"/>
          <w:szCs w:val="32"/>
        </w:rPr>
        <w:t xml:space="preserve">建成计量检测水平一流、符合时代发展需求和满足全市经济发展要求的现代先进测量体系。</w:t>
      </w:r>
      <w:r>
        <w:rPr>
          <w:rFonts w:hint="eastAsia" w:hAnsi="仿宋_GB2312"/>
          <w:szCs w:val="32"/>
        </w:rPr>
      </w:r>
      <w:r>
        <w:rPr>
          <w:rFonts w:hint="eastAsia" w:hAnsi="仿宋_GB2312"/>
          <w:szCs w:val="32"/>
        </w:rPr>
      </w:r>
    </w:p>
    <w:p>
      <w:pPr>
        <w:pStyle w:val="666"/>
        <w:pBdr/>
        <w:spacing w:line="160" w:lineRule="exact"/>
        <w:ind w:firstLine="640"/>
        <w:rPr>
          <w:szCs w:val="32"/>
        </w:rPr>
      </w:pPr>
      <w:r>
        <w:rPr>
          <w:szCs w:val="32"/>
        </w:rPr>
      </w:r>
      <w:r>
        <w:rPr>
          <w:szCs w:val="32"/>
        </w:rPr>
      </w:r>
    </w:p>
    <w:tbl>
      <w:tblPr>
        <w:tblW w:w="9607" w:type="dxa"/>
        <w:jc w:val="center"/>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224"/>
        <w:gridCol w:w="4134"/>
        <w:gridCol w:w="1033"/>
        <w:gridCol w:w="1033"/>
        <w:gridCol w:w="1033"/>
        <w:gridCol w:w="1150"/>
      </w:tblGrid>
      <w:tr>
        <w:trPr>
          <w:trHeight w:val="805"/>
        </w:trPr>
        <w:tc>
          <w:tcPr>
            <w:gridSpan w:val="6"/>
            <w:tcBorders/>
            <w:tcW w:w="9607" w:type="dxa"/>
            <w:vAlign w:val="center"/>
            <w:textDirection w:val="lrTb"/>
            <w:noWrap w:val="false"/>
          </w:tcPr>
          <w:p>
            <w:pPr>
              <w:pStyle w:val="666"/>
              <w:pBdr/>
              <w:tabs>
                <w:tab w:val="left" w:leader="none" w:pos="2745"/>
              </w:tabs>
              <w:spacing w:line="420" w:lineRule="exact"/>
              <w:ind/>
              <w:jc w:val="center"/>
              <w:rPr>
                <w:b/>
                <w:sz w:val="28"/>
                <w:szCs w:val="28"/>
              </w:rPr>
            </w:pPr>
            <w:r>
              <w:rPr>
                <w:rFonts w:hAnsi="仿宋_GB2312"/>
                <w:b/>
                <w:sz w:val="28"/>
                <w:szCs w:val="28"/>
              </w:rPr>
              <w:t xml:space="preserve">专栏</w:t>
            </w:r>
            <w:r>
              <w:rPr>
                <w:b/>
                <w:sz w:val="28"/>
                <w:szCs w:val="28"/>
              </w:rPr>
              <w:t xml:space="preserve">1  </w:t>
            </w:r>
            <w:r>
              <w:rPr>
                <w:rFonts w:hAnsi="仿宋_GB2312"/>
                <w:b/>
                <w:sz w:val="28"/>
                <w:szCs w:val="28"/>
              </w:rPr>
              <w:t xml:space="preserve">计量发展主要指标</w:t>
            </w:r>
            <w:r>
              <w:rPr>
                <w:b/>
                <w:sz w:val="28"/>
                <w:szCs w:val="28"/>
              </w:rPr>
            </w:r>
            <w:r>
              <w:rPr>
                <w:b/>
                <w:sz w:val="28"/>
                <w:szCs w:val="28"/>
              </w:rPr>
            </w:r>
          </w:p>
        </w:tc>
      </w:tr>
      <w:tr>
        <w:trPr>
          <w:trHeight w:val="544"/>
        </w:trPr>
        <w:tc>
          <w:tcPr>
            <w:tcBorders/>
            <w:tcW w:w="1224" w:type="dxa"/>
            <w:vAlign w:val="center"/>
            <w:textDirection w:val="lrTb"/>
            <w:noWrap w:val="false"/>
          </w:tcPr>
          <w:p>
            <w:pPr>
              <w:pStyle w:val="666"/>
              <w:pBdr/>
              <w:spacing w:line="420" w:lineRule="exact"/>
              <w:ind/>
              <w:jc w:val="center"/>
              <w:rPr>
                <w:sz w:val="24"/>
              </w:rPr>
            </w:pPr>
            <w:r>
              <w:rPr>
                <w:rFonts w:hAnsi="仿宋_GB2312"/>
                <w:sz w:val="24"/>
              </w:rPr>
              <w:t xml:space="preserve">领域</w:t>
            </w:r>
            <w:r>
              <w:rPr>
                <w:sz w:val="24"/>
              </w:rPr>
            </w:r>
            <w:r>
              <w:rPr>
                <w:sz w:val="24"/>
              </w:rPr>
            </w:r>
          </w:p>
        </w:tc>
        <w:tc>
          <w:tcPr>
            <w:tcBorders/>
            <w:tcW w:w="4134" w:type="dxa"/>
            <w:vAlign w:val="center"/>
            <w:textDirection w:val="lrTb"/>
            <w:noWrap w:val="false"/>
          </w:tcPr>
          <w:p>
            <w:pPr>
              <w:pStyle w:val="666"/>
              <w:pBdr/>
              <w:spacing w:line="420" w:lineRule="exact"/>
              <w:ind/>
              <w:jc w:val="center"/>
              <w:rPr>
                <w:sz w:val="24"/>
              </w:rPr>
            </w:pPr>
            <w:r>
              <w:rPr>
                <w:rFonts w:hAnsi="仿宋_GB2312"/>
                <w:sz w:val="24"/>
              </w:rPr>
              <w:t xml:space="preserve">指标</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2020</w:t>
            </w:r>
            <w:r>
              <w:rPr>
                <w:rFonts w:hAnsi="仿宋_GB2312"/>
                <w:sz w:val="24"/>
              </w:rPr>
              <w:t xml:space="preserve">年</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2025</w:t>
            </w:r>
            <w:r>
              <w:rPr>
                <w:rFonts w:hAnsi="仿宋_GB2312"/>
                <w:sz w:val="24"/>
              </w:rPr>
              <w:t xml:space="preserve">年</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2035</w:t>
            </w:r>
            <w:r>
              <w:rPr>
                <w:rFonts w:hAnsi="仿宋_GB2312"/>
                <w:sz w:val="24"/>
              </w:rPr>
              <w:t xml:space="preserve">年</w:t>
            </w:r>
            <w:r>
              <w:rPr>
                <w:sz w:val="24"/>
              </w:rPr>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属性</w:t>
            </w:r>
            <w:r>
              <w:rPr>
                <w:sz w:val="24"/>
              </w:rPr>
            </w:r>
            <w:r>
              <w:rPr>
                <w:sz w:val="24"/>
              </w:rPr>
            </w:r>
          </w:p>
        </w:tc>
      </w:tr>
      <w:tr>
        <w:trPr>
          <w:trHeight w:val="544"/>
        </w:trPr>
        <w:tc>
          <w:tcPr>
            <w:tcBorders/>
            <w:tcW w:w="1224" w:type="dxa"/>
            <w:vAlign w:val="center"/>
            <w:vMerge w:val="restart"/>
            <w:textDirection w:val="lrTb"/>
            <w:noWrap w:val="false"/>
          </w:tcPr>
          <w:p>
            <w:pPr>
              <w:pStyle w:val="666"/>
              <w:pBdr/>
              <w:spacing w:line="420" w:lineRule="exact"/>
              <w:ind/>
              <w:jc w:val="center"/>
              <w:rPr>
                <w:sz w:val="24"/>
              </w:rPr>
            </w:pPr>
            <w:r>
              <w:rPr>
                <w:rFonts w:hAnsi="仿宋_GB2312"/>
                <w:sz w:val="24"/>
              </w:rPr>
              <w:t xml:space="preserve">科学技术</w:t>
            </w: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省级计量比对主导数量（项）</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5</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市级以上科技资励（项）</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建立社会公用计量标准（项）</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133</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160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200</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restart"/>
            <w:textDirection w:val="lrTb"/>
            <w:noWrap w:val="false"/>
          </w:tcPr>
          <w:p>
            <w:pPr>
              <w:pStyle w:val="666"/>
              <w:pBdr/>
              <w:spacing w:line="420" w:lineRule="exact"/>
              <w:ind/>
              <w:jc w:val="center"/>
              <w:rPr>
                <w:sz w:val="24"/>
              </w:rPr>
            </w:pPr>
            <w:r>
              <w:rPr>
                <w:rFonts w:hAnsi="仿宋_GB2312"/>
                <w:sz w:val="24"/>
              </w:rPr>
              <w:t xml:space="preserve">支撑保障</w:t>
            </w: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国家级产业计量测试中心（个）</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省级产业计量测试中心（个）</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地方计量技术规范制修订数量（</w:t>
            </w:r>
            <w:r>
              <w:rPr>
                <w:sz w:val="24"/>
              </w:rPr>
              <w:t xml:space="preserve">%</w:t>
            </w:r>
            <w:r>
              <w:rPr>
                <w:rFonts w:hAnsi="仿宋_GB2312"/>
                <w:sz w:val="24"/>
              </w:rPr>
              <w:t xml:space="preserve">）</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1</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2</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5</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restart"/>
            <w:textDirection w:val="lrTb"/>
            <w:noWrap w:val="false"/>
          </w:tcPr>
          <w:p>
            <w:pPr>
              <w:pStyle w:val="666"/>
              <w:pBdr/>
              <w:spacing w:line="420" w:lineRule="exact"/>
              <w:ind/>
              <w:jc w:val="center"/>
              <w:rPr>
                <w:sz w:val="24"/>
              </w:rPr>
            </w:pPr>
            <w:r>
              <w:rPr>
                <w:rFonts w:hAnsi="仿宋_GB2312"/>
                <w:sz w:val="24"/>
              </w:rPr>
              <w:t xml:space="preserve">法制监督</w:t>
            </w: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强检项目覆盖率（</w:t>
            </w:r>
            <w:r>
              <w:rPr>
                <w:sz w:val="24"/>
              </w:rPr>
              <w:t xml:space="preserve">%</w:t>
            </w:r>
            <w:r>
              <w:rPr>
                <w:rFonts w:hAnsi="仿宋_GB2312"/>
                <w:sz w:val="24"/>
              </w:rPr>
              <w:t xml:space="preserve">）</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33%</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40%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65%</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强检计量器具检定率（</w:t>
            </w:r>
            <w:r>
              <w:rPr>
                <w:sz w:val="24"/>
              </w:rPr>
              <w:t xml:space="preserve">%</w:t>
            </w:r>
            <w:r>
              <w:rPr>
                <w:rFonts w:hAnsi="仿宋_GB2312"/>
                <w:sz w:val="24"/>
              </w:rPr>
              <w:t xml:space="preserve">）</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85%</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90%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95%</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约束性</w:t>
            </w:r>
            <w:r>
              <w:rPr>
                <w:sz w:val="24"/>
              </w:rPr>
            </w:r>
            <w:r>
              <w:rPr>
                <w:sz w:val="24"/>
              </w:rPr>
            </w:r>
          </w:p>
        </w:tc>
      </w:tr>
      <w:tr>
        <w:trPr>
          <w:trHeight w:val="544"/>
        </w:trPr>
        <w:tc>
          <w:tcPr>
            <w:tcBorders/>
            <w:tcW w:w="1224" w:type="dxa"/>
            <w:vAlign w:val="center"/>
            <w:vMerge w:val="continue"/>
            <w:textDirection w:val="lrTb"/>
            <w:noWrap w:val="false"/>
          </w:tcPr>
          <w:p>
            <w:pPr>
              <w:pStyle w:val="666"/>
              <w:pBdr/>
              <w:spacing w:line="420" w:lineRule="exact"/>
              <w:ind/>
              <w:jc w:val="center"/>
              <w:rPr>
                <w:sz w:val="24"/>
              </w:rPr>
            </w:pPr>
            <w:r>
              <w:rPr>
                <w:sz w:val="24"/>
              </w:rPr>
            </w:r>
            <w:r>
              <w:rPr>
                <w:sz w:val="24"/>
              </w:rPr>
            </w:r>
          </w:p>
        </w:tc>
        <w:tc>
          <w:tcPr>
            <w:tcBorders/>
            <w:tcW w:w="4134" w:type="dxa"/>
            <w:vAlign w:val="center"/>
            <w:textDirection w:val="lrTb"/>
            <w:noWrap w:val="false"/>
          </w:tcPr>
          <w:p>
            <w:pPr>
              <w:pStyle w:val="666"/>
              <w:pBdr/>
              <w:spacing w:line="420" w:lineRule="exact"/>
              <w:ind/>
              <w:jc w:val="left"/>
              <w:rPr>
                <w:sz w:val="24"/>
              </w:rPr>
            </w:pPr>
            <w:r>
              <w:rPr>
                <w:rFonts w:hAnsi="仿宋_GB2312"/>
                <w:sz w:val="24"/>
              </w:rPr>
              <w:t xml:space="preserve">引导培育诚信计量示范单位（家）</w:t>
            </w:r>
            <w:r>
              <w:rPr>
                <w:sz w:val="24"/>
              </w:rPr>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300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500</w:t>
            </w:r>
            <w:r>
              <w:rPr>
                <w:sz w:val="24"/>
              </w:rPr>
            </w:r>
          </w:p>
        </w:tc>
        <w:tc>
          <w:tcPr>
            <w:tcBorders/>
            <w:tcW w:w="1033" w:type="dxa"/>
            <w:vAlign w:val="center"/>
            <w:textDirection w:val="lrTb"/>
            <w:noWrap w:val="false"/>
          </w:tcPr>
          <w:p>
            <w:pPr>
              <w:pStyle w:val="666"/>
              <w:pBdr/>
              <w:spacing w:line="420" w:lineRule="exact"/>
              <w:ind/>
              <w:jc w:val="center"/>
              <w:rPr>
                <w:sz w:val="24"/>
              </w:rPr>
            </w:pPr>
            <w:r>
              <w:rPr>
                <w:sz w:val="24"/>
              </w:rPr>
              <w:t xml:space="preserve">800</w:t>
            </w:r>
            <w:r>
              <w:rPr>
                <w:sz w:val="24"/>
              </w:rPr>
            </w:r>
          </w:p>
        </w:tc>
        <w:tc>
          <w:tcPr>
            <w:tcBorders/>
            <w:tcW w:w="1150" w:type="dxa"/>
            <w:vAlign w:val="center"/>
            <w:textDirection w:val="lrTb"/>
            <w:noWrap w:val="false"/>
          </w:tcPr>
          <w:p>
            <w:pPr>
              <w:pStyle w:val="666"/>
              <w:pBdr/>
              <w:spacing w:line="420" w:lineRule="exact"/>
              <w:ind/>
              <w:jc w:val="center"/>
              <w:rPr>
                <w:sz w:val="24"/>
              </w:rPr>
            </w:pPr>
            <w:r>
              <w:rPr>
                <w:rFonts w:hAnsi="仿宋_GB2312"/>
                <w:sz w:val="24"/>
              </w:rPr>
              <w:t xml:space="preserve">预期性</w:t>
            </w:r>
            <w:r>
              <w:rPr>
                <w:sz w:val="24"/>
              </w:rPr>
            </w:r>
            <w:r>
              <w:rPr>
                <w:sz w:val="24"/>
              </w:rPr>
            </w:r>
          </w:p>
        </w:tc>
      </w:tr>
    </w:tbl>
    <w:p>
      <w:pPr>
        <w:pStyle w:val="666"/>
        <w:pBdr/>
        <w:spacing w:line="560" w:lineRule="exact"/>
        <w:ind w:firstLine="640"/>
        <w:rPr>
          <w:rFonts w:eastAsia="黑体"/>
          <w:szCs w:val="32"/>
        </w:rPr>
      </w:pPr>
      <w:r>
        <w:rPr>
          <w:rFonts w:hint="eastAsia" w:hAnsi="黑体" w:eastAsia="黑体"/>
          <w:szCs w:val="32"/>
        </w:rPr>
        <w:t xml:space="preserve">二、</w:t>
      </w:r>
      <w:r>
        <w:rPr>
          <w:rFonts w:hAnsi="黑体" w:eastAsia="黑体"/>
          <w:szCs w:val="32"/>
        </w:rPr>
        <w:t xml:space="preserve">主要任务</w:t>
      </w:r>
      <w:r>
        <w:rPr>
          <w:rFonts w:eastAsia="黑体"/>
          <w:szCs w:val="32"/>
        </w:rPr>
      </w:r>
      <w:r>
        <w:rPr>
          <w:rFonts w:eastAsia="黑体"/>
          <w:szCs w:val="32"/>
        </w:rPr>
      </w:r>
    </w:p>
    <w:p>
      <w:pPr>
        <w:pStyle w:val="666"/>
        <w:pBdr/>
        <w:spacing w:line="560" w:lineRule="exact"/>
        <w:ind w:firstLine="640"/>
        <w:rPr>
          <w:rFonts w:eastAsia="楷体_GB2312"/>
          <w:bCs/>
          <w:szCs w:val="32"/>
        </w:rPr>
      </w:pPr>
      <w:r>
        <w:rPr>
          <w:rFonts w:hint="eastAsia" w:hAnsi="楷体_GB2312" w:eastAsia="楷体_GB2312"/>
          <w:bCs/>
          <w:szCs w:val="32"/>
        </w:rPr>
        <w:t xml:space="preserve">（一）</w:t>
      </w:r>
      <w:r>
        <w:rPr>
          <w:rFonts w:hAnsi="楷体_GB2312" w:eastAsia="楷体_GB2312"/>
          <w:bCs/>
          <w:szCs w:val="32"/>
        </w:rPr>
        <w:t xml:space="preserve">加强计量科技创新能力，推动服务创新发展</w:t>
      </w:r>
      <w:r>
        <w:rPr>
          <w:rFonts w:eastAsia="楷体_GB2312"/>
          <w:bCs/>
          <w:szCs w:val="32"/>
        </w:rPr>
      </w:r>
      <w:r>
        <w:rPr>
          <w:rFonts w:eastAsia="楷体_GB2312"/>
          <w:bCs/>
          <w:szCs w:val="32"/>
        </w:rPr>
      </w:r>
    </w:p>
    <w:p>
      <w:pPr>
        <w:pStyle w:val="666"/>
        <w:pBdr/>
        <w:spacing w:line="560" w:lineRule="exact"/>
        <w:ind w:firstLine="640"/>
        <w:rPr>
          <w:rFonts w:hint="eastAsia" w:hAnsi="仿宋_GB2312"/>
          <w:szCs w:val="32"/>
        </w:rPr>
      </w:pPr>
      <w:r>
        <w:rPr>
          <w:szCs w:val="32"/>
        </w:rPr>
        <w:t xml:space="preserve">1</w:t>
      </w:r>
      <w:r>
        <w:rPr>
          <w:rFonts w:hAnsi="仿宋_GB2312"/>
          <w:szCs w:val="32"/>
        </w:rPr>
        <w:t xml:space="preserve">．</w:t>
      </w:r>
      <w:r>
        <w:rPr>
          <w:rFonts w:hAnsi="仿宋_GB2312"/>
          <w:b/>
          <w:szCs w:val="32"/>
        </w:rPr>
        <w:t xml:space="preserve">加强计量基础和智能检测方法研究。</w:t>
      </w:r>
      <w:r>
        <w:rPr>
          <w:rFonts w:hAnsi="仿宋_GB2312"/>
          <w:szCs w:val="32"/>
        </w:rPr>
        <w:t xml:space="preserve">加强计量基础技术的研究，加强计量检测新方法和关键技术应用的创新，推动能源计量器具的智能化、数字化、网络化。围绕我市传统优势产业转型升级和战略性新型产业发展，研究一批应用型、实用型的关键测试技术，重点研究新能源、半导体、碳基新材料、现代煤化工、特种金属材料、节能环保、现代医疗和大健康等领域计量智能测试技术。（责任单位：市市场监管局、市工信局、市交通局、市卫健委、市能源局、市生态环境局）</w:t>
      </w:r>
      <w:r>
        <w:rPr>
          <w:rFonts w:hint="eastAsia" w:hAnsi="仿宋_GB2312"/>
          <w:szCs w:val="32"/>
        </w:rPr>
      </w:r>
      <w:r>
        <w:rPr>
          <w:rFonts w:hint="eastAsia" w:hAnsi="仿宋_GB2312"/>
          <w:szCs w:val="32"/>
        </w:rPr>
      </w:r>
    </w:p>
    <w:p>
      <w:pPr>
        <w:pStyle w:val="666"/>
        <w:pBdr/>
        <w:spacing w:line="100" w:lineRule="exact"/>
        <w:ind w:firstLine="640"/>
        <w:rPr>
          <w:szCs w:val="32"/>
        </w:rPr>
      </w:pPr>
      <w:r>
        <w:rPr>
          <w:szCs w:val="32"/>
        </w:rPr>
      </w:r>
      <w:r>
        <w:rPr>
          <w:szCs w:val="32"/>
        </w:rPr>
      </w:r>
    </w:p>
    <w:tbl>
      <w:tblPr>
        <w:tblW w:w="8790" w:type="dxa"/>
        <w:jc w:val="center"/>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790"/>
      </w:tblGrid>
      <w:tr>
        <w:trPr>
          <w:trHeight w:val="558"/>
        </w:trPr>
        <w:tc>
          <w:tcPr>
            <w:tcBorders/>
            <w:tcW w:w="8790" w:type="dxa"/>
            <w:vAlign w:val="center"/>
            <w:textDirection w:val="lrTb"/>
            <w:noWrap w:val="false"/>
          </w:tcPr>
          <w:p>
            <w:pPr>
              <w:pStyle w:val="666"/>
              <w:pBdr/>
              <w:spacing w:line="360" w:lineRule="exact"/>
              <w:ind w:firstLine="2108"/>
              <w:rPr>
                <w:b/>
                <w:sz w:val="28"/>
                <w:szCs w:val="28"/>
              </w:rPr>
            </w:pPr>
            <w:r>
              <w:rPr>
                <w:rFonts w:hAnsi="仿宋_GB2312"/>
                <w:b/>
                <w:sz w:val="28"/>
                <w:szCs w:val="28"/>
              </w:rPr>
              <w:t xml:space="preserve">专栏</w:t>
            </w:r>
            <w:r>
              <w:rPr>
                <w:b/>
                <w:sz w:val="28"/>
                <w:szCs w:val="28"/>
              </w:rPr>
              <w:t xml:space="preserve">2  </w:t>
            </w:r>
            <w:r>
              <w:rPr>
                <w:rFonts w:hAnsi="仿宋_GB2312"/>
                <w:b/>
                <w:sz w:val="28"/>
                <w:szCs w:val="28"/>
              </w:rPr>
              <w:t xml:space="preserve">计量科学技术基础研究</w:t>
            </w:r>
            <w:r>
              <w:rPr>
                <w:b/>
                <w:sz w:val="28"/>
                <w:szCs w:val="28"/>
              </w:rPr>
            </w:r>
            <w:r>
              <w:rPr>
                <w:b/>
                <w:sz w:val="28"/>
                <w:szCs w:val="28"/>
              </w:rPr>
            </w:r>
          </w:p>
        </w:tc>
      </w:tr>
      <w:tr>
        <w:trPr>
          <w:trHeight w:val="558"/>
        </w:trPr>
        <w:tc>
          <w:tcPr>
            <w:tcBorders/>
            <w:tcW w:w="8790" w:type="dxa"/>
            <w:vAlign w:val="top"/>
            <w:textDirection w:val="lrTb"/>
            <w:noWrap w:val="false"/>
          </w:tcPr>
          <w:p>
            <w:pPr>
              <w:pStyle w:val="666"/>
              <w:pBdr/>
              <w:spacing w:line="360" w:lineRule="exact"/>
              <w:ind w:firstLine="480"/>
              <w:rPr>
                <w:sz w:val="24"/>
              </w:rPr>
            </w:pPr>
            <w:r>
              <w:rPr>
                <w:sz w:val="24"/>
              </w:rPr>
              <w:t xml:space="preserve">1</w:t>
            </w:r>
            <w:r>
              <w:rPr>
                <w:rFonts w:hAnsi="仿宋_GB2312"/>
                <w:sz w:val="24"/>
              </w:rPr>
              <w:t xml:space="preserve">．计量基础理论研究。重点开展量和单位、测量不确定度理论和应用、测量程序和有效性评价、可计量性设计、计量整体解决方案研究，计量支撑经济社会发展的作用机理和效能评价研究。</w:t>
            </w:r>
            <w:r>
              <w:rPr>
                <w:sz w:val="24"/>
              </w:rPr>
            </w:r>
            <w:r>
              <w:rPr>
                <w:sz w:val="24"/>
              </w:rPr>
            </w:r>
          </w:p>
          <w:p>
            <w:pPr>
              <w:pStyle w:val="666"/>
              <w:pBdr/>
              <w:spacing w:line="360" w:lineRule="exact"/>
              <w:ind w:firstLine="480"/>
              <w:rPr>
                <w:sz w:val="24"/>
              </w:rPr>
            </w:pPr>
            <w:r>
              <w:rPr>
                <w:sz w:val="24"/>
              </w:rPr>
              <w:t xml:space="preserve">2</w:t>
            </w:r>
            <w:r>
              <w:rPr>
                <w:rFonts w:hAnsi="仿宋_GB2312"/>
                <w:sz w:val="24"/>
              </w:rPr>
              <w:t xml:space="preserve">．计量基础技术研究。开展力学计量、通信计量、电磁学计量等方面的计量基础研究。</w:t>
            </w:r>
            <w:r>
              <w:rPr>
                <w:sz w:val="24"/>
              </w:rPr>
            </w:r>
            <w:r>
              <w:rPr>
                <w:sz w:val="24"/>
              </w:rPr>
            </w:r>
          </w:p>
          <w:p>
            <w:pPr>
              <w:pStyle w:val="666"/>
              <w:pBdr/>
              <w:spacing w:line="360" w:lineRule="exact"/>
              <w:ind/>
              <w:rPr>
                <w:sz w:val="24"/>
              </w:rPr>
            </w:pPr>
            <w:r>
              <w:rPr>
                <w:sz w:val="24"/>
              </w:rPr>
              <w:t xml:space="preserve">   </w:t>
            </w:r>
            <w:r>
              <w:rPr>
                <w:rFonts w:hint="eastAsia"/>
                <w:sz w:val="24"/>
              </w:rPr>
              <w:t xml:space="preserve"> </w:t>
            </w:r>
            <w:r>
              <w:rPr>
                <w:sz w:val="24"/>
              </w:rPr>
              <w:t xml:space="preserve">3</w:t>
            </w:r>
            <w:r>
              <w:rPr>
                <w:rFonts w:hAnsi="仿宋_GB2312"/>
                <w:sz w:val="24"/>
              </w:rPr>
              <w:t xml:space="preserve">．计量测量技术研究。开展天</w:t>
            </w:r>
            <w:r>
              <w:rPr>
                <w:rFonts w:hint="eastAsia" w:hAnsi="仿宋_GB2312"/>
                <w:sz w:val="24"/>
              </w:rPr>
              <w:t xml:space="preserve">然</w:t>
            </w:r>
            <w:r>
              <w:rPr>
                <w:rFonts w:hAnsi="仿宋_GB2312"/>
                <w:sz w:val="24"/>
              </w:rPr>
              <w:t xml:space="preserve">气、加油机、高速动态汽车衡等计量智能测试方法的研究和应用。</w:t>
            </w:r>
            <w:r>
              <w:rPr>
                <w:sz w:val="24"/>
              </w:rPr>
              <w:t xml:space="preserve">   </w:t>
            </w:r>
            <w:r>
              <w:rPr>
                <w:sz w:val="24"/>
              </w:rPr>
            </w:r>
          </w:p>
          <w:p>
            <w:pPr>
              <w:pStyle w:val="666"/>
              <w:pBdr/>
              <w:spacing w:line="360" w:lineRule="exact"/>
              <w:ind w:firstLine="480"/>
              <w:rPr>
                <w:sz w:val="21"/>
              </w:rPr>
            </w:pPr>
            <w:r>
              <w:rPr>
                <w:sz w:val="24"/>
              </w:rPr>
              <w:t xml:space="preserve">4</w:t>
            </w:r>
            <w:r>
              <w:rPr>
                <w:rFonts w:hAnsi="仿宋_GB2312"/>
                <w:sz w:val="24"/>
              </w:rPr>
              <w:t xml:space="preserve">．开展能源计量监测、能效、水效等计量测试方法、装备和技术规范的研究和应用。</w:t>
            </w:r>
            <w:r>
              <w:rPr>
                <w:sz w:val="21"/>
              </w:rPr>
            </w:r>
            <w:r>
              <w:rPr>
                <w:sz w:val="21"/>
              </w:rPr>
            </w:r>
          </w:p>
        </w:tc>
      </w:tr>
    </w:tbl>
    <w:p>
      <w:pPr>
        <w:pStyle w:val="666"/>
        <w:pBdr/>
        <w:spacing w:line="560" w:lineRule="exact"/>
        <w:ind w:firstLine="640"/>
        <w:rPr>
          <w:szCs w:val="32"/>
        </w:rPr>
      </w:pPr>
      <w:r>
        <w:rPr>
          <w:szCs w:val="32"/>
        </w:rPr>
        <w:t xml:space="preserve">2</w:t>
      </w:r>
      <w:r>
        <w:rPr>
          <w:rFonts w:hAnsi="仿宋_GB2312"/>
          <w:szCs w:val="32"/>
        </w:rPr>
        <w:t xml:space="preserve">．</w:t>
      </w:r>
      <w:r>
        <w:rPr>
          <w:rFonts w:hAnsi="仿宋_GB2312"/>
          <w:b/>
          <w:szCs w:val="32"/>
        </w:rPr>
        <w:t xml:space="preserve">加强计量科技创新生态工作。</w:t>
      </w:r>
      <w:r>
        <w:rPr>
          <w:rFonts w:hAnsi="仿宋_GB2312"/>
          <w:szCs w:val="32"/>
        </w:rPr>
        <w:t xml:space="preserve">加速整合社会计量资源，充分释放企业、院校创新活力，推动高校和科研院所开展计量技术联合研究、开展优势学科融合、合作，鼓励联合申报计量科技创新平台，实施计量检测科技攻关项目。建立完善的计量科技基础研究经费保障机制和联合攻关机制。（责任单位：市科技局、市市场监管局、市教育局、市财政局）</w:t>
      </w:r>
      <w:r>
        <w:rPr>
          <w:szCs w:val="32"/>
        </w:rPr>
        <w:t xml:space="preserve"> </w:t>
      </w:r>
      <w:r>
        <w:rPr>
          <w:szCs w:val="32"/>
        </w:rPr>
      </w:r>
    </w:p>
    <w:p>
      <w:pPr>
        <w:pStyle w:val="666"/>
        <w:pBdr/>
        <w:spacing w:line="560" w:lineRule="exact"/>
        <w:ind w:firstLine="640"/>
        <w:rPr>
          <w:rFonts w:hint="eastAsia" w:hAnsi="仿宋_GB2312"/>
          <w:szCs w:val="32"/>
        </w:rPr>
      </w:pPr>
      <w:r>
        <w:rPr>
          <w:szCs w:val="32"/>
        </w:rPr>
        <w:t xml:space="preserve">3</w:t>
      </w:r>
      <w:r>
        <w:rPr>
          <w:rFonts w:hAnsi="仿宋_GB2312"/>
          <w:szCs w:val="32"/>
        </w:rPr>
        <w:t xml:space="preserve">．</w:t>
      </w:r>
      <w:r>
        <w:rPr>
          <w:rFonts w:hAnsi="仿宋_GB2312"/>
          <w:b/>
          <w:szCs w:val="32"/>
        </w:rPr>
        <w:t xml:space="preserve">开展新型量值传递溯源技术研究。</w:t>
      </w:r>
      <w:r>
        <w:rPr>
          <w:rFonts w:hAnsi="仿宋_GB2312"/>
          <w:szCs w:val="32"/>
        </w:rPr>
        <w:t xml:space="preserve">针对复杂环境、实时工况环境和极端环境的计量需求，加快开展数字化模拟测量、工况环境检测技术、直流电能计量技术等基础共性计量技术研究。加强智能化计量检测技术研究，针对全市重点产业领域的多参数检测、在线检测、动态监测等技术方法开展研究和开发，增强快速检测能力。（责任单位：市市场监管局、市科技局）</w:t>
      </w:r>
      <w:r>
        <w:rPr>
          <w:rFonts w:hint="eastAsia" w:hAnsi="仿宋_GB2312"/>
          <w:szCs w:val="32"/>
        </w:rPr>
      </w:r>
      <w:r>
        <w:rPr>
          <w:rFonts w:hint="eastAsia" w:hAnsi="仿宋_GB2312"/>
          <w:szCs w:val="32"/>
        </w:rPr>
      </w:r>
    </w:p>
    <w:p>
      <w:pPr>
        <w:pStyle w:val="666"/>
        <w:pBdr/>
        <w:spacing w:line="160" w:lineRule="exact"/>
        <w:ind w:firstLine="640"/>
        <w:rPr>
          <w:szCs w:val="32"/>
        </w:rPr>
      </w:pPr>
      <w:r>
        <w:rPr>
          <w:szCs w:val="32"/>
        </w:rPr>
      </w:r>
      <w:r>
        <w:rPr>
          <w:szCs w:val="32"/>
        </w:rPr>
      </w:r>
    </w:p>
    <w:tbl>
      <w:tblPr>
        <w:tblW w:w="9030" w:type="dxa"/>
        <w:jc w:val="center"/>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9030"/>
      </w:tblGrid>
      <w:tr>
        <w:trPr>
          <w:trHeight w:val="525"/>
        </w:trPr>
        <w:tc>
          <w:tcPr>
            <w:tcBorders/>
            <w:tcW w:w="9030" w:type="dxa"/>
            <w:vAlign w:val="center"/>
            <w:textDirection w:val="lrTb"/>
            <w:noWrap w:val="false"/>
          </w:tcPr>
          <w:p>
            <w:pPr>
              <w:pStyle w:val="666"/>
              <w:pBdr/>
              <w:spacing w:line="360" w:lineRule="exact"/>
              <w:ind w:firstLine="2249"/>
              <w:rPr>
                <w:b/>
                <w:sz w:val="28"/>
                <w:szCs w:val="28"/>
              </w:rPr>
            </w:pPr>
            <w:r>
              <w:rPr>
                <w:rFonts w:hAnsi="仿宋_GB2312"/>
                <w:b/>
                <w:sz w:val="28"/>
                <w:szCs w:val="28"/>
              </w:rPr>
              <w:t xml:space="preserve">专栏</w:t>
            </w:r>
            <w:r>
              <w:rPr>
                <w:b/>
                <w:sz w:val="28"/>
                <w:szCs w:val="28"/>
              </w:rPr>
              <w:t xml:space="preserve">3  </w:t>
            </w:r>
            <w:r>
              <w:rPr>
                <w:rFonts w:hAnsi="仿宋_GB2312"/>
                <w:b/>
                <w:sz w:val="28"/>
                <w:szCs w:val="28"/>
              </w:rPr>
              <w:t xml:space="preserve">量值溯源技术研究</w:t>
            </w:r>
            <w:r>
              <w:rPr>
                <w:b/>
                <w:sz w:val="28"/>
                <w:szCs w:val="28"/>
              </w:rPr>
            </w:r>
            <w:r>
              <w:rPr>
                <w:b/>
                <w:sz w:val="28"/>
                <w:szCs w:val="28"/>
              </w:rPr>
            </w:r>
          </w:p>
        </w:tc>
      </w:tr>
      <w:tr>
        <w:trPr>
          <w:trHeight w:val="1074"/>
        </w:trPr>
        <w:tc>
          <w:tcPr>
            <w:tcBorders/>
            <w:tcW w:w="9030" w:type="dxa"/>
            <w:vAlign w:val="center"/>
            <w:textDirection w:val="lrTb"/>
            <w:noWrap w:val="false"/>
          </w:tcPr>
          <w:p>
            <w:pPr>
              <w:pStyle w:val="666"/>
              <w:pBdr/>
              <w:spacing w:line="360" w:lineRule="exact"/>
              <w:ind/>
              <w:rPr>
                <w:sz w:val="24"/>
              </w:rPr>
            </w:pPr>
            <w:r>
              <w:rPr>
                <w:sz w:val="21"/>
              </w:rPr>
              <w:t xml:space="preserve">  </w:t>
            </w:r>
            <w:r>
              <w:rPr>
                <w:sz w:val="24"/>
              </w:rPr>
              <w:t xml:space="preserve">  1</w:t>
            </w:r>
            <w:r>
              <w:rPr>
                <w:rFonts w:hAnsi="仿宋_GB2312"/>
                <w:sz w:val="24"/>
              </w:rPr>
              <w:t xml:space="preserve">．在线计量技术研究。高温高压测量传感器在线校准技术、危险货物运输途中监测、货运装载质量计量和货物装载监控系统及其量值溯源技术，特种环境下材料性能检测技术。</w:t>
            </w:r>
            <w:r>
              <w:rPr>
                <w:sz w:val="24"/>
              </w:rPr>
            </w:r>
            <w:r>
              <w:rPr>
                <w:sz w:val="24"/>
              </w:rPr>
            </w:r>
          </w:p>
          <w:p>
            <w:pPr>
              <w:pStyle w:val="666"/>
              <w:pBdr/>
              <w:spacing w:line="360" w:lineRule="exact"/>
              <w:ind w:firstLine="480"/>
              <w:rPr>
                <w:sz w:val="24"/>
              </w:rPr>
            </w:pPr>
            <w:r>
              <w:rPr>
                <w:sz w:val="24"/>
              </w:rPr>
              <w:t xml:space="preserve">2</w:t>
            </w:r>
            <w:r>
              <w:rPr>
                <w:rFonts w:hAnsi="仿宋_GB2312"/>
                <w:sz w:val="24"/>
              </w:rPr>
              <w:t xml:space="preserve">．节能环保技术研究。重点开展能源、气态污染物、油气回收监测与检测等计量技术方法和技术规范研究。</w:t>
            </w:r>
            <w:r>
              <w:rPr>
                <w:sz w:val="24"/>
              </w:rPr>
            </w:r>
            <w:r>
              <w:rPr>
                <w:sz w:val="24"/>
              </w:rPr>
            </w:r>
          </w:p>
          <w:p>
            <w:pPr>
              <w:pStyle w:val="666"/>
              <w:pBdr/>
              <w:spacing w:line="360" w:lineRule="exact"/>
              <w:ind w:firstLine="480"/>
              <w:rPr>
                <w:sz w:val="24"/>
              </w:rPr>
            </w:pPr>
            <w:r>
              <w:rPr>
                <w:sz w:val="24"/>
              </w:rPr>
              <w:t xml:space="preserve">3</w:t>
            </w:r>
            <w:r>
              <w:rPr>
                <w:rFonts w:hAnsi="仿宋_GB2312"/>
                <w:sz w:val="24"/>
              </w:rPr>
              <w:t xml:space="preserve">．综合多参数计量技术研究。高温、高压、高过载条件下速度、温度、压力、加速度动态参数测试技术，道路交通安全管理自动化监测设备计量技术，</w:t>
            </w:r>
            <w:r>
              <w:rPr>
                <w:rFonts w:hint="eastAsia" w:hAnsi="仿宋_GB2312"/>
                <w:sz w:val="24"/>
              </w:rPr>
              <w:t xml:space="preserve">天然气</w:t>
            </w:r>
            <w:r>
              <w:rPr>
                <w:rFonts w:hAnsi="仿宋_GB2312"/>
                <w:sz w:val="24"/>
              </w:rPr>
              <w:t xml:space="preserve">输送在线多参数计量技术。</w:t>
            </w:r>
            <w:r>
              <w:rPr>
                <w:sz w:val="24"/>
              </w:rPr>
            </w:r>
            <w:r>
              <w:rPr>
                <w:sz w:val="24"/>
              </w:rPr>
            </w:r>
          </w:p>
          <w:p>
            <w:pPr>
              <w:pStyle w:val="666"/>
              <w:pBdr/>
              <w:spacing w:line="360" w:lineRule="exact"/>
              <w:ind w:firstLine="480"/>
              <w:rPr>
                <w:sz w:val="21"/>
              </w:rPr>
            </w:pPr>
            <w:r>
              <w:rPr>
                <w:sz w:val="24"/>
              </w:rPr>
              <w:t xml:space="preserve">4</w:t>
            </w:r>
            <w:r>
              <w:rPr>
                <w:rFonts w:hAnsi="仿宋_GB2312"/>
                <w:sz w:val="24"/>
              </w:rPr>
              <w:t xml:space="preserve">．现代医疗和大健康计量技术研究。重点开展医用诊断治疗、康复理疗、医疗环境器械安全监测等计量技术方法和技术规范研究。</w:t>
            </w:r>
            <w:r>
              <w:rPr>
                <w:sz w:val="21"/>
              </w:rPr>
            </w:r>
            <w:r>
              <w:rPr>
                <w:sz w:val="21"/>
              </w:rPr>
            </w:r>
          </w:p>
        </w:tc>
      </w:tr>
    </w:tbl>
    <w:p>
      <w:pPr>
        <w:pStyle w:val="666"/>
        <w:pBdr/>
        <w:spacing w:line="160" w:lineRule="exact"/>
        <w:ind/>
        <w:rPr>
          <w:rFonts w:hint="eastAsia"/>
          <w:b/>
          <w:szCs w:val="32"/>
        </w:rPr>
      </w:pPr>
      <w:r>
        <w:rPr>
          <w:rFonts w:eastAsia="仿宋"/>
          <w:szCs w:val="32"/>
        </w:rPr>
        <w:t xml:space="preserve">   </w:t>
      </w:r>
      <w:r>
        <w:rPr>
          <w:b/>
          <w:szCs w:val="32"/>
        </w:rPr>
        <w:t xml:space="preserve"> </w:t>
      </w:r>
      <w:r>
        <w:rPr>
          <w:rFonts w:hint="eastAsia"/>
          <w:b/>
          <w:szCs w:val="32"/>
        </w:rPr>
      </w:r>
      <w:r>
        <w:rPr>
          <w:rFonts w:hint="eastAsia"/>
          <w:b/>
          <w:szCs w:val="32"/>
        </w:rPr>
      </w:r>
    </w:p>
    <w:p>
      <w:pPr>
        <w:pStyle w:val="666"/>
        <w:pBdr/>
        <w:spacing w:line="560" w:lineRule="exact"/>
        <w:ind w:firstLine="627"/>
        <w:rPr>
          <w:szCs w:val="32"/>
        </w:rPr>
      </w:pPr>
      <w:r>
        <w:rPr>
          <w:szCs w:val="32"/>
        </w:rPr>
        <w:t xml:space="preserve">4</w:t>
      </w:r>
      <w:r>
        <w:rPr>
          <w:rFonts w:hAnsi="仿宋_GB2312"/>
          <w:szCs w:val="32"/>
        </w:rPr>
        <w:t xml:space="preserve">．</w:t>
      </w:r>
      <w:r>
        <w:rPr>
          <w:rFonts w:hAnsi="仿宋_GB2312"/>
          <w:b/>
          <w:szCs w:val="32"/>
        </w:rPr>
        <w:t xml:space="preserve">开展计量数字化转型研究。</w:t>
      </w:r>
      <w:r>
        <w:rPr>
          <w:rFonts w:hAnsi="仿宋_GB2312"/>
          <w:szCs w:val="32"/>
        </w:rPr>
        <w:t xml:space="preserve">推动全市跨行业、跨领域计量数据整合、共享与应用，建立忻州市计量数据中心，加强计量数据统计、分析和应用，强化计量数据的安全性、溯源性，在节能环保、装备制造、环境监测、医疗健康、食品安全等领域培育一批计量数据建设应用基地。（责任单位：市市场监管局、市科技局、市工信局、市卫健委、市生态环境局、市气象局）</w:t>
      </w:r>
      <w:r>
        <w:rPr>
          <w:szCs w:val="32"/>
        </w:rPr>
      </w:r>
      <w:r>
        <w:rPr>
          <w:szCs w:val="32"/>
        </w:rPr>
      </w:r>
    </w:p>
    <w:p>
      <w:pPr>
        <w:pStyle w:val="666"/>
        <w:pBdr/>
        <w:spacing w:line="560" w:lineRule="exact"/>
        <w:ind w:firstLine="480"/>
        <w:rPr>
          <w:rFonts w:eastAsia="楷体_GB2312"/>
          <w:szCs w:val="32"/>
        </w:rPr>
      </w:pPr>
      <w:r>
        <w:rPr>
          <w:rFonts w:hAnsi="楷体_GB2312" w:eastAsia="楷体_GB2312"/>
          <w:szCs w:val="32"/>
        </w:rPr>
        <w:t xml:space="preserve">（二）强化计量应用，服务产业转型发展</w:t>
      </w:r>
      <w:r>
        <w:rPr>
          <w:rFonts w:eastAsia="楷体_GB2312"/>
          <w:szCs w:val="32"/>
        </w:rPr>
      </w:r>
      <w:r>
        <w:rPr>
          <w:rFonts w:eastAsia="楷体_GB2312"/>
          <w:szCs w:val="32"/>
        </w:rPr>
      </w:r>
    </w:p>
    <w:p>
      <w:pPr>
        <w:pStyle w:val="666"/>
        <w:pBdr/>
        <w:spacing w:line="560" w:lineRule="exact"/>
        <w:ind w:firstLine="640"/>
        <w:rPr>
          <w:rFonts w:hint="eastAsia" w:hAnsi="仿宋_GB2312"/>
          <w:szCs w:val="32"/>
        </w:rPr>
      </w:pPr>
      <w:r>
        <w:rPr>
          <w:szCs w:val="32"/>
        </w:rPr>
        <w:t xml:space="preserve">5．</w:t>
      </w:r>
      <w:r>
        <w:rPr>
          <w:rFonts w:hAnsi="仿宋_GB2312"/>
          <w:b/>
          <w:szCs w:val="32"/>
        </w:rPr>
        <w:t xml:space="preserve">服务传统优势产业升级改造</w:t>
      </w:r>
      <w:r>
        <w:rPr>
          <w:rFonts w:hAnsi="仿宋_GB2312"/>
          <w:szCs w:val="32"/>
        </w:rPr>
        <w:t xml:space="preserve">。重点推动助力煤电产业延链、增链、强链等全产业链提升，助力服务能源产业结构调整，围绕煤炭开采、电力生产和供应、有色金属制造业、化工等产业，开展计量测试技术研究和服务，推动国家、省级产业计量测试中心平台建设，促进能源绿色低碳转型。推进用能单位能源资源计量器具规范化、智能化配置。（责任单位：市能源局、市科技局、市市场监管局）</w:t>
      </w:r>
      <w:r>
        <w:rPr>
          <w:rFonts w:hint="eastAsia" w:hAnsi="仿宋_GB2312"/>
          <w:szCs w:val="32"/>
        </w:rPr>
      </w:r>
      <w:r>
        <w:rPr>
          <w:rFonts w:hint="eastAsia" w:hAnsi="仿宋_GB2312"/>
          <w:szCs w:val="32"/>
        </w:rPr>
      </w:r>
    </w:p>
    <w:p>
      <w:pPr>
        <w:pStyle w:val="666"/>
        <w:pBdr/>
        <w:spacing w:line="100" w:lineRule="exact"/>
        <w:ind w:firstLine="640"/>
        <w:rPr>
          <w:rFonts w:hint="eastAsia"/>
          <w:szCs w:val="32"/>
        </w:rPr>
      </w:pPr>
      <w:r>
        <w:rPr>
          <w:rFonts w:hint="eastAsia"/>
          <w:szCs w:val="32"/>
        </w:rPr>
      </w:r>
      <w:r>
        <w:rPr>
          <w:rFonts w:hint="eastAsia"/>
          <w:szCs w:val="32"/>
        </w:rPr>
      </w:r>
    </w:p>
    <w:p>
      <w:pPr>
        <w:pStyle w:val="666"/>
        <w:pBdr/>
        <w:spacing w:line="100" w:lineRule="exact"/>
        <w:ind w:firstLine="640"/>
        <w:rPr>
          <w:szCs w:val="32"/>
        </w:rPr>
      </w:pPr>
      <w:r>
        <w:rPr>
          <w:szCs w:val="32"/>
        </w:rPr>
      </w:r>
      <w:r>
        <w:rPr>
          <w:szCs w:val="32"/>
        </w:rPr>
      </w:r>
    </w:p>
    <w:tbl>
      <w:tblPr>
        <w:tblW w:w="8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677"/>
      </w:tblGrid>
      <w:tr>
        <w:trPr>
          <w:trHeight w:val="555"/>
        </w:trPr>
        <w:tc>
          <w:tcPr>
            <w:tcBorders/>
            <w:tcW w:w="8677" w:type="dxa"/>
            <w:vAlign w:val="center"/>
            <w:textDirection w:val="lrTb"/>
            <w:noWrap w:val="false"/>
          </w:tcPr>
          <w:p>
            <w:pPr>
              <w:pStyle w:val="666"/>
              <w:pBdr/>
              <w:spacing w:line="360" w:lineRule="exact"/>
              <w:ind/>
              <w:jc w:val="center"/>
              <w:rPr>
                <w:b/>
                <w:sz w:val="28"/>
                <w:szCs w:val="28"/>
              </w:rPr>
            </w:pPr>
            <w:r>
              <w:rPr>
                <w:rFonts w:hAnsi="仿宋_GB2312"/>
                <w:b/>
                <w:sz w:val="28"/>
                <w:szCs w:val="28"/>
              </w:rPr>
              <w:t xml:space="preserve">专栏</w:t>
            </w:r>
            <w:r>
              <w:rPr>
                <w:b/>
                <w:sz w:val="28"/>
                <w:szCs w:val="28"/>
              </w:rPr>
              <w:t xml:space="preserve">4  </w:t>
            </w:r>
            <w:r>
              <w:rPr>
                <w:rFonts w:hAnsi="仿宋_GB2312"/>
                <w:b/>
                <w:sz w:val="28"/>
                <w:szCs w:val="28"/>
              </w:rPr>
              <w:t xml:space="preserve">计量服务传统能源转型综合改革</w:t>
            </w:r>
            <w:r>
              <w:rPr>
                <w:b/>
                <w:sz w:val="28"/>
                <w:szCs w:val="28"/>
              </w:rPr>
            </w:r>
            <w:r>
              <w:rPr>
                <w:b/>
                <w:sz w:val="28"/>
                <w:szCs w:val="28"/>
              </w:rPr>
            </w:r>
          </w:p>
        </w:tc>
      </w:tr>
      <w:tr>
        <w:trPr>
          <w:trHeight w:val="2825"/>
        </w:trPr>
        <w:tc>
          <w:tcPr>
            <w:tcBorders/>
            <w:tcW w:w="8677" w:type="dxa"/>
            <w:vAlign w:val="top"/>
            <w:textDirection w:val="lrTb"/>
            <w:noWrap w:val="false"/>
          </w:tcPr>
          <w:p>
            <w:pPr>
              <w:pStyle w:val="666"/>
              <w:pBdr/>
              <w:spacing w:line="400" w:lineRule="exact"/>
              <w:ind w:firstLine="480"/>
              <w:rPr>
                <w:sz w:val="24"/>
              </w:rPr>
            </w:pPr>
            <w:r>
              <w:rPr>
                <w:sz w:val="24"/>
              </w:rPr>
              <w:t xml:space="preserve">1</w:t>
            </w:r>
            <w:r>
              <w:rPr>
                <w:rFonts w:hAnsi="仿宋_GB2312"/>
                <w:sz w:val="24"/>
              </w:rPr>
              <w:t xml:space="preserve">．开展清洁能源材料和器件性能参数准确测量方法研究，推进光伏、风电等清洁能源发电、储能及并网控制计量测试技术的研究和应用。</w:t>
            </w:r>
            <w:r>
              <w:rPr>
                <w:sz w:val="24"/>
              </w:rPr>
            </w:r>
            <w:r>
              <w:rPr>
                <w:sz w:val="24"/>
              </w:rPr>
            </w:r>
          </w:p>
          <w:p>
            <w:pPr>
              <w:pStyle w:val="666"/>
              <w:pBdr/>
              <w:spacing w:line="400" w:lineRule="exact"/>
              <w:ind w:firstLine="480"/>
              <w:rPr>
                <w:sz w:val="24"/>
              </w:rPr>
            </w:pPr>
            <w:r>
              <w:rPr>
                <w:sz w:val="24"/>
              </w:rPr>
              <w:t xml:space="preserve">2</w:t>
            </w:r>
            <w:r>
              <w:rPr>
                <w:rFonts w:hAnsi="仿宋_GB2312"/>
                <w:sz w:val="24"/>
              </w:rPr>
              <w:t xml:space="preserve">．开展煤气层高精度计量测试技术研发及应用。</w:t>
            </w:r>
            <w:r>
              <w:rPr>
                <w:sz w:val="24"/>
              </w:rPr>
            </w:r>
            <w:r>
              <w:rPr>
                <w:sz w:val="24"/>
              </w:rPr>
            </w:r>
          </w:p>
          <w:p>
            <w:pPr>
              <w:pStyle w:val="666"/>
              <w:pBdr/>
              <w:spacing w:line="400" w:lineRule="exact"/>
              <w:ind w:firstLine="480"/>
              <w:rPr>
                <w:sz w:val="24"/>
              </w:rPr>
            </w:pPr>
            <w:r>
              <w:rPr>
                <w:sz w:val="24"/>
              </w:rPr>
              <w:t xml:space="preserve">3</w:t>
            </w:r>
            <w:r>
              <w:rPr>
                <w:rFonts w:hAnsi="仿宋_GB2312"/>
                <w:sz w:val="24"/>
              </w:rPr>
              <w:t xml:space="preserve">．推进综合能源智能感知、采集和监测技术的研究和应用，研究建立综合能源资源计量数据公共服务平台。</w:t>
            </w:r>
            <w:r>
              <w:rPr>
                <w:sz w:val="24"/>
              </w:rPr>
            </w:r>
            <w:r>
              <w:rPr>
                <w:sz w:val="24"/>
              </w:rPr>
            </w:r>
          </w:p>
          <w:p>
            <w:pPr>
              <w:pStyle w:val="666"/>
              <w:pBdr/>
              <w:spacing w:line="400" w:lineRule="exact"/>
              <w:ind/>
              <w:rPr>
                <w:sz w:val="24"/>
              </w:rPr>
            </w:pPr>
            <w:r>
              <w:rPr>
                <w:sz w:val="24"/>
              </w:rPr>
              <w:t xml:space="preserve">    4</w:t>
            </w:r>
            <w:r>
              <w:rPr>
                <w:rFonts w:hAnsi="仿宋_GB2312"/>
                <w:sz w:val="24"/>
              </w:rPr>
              <w:t xml:space="preserve">．开展煤炭清洁高效利用产业计量测试技术研究，重点围绕燃煤发电、现代煤化工、煤炭加工废弃物资源化利用三个方面开展相关检测技术应用研究。</w:t>
            </w:r>
            <w:r>
              <w:rPr>
                <w:sz w:val="24"/>
              </w:rPr>
            </w:r>
            <w:r>
              <w:rPr>
                <w:sz w:val="24"/>
              </w:rPr>
            </w:r>
          </w:p>
          <w:p>
            <w:pPr>
              <w:pStyle w:val="666"/>
              <w:pBdr/>
              <w:spacing w:line="400" w:lineRule="exact"/>
              <w:ind/>
              <w:rPr>
                <w:sz w:val="21"/>
              </w:rPr>
            </w:pPr>
            <w:r>
              <w:rPr>
                <w:sz w:val="24"/>
              </w:rPr>
              <w:t xml:space="preserve">    5</w:t>
            </w:r>
            <w:r>
              <w:rPr>
                <w:rFonts w:hAnsi="仿宋_GB2312"/>
                <w:sz w:val="24"/>
              </w:rPr>
              <w:t xml:space="preserve">．开展煤炭等大宗物料、天然气输送系统在用计量仪器、环境空气中颗粒污染物（</w:t>
            </w:r>
            <w:r>
              <w:rPr>
                <w:sz w:val="24"/>
              </w:rPr>
              <w:t xml:space="preserve">PM2.5</w:t>
            </w:r>
            <w:r>
              <w:rPr>
                <w:rFonts w:hAnsi="仿宋_GB2312"/>
                <w:sz w:val="24"/>
              </w:rPr>
              <w:t xml:space="preserve">、</w:t>
            </w:r>
            <w:r>
              <w:rPr>
                <w:sz w:val="24"/>
              </w:rPr>
              <w:t xml:space="preserve">PM10</w:t>
            </w:r>
            <w:r>
              <w:rPr>
                <w:rFonts w:hAnsi="仿宋_GB2312"/>
                <w:sz w:val="24"/>
              </w:rPr>
              <w:t xml:space="preserve">）自动监测仪器的在线计量器具现场检定校准方法的研究和应用。</w:t>
            </w:r>
            <w:r>
              <w:rPr>
                <w:sz w:val="21"/>
              </w:rPr>
            </w:r>
            <w:r>
              <w:rPr>
                <w:sz w:val="21"/>
              </w:rPr>
            </w:r>
          </w:p>
        </w:tc>
      </w:tr>
    </w:tbl>
    <w:p>
      <w:pPr>
        <w:pStyle w:val="666"/>
        <w:pBdr/>
        <w:spacing w:line="100" w:lineRule="exact"/>
        <w:ind w:firstLine="640"/>
        <w:rPr>
          <w:rFonts w:hint="eastAsia"/>
          <w:szCs w:val="32"/>
        </w:rPr>
      </w:pPr>
      <w:r>
        <w:rPr>
          <w:rFonts w:hint="eastAsia"/>
          <w:szCs w:val="32"/>
        </w:rPr>
      </w:r>
      <w:r>
        <w:rPr>
          <w:rFonts w:hint="eastAsia"/>
          <w:szCs w:val="32"/>
        </w:rPr>
      </w:r>
    </w:p>
    <w:p>
      <w:pPr>
        <w:pStyle w:val="666"/>
        <w:pBdr/>
        <w:spacing w:line="100" w:lineRule="exact"/>
        <w:ind w:firstLine="640"/>
        <w:rPr>
          <w:rFonts w:hint="eastAsia"/>
          <w:szCs w:val="32"/>
        </w:rPr>
      </w:pPr>
      <w:r>
        <w:rPr>
          <w:rFonts w:hint="eastAsia"/>
          <w:szCs w:val="32"/>
        </w:rPr>
      </w:r>
      <w:r>
        <w:rPr>
          <w:rFonts w:hint="eastAsia"/>
          <w:szCs w:val="32"/>
        </w:rPr>
      </w:r>
    </w:p>
    <w:p>
      <w:pPr>
        <w:pStyle w:val="666"/>
        <w:pBdr/>
        <w:spacing w:line="560" w:lineRule="exact"/>
        <w:ind w:firstLine="640"/>
        <w:rPr>
          <w:b/>
          <w:szCs w:val="32"/>
        </w:rPr>
      </w:pPr>
      <w:r>
        <w:rPr>
          <w:szCs w:val="32"/>
        </w:rPr>
        <w:t xml:space="preserve">6</w:t>
      </w:r>
      <w:r>
        <w:rPr>
          <w:rFonts w:hAnsi="仿宋_GB2312"/>
          <w:szCs w:val="32"/>
        </w:rPr>
        <w:t xml:space="preserve">．</w:t>
      </w:r>
      <w:r>
        <w:rPr>
          <w:rFonts w:hAnsi="仿宋_GB2312"/>
          <w:b/>
          <w:szCs w:val="32"/>
        </w:rPr>
        <w:t xml:space="preserve">服务装备制造与质量产业提升。</w:t>
      </w:r>
      <w:r>
        <w:rPr>
          <w:rFonts w:hAnsi="仿宋_GB2312"/>
          <w:szCs w:val="32"/>
        </w:rPr>
        <w:t xml:space="preserve">实施煤机、法兰装备制造业计量能力提升工程，建立保障我市优势制造业发展急需的高精度、高稳定性的计量标准。在我市传统法兰产业、战略性新型产业和</w:t>
      </w:r>
      <w:r>
        <w:rPr>
          <w:rFonts w:hAnsi="仿宋_GB2312"/>
          <w:spacing w:val="-4"/>
          <w:szCs w:val="32"/>
        </w:rPr>
        <w:t xml:space="preserve">现代服务业等领域，建设</w:t>
      </w:r>
      <w:r>
        <w:rPr>
          <w:spacing w:val="-4"/>
          <w:szCs w:val="32"/>
        </w:rPr>
        <w:t xml:space="preserve">1</w:t>
      </w:r>
      <w:r>
        <w:rPr>
          <w:rFonts w:hAnsi="仿宋_GB2312"/>
          <w:spacing w:val="-4"/>
          <w:szCs w:val="32"/>
        </w:rPr>
        <w:t xml:space="preserve">个国家级产业计量测试中心、</w:t>
      </w:r>
      <w:r>
        <w:rPr>
          <w:spacing w:val="-4"/>
          <w:szCs w:val="32"/>
        </w:rPr>
        <w:t xml:space="preserve">1</w:t>
      </w:r>
      <w:r>
        <w:rPr>
          <w:rFonts w:hAnsi="仿宋_GB2312"/>
          <w:spacing w:val="-4"/>
          <w:szCs w:val="32"/>
        </w:rPr>
        <w:t xml:space="preserve">个省级产业计量测试中心，开展产业计量基础能力提升活动，实施工业强基计量支撑计划，充分发挥计量对基础零部件、基础材料、基础工艺的技术支撑和保障作用，加强工业制造、电力生产与应用、化</w:t>
      </w:r>
      <w:r>
        <w:rPr>
          <w:rFonts w:hAnsi="仿宋_GB2312"/>
          <w:szCs w:val="32"/>
        </w:rPr>
        <w:t xml:space="preserve">工等领域计量检定、校准、测试和检测数据的采集、管理和应用。（责任单位：市市场监管局、市工信局）</w:t>
      </w:r>
      <w:r>
        <w:rPr>
          <w:b/>
          <w:szCs w:val="32"/>
        </w:rPr>
      </w:r>
      <w:r>
        <w:rPr>
          <w:b/>
          <w:szCs w:val="32"/>
        </w:rPr>
      </w:r>
    </w:p>
    <w:tbl>
      <w:tblPr>
        <w:tblW w:w="86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610"/>
      </w:tblGrid>
      <w:tr>
        <w:trPr>
          <w:trHeight w:val="405"/>
        </w:trPr>
        <w:tc>
          <w:tcPr>
            <w:tcBorders/>
            <w:tcW w:w="8610" w:type="dxa"/>
            <w:vAlign w:val="center"/>
            <w:textDirection w:val="lrTb"/>
            <w:noWrap w:val="false"/>
          </w:tcPr>
          <w:p>
            <w:pPr>
              <w:pStyle w:val="666"/>
              <w:pBdr/>
              <w:spacing w:line="360" w:lineRule="exact"/>
              <w:ind/>
              <w:jc w:val="center"/>
              <w:rPr>
                <w:b/>
                <w:sz w:val="28"/>
                <w:szCs w:val="28"/>
              </w:rPr>
            </w:pPr>
            <w:r>
              <w:rPr>
                <w:rFonts w:hAnsi="仿宋_GB2312"/>
                <w:b/>
                <w:sz w:val="28"/>
                <w:szCs w:val="28"/>
              </w:rPr>
              <w:t xml:space="preserve">专栏</w:t>
            </w:r>
            <w:r>
              <w:rPr>
                <w:b/>
                <w:sz w:val="28"/>
                <w:szCs w:val="28"/>
              </w:rPr>
              <w:t xml:space="preserve">5  </w:t>
            </w:r>
            <w:r>
              <w:rPr>
                <w:rFonts w:hAnsi="仿宋_GB2312"/>
                <w:b/>
                <w:sz w:val="28"/>
                <w:szCs w:val="28"/>
              </w:rPr>
              <w:t xml:space="preserve">计量支撑装备制造</w:t>
            </w:r>
            <w:r>
              <w:rPr>
                <w:b/>
                <w:sz w:val="28"/>
                <w:szCs w:val="28"/>
              </w:rPr>
            </w:r>
            <w:r>
              <w:rPr>
                <w:b/>
                <w:sz w:val="28"/>
                <w:szCs w:val="28"/>
              </w:rPr>
            </w:r>
          </w:p>
        </w:tc>
      </w:tr>
      <w:tr>
        <w:trPr>
          <w:trHeight w:val="2825"/>
        </w:trPr>
        <w:tc>
          <w:tcPr>
            <w:tcBorders/>
            <w:tcW w:w="8610" w:type="dxa"/>
            <w:vAlign w:val="top"/>
            <w:textDirection w:val="lrTb"/>
            <w:noWrap w:val="false"/>
          </w:tcPr>
          <w:p>
            <w:pPr>
              <w:pStyle w:val="666"/>
              <w:pBdr/>
              <w:spacing w:line="360" w:lineRule="exact"/>
              <w:ind/>
              <w:rPr>
                <w:sz w:val="24"/>
              </w:rPr>
            </w:pPr>
            <w:r>
              <w:rPr>
                <w:sz w:val="21"/>
              </w:rPr>
              <w:t xml:space="preserve">   </w:t>
            </w:r>
            <w:r>
              <w:rPr>
                <w:sz w:val="24"/>
              </w:rPr>
              <w:t xml:space="preserve"> 1</w:t>
            </w:r>
            <w:r>
              <w:rPr>
                <w:rFonts w:hAnsi="仿宋_GB2312"/>
                <w:sz w:val="24"/>
              </w:rPr>
              <w:t xml:space="preserve">．开展有色金属领域计量测试技术研究，重点围绕法兰锻造产业、煤机制造产业所需有色金属原材料及合金材料开展关键计量测试技术研究和性能评价。</w:t>
            </w:r>
            <w:r>
              <w:rPr>
                <w:sz w:val="24"/>
              </w:rPr>
            </w:r>
            <w:r>
              <w:rPr>
                <w:sz w:val="24"/>
              </w:rPr>
            </w:r>
          </w:p>
          <w:p>
            <w:pPr>
              <w:pStyle w:val="666"/>
              <w:pBdr/>
              <w:spacing w:line="360" w:lineRule="exact"/>
              <w:ind w:firstLine="420"/>
              <w:rPr>
                <w:sz w:val="24"/>
              </w:rPr>
            </w:pPr>
            <w:r>
              <w:rPr>
                <w:sz w:val="24"/>
              </w:rPr>
              <w:t xml:space="preserve">2</w:t>
            </w:r>
            <w:r>
              <w:rPr>
                <w:rFonts w:hAnsi="仿宋_GB2312"/>
                <w:sz w:val="24"/>
              </w:rPr>
              <w:t xml:space="preserve">．开展半导体材料、半导体装备领域计量测试技术研究，围绕半导体产业应用、集成电路等行业关键计量测试技术进行突破研究。</w:t>
            </w:r>
            <w:r>
              <w:rPr>
                <w:sz w:val="24"/>
              </w:rPr>
            </w:r>
            <w:r>
              <w:rPr>
                <w:sz w:val="24"/>
              </w:rPr>
            </w:r>
          </w:p>
          <w:p>
            <w:pPr>
              <w:pStyle w:val="666"/>
              <w:pBdr/>
              <w:spacing w:line="360" w:lineRule="exact"/>
              <w:ind w:firstLine="420"/>
              <w:rPr>
                <w:sz w:val="24"/>
              </w:rPr>
            </w:pPr>
            <w:r>
              <w:rPr>
                <w:sz w:val="24"/>
              </w:rPr>
              <w:t xml:space="preserve">3</w:t>
            </w:r>
            <w:r>
              <w:rPr>
                <w:rFonts w:hAnsi="仿宋_GB2312"/>
                <w:sz w:val="24"/>
              </w:rPr>
              <w:t xml:space="preserve">．开展生产工艺过程控制、产品质量升级的相关计量技术支撑，重点围绕炉温均匀性测试、产品振动测试分析、化学元素分析、无损检测、焊接试验等领域提升计量测试精度。</w:t>
            </w:r>
            <w:r>
              <w:rPr>
                <w:sz w:val="24"/>
              </w:rPr>
            </w:r>
            <w:r>
              <w:rPr>
                <w:sz w:val="24"/>
              </w:rPr>
            </w:r>
          </w:p>
          <w:p>
            <w:pPr>
              <w:pStyle w:val="666"/>
              <w:pBdr/>
              <w:spacing w:line="360" w:lineRule="exact"/>
              <w:ind w:firstLine="420"/>
              <w:rPr>
                <w:sz w:val="21"/>
              </w:rPr>
            </w:pPr>
            <w:r>
              <w:rPr>
                <w:sz w:val="24"/>
              </w:rPr>
              <w:t xml:space="preserve">4</w:t>
            </w:r>
            <w:r>
              <w:rPr>
                <w:rFonts w:hAnsi="仿宋_GB2312"/>
                <w:sz w:val="24"/>
              </w:rPr>
              <w:t xml:space="preserve">．开展基础零部件领域计量测试技术研究。围绕铸锻件、液压件、密封件、紧固件、链传动系统等基础零部件特性量及结构成分含量等计量测试技术研究和应用。</w:t>
            </w:r>
            <w:r>
              <w:rPr>
                <w:sz w:val="21"/>
              </w:rPr>
            </w:r>
            <w:r>
              <w:rPr>
                <w:sz w:val="21"/>
              </w:rPr>
            </w:r>
          </w:p>
        </w:tc>
      </w:tr>
    </w:tbl>
    <w:p>
      <w:pPr>
        <w:pStyle w:val="666"/>
        <w:pBdr/>
        <w:spacing w:line="560" w:lineRule="exact"/>
        <w:ind w:firstLine="640"/>
        <w:rPr>
          <w:b/>
          <w:szCs w:val="32"/>
        </w:rPr>
      </w:pPr>
      <w:r>
        <w:rPr>
          <w:szCs w:val="32"/>
        </w:rPr>
        <w:t xml:space="preserve">7</w:t>
      </w:r>
      <w:r>
        <w:rPr>
          <w:rFonts w:hAnsi="仿宋_GB2312"/>
          <w:szCs w:val="32"/>
        </w:rPr>
        <w:t xml:space="preserve">．</w:t>
      </w:r>
      <w:r>
        <w:rPr>
          <w:rFonts w:hAnsi="仿宋_GB2312"/>
          <w:b/>
          <w:szCs w:val="32"/>
        </w:rPr>
        <w:t xml:space="preserve">服务碳达峰碳中和工作。</w:t>
      </w:r>
      <w:r>
        <w:rPr>
          <w:rFonts w:hAnsi="仿宋_GB2312"/>
          <w:szCs w:val="32"/>
        </w:rPr>
        <w:t xml:space="preserve">开展碳排放关键计量测试，运用碳计量和碳计量技术支撑能力，开展城市能源资源计量建设示范活动。依托山西省</w:t>
      </w:r>
      <w:r>
        <w:rPr>
          <w:rFonts w:hint="eastAsia" w:hAnsi="仿宋_GB2312"/>
          <w:szCs w:val="32"/>
        </w:rPr>
        <w:t xml:space="preserve">标准计量技术研究院</w:t>
      </w:r>
      <w:r>
        <w:rPr>
          <w:rFonts w:hAnsi="仿宋_GB2312"/>
          <w:szCs w:val="32"/>
        </w:rPr>
        <w:t xml:space="preserve">，构建忻州能源计量信息平台体系。加强能效标识计量检测技术规范研究成果的推广应用，推进全市用能单位能耗在线监测工作，促进用能单位节能降耗、提质增效。加大能源资源和生态环境计量数据的分析和利用，助力生态环境治理，进一步提高能源计量动态监控能力，研究计量测试技术在碳足迹、碳追踪中的应用。（责任单位：市能源局、市市场监管局、市生态环境局）</w:t>
      </w:r>
      <w:r>
        <w:rPr>
          <w:b/>
          <w:szCs w:val="32"/>
        </w:rPr>
      </w:r>
      <w:r>
        <w:rPr>
          <w:b/>
          <w:szCs w:val="32"/>
        </w:rPr>
      </w:r>
    </w:p>
    <w:tbl>
      <w:tblPr>
        <w:tblW w:w="87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748"/>
      </w:tblGrid>
      <w:tr>
        <w:trPr>
          <w:trHeight w:val="525"/>
        </w:trPr>
        <w:tc>
          <w:tcPr>
            <w:tcBorders/>
            <w:tcW w:w="8748" w:type="dxa"/>
            <w:vAlign w:val="center"/>
            <w:textDirection w:val="lrTb"/>
            <w:noWrap w:val="false"/>
          </w:tcPr>
          <w:p>
            <w:pPr>
              <w:pStyle w:val="666"/>
              <w:pBdr/>
              <w:spacing w:line="360" w:lineRule="exact"/>
              <w:ind/>
              <w:jc w:val="center"/>
              <w:rPr>
                <w:b/>
                <w:sz w:val="28"/>
                <w:szCs w:val="28"/>
              </w:rPr>
            </w:pPr>
            <w:r>
              <w:rPr>
                <w:rFonts w:hAnsi="仿宋_GB2312"/>
                <w:b/>
                <w:sz w:val="28"/>
                <w:szCs w:val="28"/>
              </w:rPr>
              <w:t xml:space="preserve">专栏</w:t>
            </w:r>
            <w:r>
              <w:rPr>
                <w:b/>
                <w:sz w:val="28"/>
                <w:szCs w:val="28"/>
              </w:rPr>
              <w:t xml:space="preserve"> 6  </w:t>
            </w:r>
            <w:r>
              <w:rPr>
                <w:rFonts w:hAnsi="仿宋_GB2312"/>
                <w:b/>
                <w:sz w:val="28"/>
                <w:szCs w:val="28"/>
              </w:rPr>
              <w:t xml:space="preserve">计量服务碳达峰碳中和发展</w:t>
            </w:r>
            <w:r>
              <w:rPr>
                <w:b/>
                <w:sz w:val="28"/>
                <w:szCs w:val="28"/>
              </w:rPr>
            </w:r>
            <w:r>
              <w:rPr>
                <w:b/>
                <w:sz w:val="28"/>
                <w:szCs w:val="28"/>
              </w:rPr>
            </w:r>
          </w:p>
        </w:tc>
      </w:tr>
      <w:tr>
        <w:trPr>
          <w:trHeight w:val="2721"/>
        </w:trPr>
        <w:tc>
          <w:tcPr>
            <w:tcBorders/>
            <w:tcW w:w="8748" w:type="dxa"/>
            <w:vAlign w:val="center"/>
            <w:textDirection w:val="lrTb"/>
            <w:noWrap w:val="false"/>
          </w:tcPr>
          <w:p>
            <w:pPr>
              <w:pStyle w:val="666"/>
              <w:pBdr/>
              <w:spacing w:line="360" w:lineRule="exact"/>
              <w:ind w:firstLine="480"/>
              <w:rPr>
                <w:sz w:val="24"/>
              </w:rPr>
            </w:pPr>
            <w:r>
              <w:rPr>
                <w:sz w:val="24"/>
              </w:rPr>
              <w:t xml:space="preserve">1</w:t>
            </w:r>
            <w:r>
              <w:rPr>
                <w:rFonts w:hAnsi="仿宋_GB2312"/>
                <w:sz w:val="24"/>
              </w:rPr>
              <w:t xml:space="preserve">．建立我市碳排放计量体系，提升碳排放计量监测能力和水平。开展碳市场基础标准、重点领域碳减排标准体系和碳排放在线计量测试技术研究。</w:t>
            </w:r>
            <w:r>
              <w:rPr>
                <w:sz w:val="24"/>
              </w:rPr>
            </w:r>
            <w:r>
              <w:rPr>
                <w:sz w:val="24"/>
              </w:rPr>
            </w:r>
          </w:p>
          <w:p>
            <w:pPr>
              <w:pStyle w:val="666"/>
              <w:pBdr/>
              <w:spacing w:line="360" w:lineRule="exact"/>
              <w:ind w:firstLine="420"/>
              <w:rPr>
                <w:sz w:val="24"/>
              </w:rPr>
            </w:pPr>
            <w:r>
              <w:rPr>
                <w:sz w:val="24"/>
              </w:rPr>
              <w:t xml:space="preserve">2</w:t>
            </w:r>
            <w:r>
              <w:rPr>
                <w:rFonts w:hAnsi="仿宋_GB2312"/>
                <w:sz w:val="24"/>
              </w:rPr>
              <w:t xml:space="preserve">．开展生态环境监测领域计量测试技术的研究，开展环境自动监测系统现场在线检定校准方法研究，健全完善典型环境污染物和温室气体量值传递溯源体系。</w:t>
            </w:r>
            <w:r>
              <w:rPr>
                <w:sz w:val="24"/>
              </w:rPr>
            </w:r>
            <w:r>
              <w:rPr>
                <w:sz w:val="24"/>
              </w:rPr>
            </w:r>
          </w:p>
          <w:p>
            <w:pPr>
              <w:pStyle w:val="666"/>
              <w:pBdr/>
              <w:spacing w:line="360" w:lineRule="exact"/>
              <w:ind w:firstLine="420"/>
              <w:rPr>
                <w:sz w:val="24"/>
              </w:rPr>
            </w:pPr>
            <w:r>
              <w:rPr>
                <w:sz w:val="24"/>
              </w:rPr>
              <w:t xml:space="preserve">3</w:t>
            </w:r>
            <w:r>
              <w:rPr>
                <w:rFonts w:hAnsi="仿宋_GB2312"/>
                <w:sz w:val="24"/>
              </w:rPr>
              <w:t xml:space="preserve">．开展污水处理、垃圾焚烧发电等行业计量测试技术研究。</w:t>
            </w:r>
            <w:r>
              <w:rPr>
                <w:sz w:val="24"/>
              </w:rPr>
            </w:r>
            <w:r>
              <w:rPr>
                <w:sz w:val="24"/>
              </w:rPr>
            </w:r>
          </w:p>
          <w:p>
            <w:pPr>
              <w:pStyle w:val="666"/>
              <w:pBdr/>
              <w:spacing w:line="360" w:lineRule="exact"/>
              <w:ind w:firstLine="420"/>
              <w:rPr>
                <w:sz w:val="24"/>
              </w:rPr>
            </w:pPr>
            <w:r>
              <w:rPr>
                <w:sz w:val="24"/>
              </w:rPr>
              <w:t xml:space="preserve">4</w:t>
            </w:r>
            <w:r>
              <w:rPr>
                <w:rFonts w:hAnsi="仿宋_GB2312"/>
                <w:sz w:val="24"/>
              </w:rPr>
              <w:t xml:space="preserve">．继续推进我市重点用能单位能耗在线监测系统建设，建立能源资源计量数据采集、监测和分析系统。</w:t>
            </w:r>
            <w:r>
              <w:rPr>
                <w:sz w:val="24"/>
              </w:rPr>
            </w:r>
            <w:r>
              <w:rPr>
                <w:sz w:val="24"/>
              </w:rPr>
            </w:r>
          </w:p>
          <w:p>
            <w:pPr>
              <w:pStyle w:val="666"/>
              <w:pBdr/>
              <w:spacing w:line="360" w:lineRule="exact"/>
              <w:ind w:firstLine="420"/>
              <w:rPr>
                <w:sz w:val="21"/>
                <w:szCs w:val="21"/>
              </w:rPr>
            </w:pPr>
            <w:r>
              <w:rPr>
                <w:sz w:val="24"/>
              </w:rPr>
              <w:t xml:space="preserve">5</w:t>
            </w:r>
            <w:r>
              <w:rPr>
                <w:rFonts w:hAnsi="仿宋_GB2312"/>
                <w:sz w:val="24"/>
              </w:rPr>
              <w:t xml:space="preserve">．开展自然资源节约利用和调查评价，加强能耗、取用水、环境等指标计量监测。</w:t>
            </w:r>
            <w:r>
              <w:rPr>
                <w:sz w:val="21"/>
                <w:szCs w:val="21"/>
              </w:rPr>
            </w:r>
            <w:r>
              <w:rPr>
                <w:sz w:val="21"/>
                <w:szCs w:val="21"/>
              </w:rPr>
            </w:r>
          </w:p>
        </w:tc>
      </w:tr>
    </w:tbl>
    <w:p>
      <w:pPr>
        <w:pStyle w:val="666"/>
        <w:pBdr/>
        <w:spacing w:line="560" w:lineRule="exact"/>
        <w:ind w:firstLine="640"/>
        <w:rPr>
          <w:rFonts w:hint="eastAsia" w:hAnsi="仿宋_GB2312"/>
          <w:szCs w:val="32"/>
        </w:rPr>
      </w:pPr>
      <w:r>
        <w:rPr>
          <w:szCs w:val="32"/>
        </w:rPr>
        <w:t xml:space="preserve">8</w:t>
      </w:r>
      <w:r>
        <w:rPr>
          <w:rFonts w:hAnsi="仿宋_GB2312"/>
          <w:szCs w:val="32"/>
        </w:rPr>
        <w:t xml:space="preserve">．</w:t>
      </w:r>
      <w:r>
        <w:rPr>
          <w:rFonts w:hAnsi="仿宋_GB2312"/>
          <w:b/>
          <w:szCs w:val="32"/>
        </w:rPr>
        <w:t xml:space="preserve">服务人工智能与智能制造产业发展。</w:t>
      </w:r>
      <w:r>
        <w:rPr>
          <w:rFonts w:hAnsi="仿宋_GB2312"/>
          <w:szCs w:val="32"/>
        </w:rPr>
        <w:t xml:space="preserve">开展工业机器人机械系统、控制系统、驱动系统等关键计量测试技术研究和应用，提升智能工业控制系统整体测量性能。建立适用于智能制造、智能交通、智能安防等领域的计量测试平台，提升数据和知识协同驱动的计量测试能力。（责任单位：市市场监管局、市工信局、市交通局）</w:t>
      </w:r>
      <w:r>
        <w:rPr>
          <w:rFonts w:hint="eastAsia" w:hAnsi="仿宋_GB2312"/>
          <w:szCs w:val="32"/>
        </w:rPr>
      </w:r>
      <w:r>
        <w:rPr>
          <w:rFonts w:hint="eastAsia" w:hAnsi="仿宋_GB2312"/>
          <w:szCs w:val="32"/>
        </w:rPr>
      </w:r>
    </w:p>
    <w:p>
      <w:pPr>
        <w:pStyle w:val="666"/>
        <w:pBdr/>
        <w:spacing w:line="80" w:lineRule="exact"/>
        <w:ind w:firstLine="643"/>
        <w:rPr>
          <w:b/>
          <w:szCs w:val="32"/>
        </w:rPr>
      </w:pPr>
      <w:r>
        <w:rPr>
          <w:b/>
          <w:szCs w:val="32"/>
        </w:rPr>
      </w:r>
      <w:r>
        <w:rPr>
          <w:b/>
          <w:szCs w:val="32"/>
        </w:rPr>
      </w:r>
    </w:p>
    <w:tbl>
      <w:tblPr>
        <w:tblW w:w="864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8647"/>
      </w:tblGrid>
      <w:tr>
        <w:trPr>
          <w:trHeight w:val="480"/>
        </w:trPr>
        <w:tc>
          <w:tcPr>
            <w:tcBorders/>
            <w:tcW w:w="8647" w:type="dxa"/>
            <w:vAlign w:val="top"/>
            <w:textDirection w:val="lrTb"/>
            <w:noWrap w:val="false"/>
          </w:tcPr>
          <w:p>
            <w:pPr>
              <w:pStyle w:val="666"/>
              <w:pBdr/>
              <w:spacing w:line="420" w:lineRule="exact"/>
              <w:ind w:firstLine="1687"/>
              <w:rPr>
                <w:b/>
                <w:sz w:val="28"/>
                <w:szCs w:val="28"/>
              </w:rPr>
            </w:pPr>
            <w:r>
              <w:rPr>
                <w:rFonts w:hAnsi="仿宋_GB2312"/>
                <w:b/>
                <w:sz w:val="28"/>
                <w:szCs w:val="28"/>
              </w:rPr>
              <w:t xml:space="preserve">专栏</w:t>
            </w:r>
            <w:r>
              <w:rPr>
                <w:b/>
                <w:sz w:val="28"/>
                <w:szCs w:val="28"/>
              </w:rPr>
              <w:t xml:space="preserve">7  </w:t>
            </w:r>
            <w:r>
              <w:rPr>
                <w:rFonts w:hAnsi="仿宋_GB2312"/>
                <w:b/>
                <w:sz w:val="28"/>
                <w:szCs w:val="28"/>
              </w:rPr>
              <w:t xml:space="preserve">计量服务人工智能和智能产业发展</w:t>
            </w:r>
            <w:r>
              <w:rPr>
                <w:b/>
                <w:sz w:val="28"/>
                <w:szCs w:val="28"/>
              </w:rPr>
            </w:r>
            <w:r>
              <w:rPr>
                <w:b/>
                <w:sz w:val="28"/>
                <w:szCs w:val="28"/>
              </w:rPr>
            </w:r>
          </w:p>
        </w:tc>
      </w:tr>
      <w:tr>
        <w:trPr>
          <w:trHeight w:val="2520"/>
        </w:trPr>
        <w:tc>
          <w:tcPr>
            <w:tcBorders/>
            <w:tcW w:w="8647" w:type="dxa"/>
            <w:vAlign w:val="top"/>
            <w:textDirection w:val="lrTb"/>
            <w:noWrap w:val="false"/>
          </w:tcPr>
          <w:p>
            <w:pPr>
              <w:pStyle w:val="666"/>
              <w:pBdr/>
              <w:spacing w:line="420" w:lineRule="exact"/>
              <w:ind/>
              <w:rPr>
                <w:sz w:val="24"/>
              </w:rPr>
            </w:pPr>
            <w:r>
              <w:rPr>
                <w:sz w:val="21"/>
              </w:rPr>
              <w:t xml:space="preserve">    </w:t>
            </w:r>
            <w:r>
              <w:rPr>
                <w:sz w:val="24"/>
              </w:rPr>
              <w:t xml:space="preserve">1</w:t>
            </w:r>
            <w:r>
              <w:rPr>
                <w:rFonts w:hAnsi="仿宋_GB2312"/>
                <w:sz w:val="24"/>
              </w:rPr>
              <w:t xml:space="preserve">．开展智能制造计量关键技术攻关，针对工业现场多位智能感知、装备与生产过程数字应用、质量在线精密检测、标准测试数据采集建立等共性技术中的计量问题开展研究。</w:t>
            </w:r>
            <w:r>
              <w:rPr>
                <w:sz w:val="24"/>
              </w:rPr>
            </w:r>
            <w:r>
              <w:rPr>
                <w:sz w:val="24"/>
              </w:rPr>
            </w:r>
          </w:p>
          <w:p>
            <w:pPr>
              <w:pStyle w:val="666"/>
              <w:pBdr/>
              <w:spacing w:line="420" w:lineRule="exact"/>
              <w:ind w:firstLine="420"/>
              <w:rPr>
                <w:sz w:val="24"/>
              </w:rPr>
            </w:pPr>
            <w:r>
              <w:rPr>
                <w:sz w:val="24"/>
              </w:rPr>
              <w:t xml:space="preserve">2</w:t>
            </w:r>
            <w:r>
              <w:rPr>
                <w:rFonts w:hAnsi="仿宋_GB2312"/>
                <w:sz w:val="24"/>
              </w:rPr>
              <w:t xml:space="preserve">．开展无人驾驶、自动驾驶、智慧矿山等领域关键计量技术的应用，重点推进空间导航定位、远程时间、工况现场定位等地量测试技术的研究应用。</w:t>
            </w:r>
            <w:r>
              <w:rPr>
                <w:sz w:val="24"/>
              </w:rPr>
            </w:r>
            <w:r>
              <w:rPr>
                <w:sz w:val="24"/>
              </w:rPr>
            </w:r>
          </w:p>
          <w:p>
            <w:pPr>
              <w:pStyle w:val="666"/>
              <w:pBdr/>
              <w:spacing w:line="420" w:lineRule="exact"/>
              <w:ind w:firstLine="420"/>
              <w:rPr>
                <w:sz w:val="24"/>
              </w:rPr>
            </w:pPr>
            <w:r>
              <w:rPr>
                <w:sz w:val="24"/>
              </w:rPr>
              <w:t xml:space="preserve">3</w:t>
            </w:r>
            <w:r>
              <w:rPr>
                <w:rFonts w:hAnsi="仿宋_GB2312"/>
                <w:sz w:val="24"/>
              </w:rPr>
              <w:t xml:space="preserve">．开展人工智能在计量测试过程中的应用研究，研究数字化非接触精密测量、在线无损检测、激光跟踪测量等智能检测装备和仪器的应用。</w:t>
            </w:r>
            <w:r>
              <w:rPr>
                <w:sz w:val="24"/>
              </w:rPr>
            </w:r>
            <w:r>
              <w:rPr>
                <w:sz w:val="24"/>
              </w:rPr>
            </w:r>
          </w:p>
          <w:p>
            <w:pPr>
              <w:pStyle w:val="666"/>
              <w:pBdr/>
              <w:spacing w:line="420" w:lineRule="exact"/>
              <w:ind w:firstLine="420"/>
              <w:rPr>
                <w:sz w:val="21"/>
              </w:rPr>
            </w:pPr>
            <w:r>
              <w:rPr>
                <w:sz w:val="24"/>
              </w:rPr>
              <w:t xml:space="preserve">4</w:t>
            </w:r>
            <w:r>
              <w:rPr>
                <w:rFonts w:hAnsi="仿宋_GB2312"/>
                <w:sz w:val="24"/>
              </w:rPr>
              <w:t xml:space="preserve">．开展智能制造装备中相关计量器具的研究和应用，研究触觉传感器、高分辩率视觉传感器、成分在线检测仪器等计量具器及测试方法的研究和应用。</w:t>
            </w:r>
            <w:r>
              <w:rPr>
                <w:sz w:val="21"/>
              </w:rPr>
            </w:r>
            <w:r>
              <w:rPr>
                <w:sz w:val="21"/>
              </w:rPr>
            </w:r>
          </w:p>
        </w:tc>
      </w:tr>
    </w:tbl>
    <w:p>
      <w:pPr>
        <w:pStyle w:val="666"/>
        <w:pBdr/>
        <w:spacing w:line="80" w:lineRule="exact"/>
        <w:ind w:firstLine="640"/>
        <w:rPr>
          <w:rFonts w:hint="eastAsia"/>
          <w:szCs w:val="32"/>
        </w:rPr>
      </w:pPr>
      <w:r>
        <w:rPr>
          <w:rFonts w:hint="eastAsia"/>
          <w:szCs w:val="32"/>
        </w:rPr>
      </w:r>
      <w:r>
        <w:rPr>
          <w:rFonts w:hint="eastAsia"/>
          <w:szCs w:val="32"/>
        </w:rPr>
      </w:r>
    </w:p>
    <w:p>
      <w:pPr>
        <w:pStyle w:val="666"/>
        <w:pBdr/>
        <w:spacing w:line="560" w:lineRule="exact"/>
        <w:ind w:firstLine="640"/>
        <w:rPr>
          <w:b/>
          <w:szCs w:val="32"/>
        </w:rPr>
      </w:pPr>
      <w:r>
        <w:rPr>
          <w:szCs w:val="32"/>
        </w:rPr>
        <w:t xml:space="preserve">9</w:t>
      </w:r>
      <w:r>
        <w:rPr>
          <w:rFonts w:hAnsi="仿宋_GB2312"/>
          <w:szCs w:val="32"/>
        </w:rPr>
        <w:t xml:space="preserve">．</w:t>
      </w:r>
      <w:r>
        <w:rPr>
          <w:rFonts w:hAnsi="仿宋_GB2312"/>
          <w:b/>
          <w:szCs w:val="32"/>
        </w:rPr>
        <w:t xml:space="preserve">服务基础设施建设。</w:t>
      </w:r>
      <w:r>
        <w:rPr>
          <w:rFonts w:hAnsi="仿宋_GB2312"/>
          <w:szCs w:val="32"/>
        </w:rPr>
        <w:t xml:space="preserve">发挥计量技术支撑优势，围绕建设太忻一体化经济区，在完善交通系统、能源供给系统和新型产业基础设施建设等重大工程、重要网络线路、重大装备计量需求开展交通一体化综合检测、监测设备和测试技术研究，开展计量技术攻关，不断提升计量服务基础设施建设的技术保障能力。（责任单位：市市场监管局、市交通局、市工信局）</w:t>
      </w:r>
      <w:r>
        <w:rPr>
          <w:szCs w:val="32"/>
        </w:rPr>
        <w:t xml:space="preserve">   </w:t>
      </w:r>
      <w:r>
        <w:rPr>
          <w:b/>
          <w:szCs w:val="32"/>
        </w:rPr>
      </w:r>
      <w:r>
        <w:rPr>
          <w:b/>
          <w:szCs w:val="32"/>
        </w:rPr>
      </w:r>
    </w:p>
    <w:p>
      <w:pPr>
        <w:pStyle w:val="666"/>
        <w:pBdr/>
        <w:spacing w:line="560" w:lineRule="exact"/>
        <w:ind w:firstLine="640"/>
        <w:rPr>
          <w:b/>
          <w:szCs w:val="32"/>
        </w:rPr>
      </w:pPr>
      <w:r>
        <w:rPr>
          <w:szCs w:val="32"/>
        </w:rPr>
        <w:t xml:space="preserve">10</w:t>
      </w:r>
      <w:r>
        <w:rPr>
          <w:rFonts w:hAnsi="仿宋_GB2312"/>
          <w:szCs w:val="32"/>
        </w:rPr>
        <w:t xml:space="preserve">．</w:t>
      </w:r>
      <w:r>
        <w:rPr>
          <w:rFonts w:hAnsi="仿宋_GB2312"/>
          <w:b/>
          <w:szCs w:val="32"/>
        </w:rPr>
        <w:t xml:space="preserve">服务高端服务业发展。</w:t>
      </w:r>
      <w:r>
        <w:rPr>
          <w:rFonts w:hAnsi="仿宋_GB2312"/>
          <w:szCs w:val="32"/>
        </w:rPr>
        <w:t xml:space="preserve">充分发挥计量的技术支撑和保障作用，围绕疾病防控、诊断试剂、高端医疗器械、康复医疗设备等开展关键计量测试技术研究和应用，加强计量对现代物流业、电子商务、服务外包等行业的支持力度，加强体育场馆、体育健身设备设施等方面计量技术研究和测试服务。（责任单位：市市场监管局、市卫健委、市体育局）</w:t>
      </w:r>
      <w:r>
        <w:rPr>
          <w:b/>
          <w:szCs w:val="32"/>
        </w:rPr>
      </w:r>
      <w:r>
        <w:rPr>
          <w:b/>
          <w:szCs w:val="32"/>
        </w:rPr>
      </w:r>
    </w:p>
    <w:p>
      <w:pPr>
        <w:pStyle w:val="666"/>
        <w:pBdr/>
        <w:spacing w:line="560" w:lineRule="exact"/>
        <w:ind w:firstLine="640"/>
        <w:rPr>
          <w:b/>
          <w:szCs w:val="32"/>
        </w:rPr>
      </w:pPr>
      <w:r>
        <w:rPr>
          <w:szCs w:val="32"/>
        </w:rPr>
        <w:t xml:space="preserve">11</w:t>
      </w:r>
      <w:r>
        <w:rPr>
          <w:rFonts w:hAnsi="仿宋_GB2312"/>
          <w:szCs w:val="32"/>
        </w:rPr>
        <w:t xml:space="preserve">．</w:t>
      </w:r>
      <w:r>
        <w:rPr>
          <w:rFonts w:hAnsi="仿宋_GB2312"/>
          <w:b/>
          <w:szCs w:val="32"/>
        </w:rPr>
        <w:t xml:space="preserve">服务</w:t>
      </w:r>
      <w:r>
        <w:rPr>
          <w:b/>
          <w:szCs w:val="32"/>
        </w:rPr>
        <w:t xml:space="preserve">“</w:t>
      </w:r>
      <w:r>
        <w:rPr>
          <w:rFonts w:hAnsi="仿宋_GB2312"/>
          <w:b/>
          <w:szCs w:val="32"/>
        </w:rPr>
        <w:t xml:space="preserve">智慧</w:t>
      </w:r>
      <w:r>
        <w:rPr>
          <w:b/>
          <w:szCs w:val="32"/>
        </w:rPr>
        <w:t xml:space="preserve">”</w:t>
      </w:r>
      <w:r>
        <w:rPr>
          <w:rFonts w:hAnsi="仿宋_GB2312"/>
          <w:b/>
          <w:szCs w:val="32"/>
        </w:rPr>
        <w:t xml:space="preserve">城市建设。</w:t>
      </w:r>
      <w:r>
        <w:rPr>
          <w:rFonts w:hAnsi="仿宋_GB2312"/>
          <w:szCs w:val="32"/>
        </w:rPr>
        <w:t xml:space="preserve">加强计量与人工智能技术、数字技术以及产业数字化联动，促进数字产业化和产业数字化，强化互联网与物联网领域计量测试服务，开展机器人机械系统、控制系统、驱动系统等关键计量测试技术研究和应用，推进计量检测大数据采集，拓展</w:t>
      </w:r>
      <w:r>
        <w:rPr>
          <w:szCs w:val="32"/>
        </w:rPr>
        <w:t xml:space="preserve">“</w:t>
      </w:r>
      <w:r>
        <w:rPr>
          <w:rFonts w:hAnsi="仿宋_GB2312"/>
          <w:szCs w:val="32"/>
        </w:rPr>
        <w:t xml:space="preserve">互联网</w:t>
      </w:r>
      <w:r>
        <w:rPr>
          <w:szCs w:val="32"/>
        </w:rPr>
        <w:t xml:space="preserve">+</w:t>
      </w:r>
      <w:r>
        <w:rPr>
          <w:rFonts w:hAnsi="仿宋_GB2312"/>
          <w:szCs w:val="32"/>
        </w:rPr>
        <w:t xml:space="preserve">计量</w:t>
      </w:r>
      <w:r>
        <w:rPr>
          <w:szCs w:val="32"/>
        </w:rPr>
        <w:t xml:space="preserve">”</w:t>
      </w:r>
      <w:r>
        <w:rPr>
          <w:rFonts w:hAnsi="仿宋_GB2312"/>
          <w:szCs w:val="32"/>
        </w:rPr>
        <w:t xml:space="preserve">数字平台的市场应用，全面提升物联网感知装备质量水平，高水平服务</w:t>
      </w:r>
      <w:r>
        <w:rPr>
          <w:szCs w:val="32"/>
        </w:rPr>
        <w:t xml:space="preserve">“</w:t>
      </w:r>
      <w:r>
        <w:rPr>
          <w:rFonts w:hAnsi="仿宋_GB2312"/>
          <w:szCs w:val="32"/>
        </w:rPr>
        <w:t xml:space="preserve">智慧</w:t>
      </w:r>
      <w:r>
        <w:rPr>
          <w:szCs w:val="32"/>
        </w:rPr>
        <w:t xml:space="preserve">”</w:t>
      </w:r>
      <w:r>
        <w:rPr>
          <w:rFonts w:hAnsi="仿宋_GB2312"/>
          <w:szCs w:val="32"/>
        </w:rPr>
        <w:t xml:space="preserve">城市建设。（责任单位：市工信局、市市场监管局）</w:t>
      </w:r>
      <w:r>
        <w:rPr>
          <w:b/>
          <w:szCs w:val="32"/>
        </w:rPr>
      </w:r>
      <w:r>
        <w:rPr>
          <w:b/>
          <w:szCs w:val="32"/>
        </w:rPr>
      </w:r>
    </w:p>
    <w:p>
      <w:pPr>
        <w:pStyle w:val="666"/>
        <w:pBdr/>
        <w:spacing w:line="560" w:lineRule="exact"/>
        <w:ind w:firstLine="480"/>
        <w:rPr>
          <w:rFonts w:eastAsia="楷体_GB2312"/>
          <w:szCs w:val="32"/>
        </w:rPr>
      </w:pPr>
      <w:r>
        <w:rPr>
          <w:rFonts w:hAnsi="楷体_GB2312" w:eastAsia="楷体_GB2312"/>
          <w:szCs w:val="32"/>
        </w:rPr>
        <w:t xml:space="preserve">（三）加强计量能力建设，赋能高质量发展</w:t>
      </w:r>
      <w:r>
        <w:rPr>
          <w:rFonts w:eastAsia="楷体_GB2312"/>
          <w:szCs w:val="32"/>
        </w:rPr>
      </w:r>
      <w:r>
        <w:rPr>
          <w:rFonts w:eastAsia="楷体_GB2312"/>
          <w:szCs w:val="32"/>
        </w:rPr>
      </w:r>
    </w:p>
    <w:p>
      <w:pPr>
        <w:pStyle w:val="666"/>
        <w:pBdr/>
        <w:spacing w:line="560" w:lineRule="exact"/>
        <w:ind w:firstLine="640"/>
        <w:rPr>
          <w:szCs w:val="32"/>
        </w:rPr>
      </w:pPr>
      <w:r>
        <w:rPr>
          <w:szCs w:val="32"/>
        </w:rPr>
        <w:t xml:space="preserve">12</w:t>
      </w:r>
      <w:r>
        <w:rPr>
          <w:rFonts w:hAnsi="仿宋_GB2312"/>
          <w:szCs w:val="32"/>
        </w:rPr>
        <w:t xml:space="preserve">．</w:t>
      </w:r>
      <w:r>
        <w:rPr>
          <w:rFonts w:hAnsi="仿宋_GB2312"/>
          <w:b/>
          <w:szCs w:val="32"/>
        </w:rPr>
        <w:t xml:space="preserve">合理构建区域发展计量支撑体系。</w:t>
      </w:r>
      <w:r>
        <w:rPr>
          <w:rFonts w:hAnsi="仿宋_GB2312"/>
          <w:szCs w:val="32"/>
        </w:rPr>
        <w:t xml:space="preserve">根据山西省确定的区域发展计量技术保障能力建设重点，结合本区域内发展主体功能区定位，分别制订构建区域发展计量支撑体系方案，完善量传溯源体系。</w:t>
      </w:r>
      <w:r>
        <w:rPr>
          <w:szCs w:val="32"/>
        </w:rPr>
      </w:r>
      <w:r>
        <w:rPr>
          <w:szCs w:val="32"/>
        </w:rPr>
      </w:r>
    </w:p>
    <w:p>
      <w:pPr>
        <w:pStyle w:val="666"/>
        <w:pBdr/>
        <w:spacing w:line="560" w:lineRule="exact"/>
        <w:ind w:firstLine="640"/>
        <w:rPr>
          <w:color w:val="000000"/>
          <w:szCs w:val="32"/>
        </w:rPr>
      </w:pPr>
      <w:r>
        <w:rPr>
          <w:rFonts w:hAnsi="仿宋_GB2312"/>
          <w:color w:val="000000"/>
          <w:szCs w:val="32"/>
        </w:rPr>
        <w:t xml:space="preserve">市级法定计量技术机构：重点加强适应本地区经济社会发展和强制检定需要的社会公用计量标准建设，加强本地区民生和能源资源利用等领域量传溯源能力建设，满足同级计量行政部门履行法定职责的要求。加强符合本地区产业特点的计量检定校准能力建设和产业计量创新能力建设，因地制宜建立具有本地区优势的产业计量测试中心。</w:t>
      </w:r>
      <w:r>
        <w:rPr>
          <w:color w:val="000000"/>
          <w:szCs w:val="32"/>
        </w:rPr>
      </w:r>
      <w:r>
        <w:rPr>
          <w:color w:val="000000"/>
          <w:szCs w:val="32"/>
        </w:rPr>
      </w:r>
    </w:p>
    <w:p>
      <w:pPr>
        <w:pStyle w:val="666"/>
        <w:pBdr/>
        <w:spacing w:line="560" w:lineRule="exact"/>
        <w:ind w:firstLine="640"/>
        <w:rPr>
          <w:szCs w:val="32"/>
        </w:rPr>
      </w:pPr>
      <w:r>
        <w:rPr>
          <w:rFonts w:hAnsi="仿宋_GB2312"/>
          <w:color w:val="000000"/>
          <w:szCs w:val="32"/>
        </w:rPr>
        <w:t xml:space="preserve">县级法定计量技术机构：立足量大面广、与群众日常生活关系密切的加油机、压力表、</w:t>
      </w:r>
      <w:r>
        <w:rPr>
          <w:color w:val="000000"/>
          <w:szCs w:val="32"/>
        </w:rPr>
        <w:t xml:space="preserve">“</w:t>
      </w:r>
      <w:r>
        <w:rPr>
          <w:rFonts w:hAnsi="仿宋_GB2312"/>
          <w:color w:val="000000"/>
          <w:szCs w:val="32"/>
        </w:rPr>
        <w:t xml:space="preserve">民用四表</w:t>
      </w:r>
      <w:r>
        <w:rPr>
          <w:color w:val="000000"/>
          <w:szCs w:val="32"/>
        </w:rPr>
        <w:t xml:space="preserve">”</w:t>
      </w:r>
      <w:r>
        <w:rPr>
          <w:rFonts w:hAnsi="仿宋_GB2312"/>
          <w:color w:val="000000"/>
          <w:szCs w:val="32"/>
        </w:rPr>
        <w:t xml:space="preserve">的强制检定工作，满足同级计量行政监管需求。积极建设服务于县域经济、城镇化建设、中小微企业等领域的量传溯源能力，</w:t>
      </w:r>
      <w:r>
        <w:rPr>
          <w:rFonts w:hAnsi="仿宋_GB2312"/>
          <w:szCs w:val="32"/>
        </w:rPr>
        <w:t xml:space="preserve">解决区域发展中提出的计量需求，使计量对区域发展的支撑更加直接有效，计量资源的建设与配置更加科学合理，计量对区域发展的服务更加经济便捷。</w:t>
      </w:r>
      <w:r>
        <w:rPr>
          <w:szCs w:val="32"/>
        </w:rPr>
      </w:r>
      <w:r>
        <w:rPr>
          <w:szCs w:val="32"/>
        </w:rPr>
      </w:r>
    </w:p>
    <w:p>
      <w:pPr>
        <w:pStyle w:val="666"/>
        <w:pBdr/>
        <w:spacing w:line="560" w:lineRule="exact"/>
        <w:ind w:firstLine="640"/>
        <w:rPr>
          <w:szCs w:val="32"/>
        </w:rPr>
      </w:pPr>
      <w:r>
        <w:rPr>
          <w:rFonts w:hAnsi="仿宋_GB2312"/>
          <w:szCs w:val="32"/>
        </w:rPr>
        <w:t xml:space="preserve">专业计量技术机构：重点满足本专业发展需要。</w:t>
      </w:r>
      <w:r>
        <w:rPr>
          <w:szCs w:val="32"/>
        </w:rPr>
      </w:r>
      <w:r>
        <w:rPr>
          <w:szCs w:val="32"/>
        </w:rPr>
      </w:r>
    </w:p>
    <w:p>
      <w:pPr>
        <w:pStyle w:val="666"/>
        <w:pBdr/>
        <w:spacing w:line="560" w:lineRule="exact"/>
        <w:ind w:firstLine="640"/>
        <w:rPr>
          <w:szCs w:val="32"/>
        </w:rPr>
      </w:pPr>
      <w:r>
        <w:rPr>
          <w:rFonts w:hAnsi="仿宋_GB2312"/>
          <w:szCs w:val="32"/>
        </w:rPr>
        <w:t xml:space="preserve">企（事）业计量技术机构：建立企（事）业内部量</w:t>
      </w:r>
      <w:r>
        <w:rPr>
          <w:rFonts w:hint="eastAsia" w:hAnsi="仿宋_GB2312"/>
          <w:szCs w:val="32"/>
        </w:rPr>
        <w:t xml:space="preserve">值</w:t>
      </w:r>
      <w:r>
        <w:rPr>
          <w:rFonts w:hAnsi="仿宋_GB2312"/>
          <w:szCs w:val="32"/>
        </w:rPr>
        <w:t xml:space="preserve">传递所需的最高计量标准，采用先进的计量器具和检测仪器设备，满足生产工艺过程控制、产品质量升级的需要。（责任单位：市市场监管局）　</w:t>
      </w:r>
      <w:r>
        <w:rPr>
          <w:szCs w:val="32"/>
        </w:rPr>
      </w:r>
      <w:r>
        <w:rPr>
          <w:szCs w:val="32"/>
        </w:rPr>
      </w:r>
    </w:p>
    <w:p>
      <w:pPr>
        <w:pStyle w:val="666"/>
        <w:pBdr/>
        <w:spacing w:line="560" w:lineRule="exact"/>
        <w:ind w:firstLine="640"/>
        <w:rPr>
          <w:szCs w:val="32"/>
        </w:rPr>
      </w:pPr>
      <w:r>
        <w:rPr>
          <w:szCs w:val="32"/>
        </w:rPr>
        <w:t xml:space="preserve">13</w:t>
      </w:r>
      <w:r>
        <w:rPr>
          <w:rFonts w:hAnsi="仿宋_GB2312"/>
          <w:szCs w:val="32"/>
        </w:rPr>
        <w:t xml:space="preserve">．</w:t>
      </w:r>
      <w:r>
        <w:rPr>
          <w:rFonts w:hAnsi="仿宋_GB2312"/>
          <w:b/>
          <w:szCs w:val="32"/>
        </w:rPr>
        <w:t xml:space="preserve">加强计量基础保障能力建设。</w:t>
      </w:r>
      <w:r>
        <w:rPr>
          <w:rFonts w:hAnsi="仿宋_GB2312"/>
          <w:szCs w:val="32"/>
        </w:rPr>
        <w:t xml:space="preserve">立足当地经济建设和综合检验检测中心工作的需要，努力做好市、县计量基础设施的改造，持续加强市、县社会公用计量标准建设，争取到</w:t>
      </w:r>
      <w:r>
        <w:rPr>
          <w:szCs w:val="32"/>
        </w:rPr>
        <w:t xml:space="preserve">2025</w:t>
      </w:r>
      <w:r>
        <w:rPr>
          <w:rFonts w:hAnsi="仿宋_GB2312"/>
          <w:szCs w:val="32"/>
        </w:rPr>
        <w:t xml:space="preserve">年完成部分县级综合检验检测中心新实验室的建设和老实验室的改造，到</w:t>
      </w:r>
      <w:r>
        <w:rPr>
          <w:szCs w:val="32"/>
        </w:rPr>
        <w:t xml:space="preserve">2035</w:t>
      </w:r>
      <w:r>
        <w:rPr>
          <w:rFonts w:hAnsi="仿宋_GB2312"/>
          <w:szCs w:val="32"/>
        </w:rPr>
        <w:t xml:space="preserve">年实现所有综合检验检测中心基础设施符合检定校准要求的工作环境。实施计量标准能力提升工程，提升市、县综</w:t>
      </w:r>
      <w:r>
        <w:rPr>
          <w:rFonts w:hint="eastAsia" w:hAnsi="仿宋_GB2312"/>
          <w:szCs w:val="32"/>
        </w:rPr>
        <w:t xml:space="preserve">合</w:t>
      </w:r>
      <w:r>
        <w:rPr>
          <w:rFonts w:hAnsi="仿宋_GB2312"/>
          <w:szCs w:val="32"/>
        </w:rPr>
        <w:t xml:space="preserve">检</w:t>
      </w:r>
      <w:r>
        <w:rPr>
          <w:rFonts w:hint="eastAsia" w:hAnsi="仿宋_GB2312"/>
          <w:szCs w:val="32"/>
        </w:rPr>
        <w:t xml:space="preserve">验检测</w:t>
      </w:r>
      <w:r>
        <w:rPr>
          <w:rFonts w:hAnsi="仿宋_GB2312"/>
          <w:szCs w:val="32"/>
        </w:rPr>
        <w:t xml:space="preserve">中心对高精尖设备的计量溯源能力，加快推进各类计量标准技术改造和升级换代，满足全面推进高质量发展的需求。鼓励企业事业单位根据生产和工艺需求，建立满足实际工作要求的计量标准。（责任单位：各级人民政府）</w:t>
      </w:r>
      <w:r>
        <w:rPr>
          <w:szCs w:val="32"/>
        </w:rPr>
      </w:r>
      <w:r>
        <w:rPr>
          <w:szCs w:val="32"/>
        </w:rPr>
      </w:r>
    </w:p>
    <w:p>
      <w:pPr>
        <w:pStyle w:val="666"/>
        <w:pBdr/>
        <w:spacing w:line="560" w:lineRule="exact"/>
        <w:ind w:firstLine="640"/>
        <w:rPr>
          <w:b/>
          <w:szCs w:val="32"/>
        </w:rPr>
      </w:pPr>
      <w:r>
        <w:rPr>
          <w:szCs w:val="32"/>
        </w:rPr>
        <w:t xml:space="preserve">14</w:t>
      </w:r>
      <w:r>
        <w:rPr>
          <w:rFonts w:hAnsi="仿宋_GB2312"/>
          <w:szCs w:val="32"/>
        </w:rPr>
        <w:t xml:space="preserve">．</w:t>
      </w:r>
      <w:r>
        <w:rPr>
          <w:rFonts w:hAnsi="仿宋_GB2312"/>
          <w:b/>
          <w:szCs w:val="32"/>
        </w:rPr>
        <w:t xml:space="preserve">完善全市计量科技基础服务平台。</w:t>
      </w:r>
      <w:r>
        <w:rPr>
          <w:rFonts w:hAnsi="仿宋_GB2312"/>
          <w:szCs w:val="32"/>
        </w:rPr>
        <w:t xml:space="preserve">以强检工作计量器具</w:t>
      </w:r>
      <w:r>
        <w:rPr>
          <w:szCs w:val="32"/>
        </w:rPr>
        <w:t xml:space="preserve">e-CQS</w:t>
      </w:r>
      <w:r>
        <w:rPr>
          <w:rFonts w:hAnsi="仿宋_GB2312"/>
          <w:szCs w:val="32"/>
        </w:rPr>
        <w:t xml:space="preserve">平台为基础，按照</w:t>
      </w:r>
      <w:r>
        <w:rPr>
          <w:szCs w:val="32"/>
        </w:rPr>
        <w:t xml:space="preserve">“</w:t>
      </w:r>
      <w:r>
        <w:rPr>
          <w:rFonts w:hAnsi="仿宋_GB2312"/>
          <w:szCs w:val="32"/>
        </w:rPr>
        <w:t xml:space="preserve">整合、共享、完善、提高</w:t>
      </w:r>
      <w:r>
        <w:rPr>
          <w:szCs w:val="32"/>
        </w:rPr>
        <w:t xml:space="preserve">”</w:t>
      </w:r>
      <w:r>
        <w:rPr>
          <w:rFonts w:hAnsi="仿宋_GB2312"/>
          <w:szCs w:val="32"/>
        </w:rPr>
        <w:t xml:space="preserve">的要求，突出</w:t>
      </w:r>
      <w:r>
        <w:rPr>
          <w:szCs w:val="32"/>
        </w:rPr>
        <w:t xml:space="preserve">“</w:t>
      </w:r>
      <w:r>
        <w:rPr>
          <w:rFonts w:hAnsi="仿宋_GB2312"/>
          <w:szCs w:val="32"/>
        </w:rPr>
        <w:t xml:space="preserve">以用为主、开放共享</w:t>
      </w:r>
      <w:r>
        <w:rPr>
          <w:szCs w:val="32"/>
        </w:rPr>
        <w:t xml:space="preserve">”</w:t>
      </w:r>
      <w:r>
        <w:rPr>
          <w:rFonts w:hAnsi="仿宋_GB2312"/>
          <w:szCs w:val="32"/>
        </w:rPr>
        <w:t xml:space="preserve">，进一步推进全市计量标准资源共享和省标准物质资源共享平台建设，不断充实全市社会公用计量标准、计量检测机构、计量检测资质等信息。积极</w:t>
      </w:r>
      <w:r>
        <w:rPr>
          <w:rFonts w:hint="eastAsia" w:hAnsi="仿宋_GB2312"/>
          <w:szCs w:val="32"/>
        </w:rPr>
        <w:t xml:space="preserve">与</w:t>
      </w:r>
      <w:r>
        <w:rPr>
          <w:rFonts w:hAnsi="仿宋_GB2312"/>
          <w:szCs w:val="32"/>
        </w:rPr>
        <w:t xml:space="preserve">企业开展计量仪器、设备和数据共享，切实提高服务质量。（责任单位：市市场监管局、市科技局、市工信局）</w:t>
      </w:r>
      <w:r>
        <w:rPr>
          <w:b/>
          <w:szCs w:val="32"/>
        </w:rPr>
      </w:r>
      <w:r>
        <w:rPr>
          <w:b/>
          <w:szCs w:val="32"/>
        </w:rPr>
      </w:r>
    </w:p>
    <w:p>
      <w:pPr>
        <w:pStyle w:val="666"/>
        <w:pBdr/>
        <w:spacing w:line="560" w:lineRule="exact"/>
        <w:ind w:firstLine="640"/>
        <w:rPr>
          <w:b/>
          <w:szCs w:val="32"/>
        </w:rPr>
      </w:pPr>
      <w:r>
        <w:rPr>
          <w:szCs w:val="32"/>
        </w:rPr>
        <w:t xml:space="preserve">15</w:t>
      </w:r>
      <w:r>
        <w:rPr>
          <w:rFonts w:hAnsi="仿宋_GB2312"/>
          <w:szCs w:val="32"/>
        </w:rPr>
        <w:t xml:space="preserve">．</w:t>
      </w:r>
      <w:r>
        <w:rPr>
          <w:rFonts w:hAnsi="仿宋_GB2312"/>
          <w:b/>
          <w:szCs w:val="32"/>
        </w:rPr>
        <w:t xml:space="preserve">加强计量队伍建设。</w:t>
      </w:r>
      <w:r>
        <w:rPr>
          <w:rFonts w:hAnsi="仿宋_GB2312"/>
          <w:szCs w:val="32"/>
        </w:rPr>
        <w:t xml:space="preserve">要不断完善计量人才培养机制，着力培养具有省科技前沿水平的计量专家，加大优秀科技人才引进力度，重视计量标准考核和法定计量检定机构考核国家二级考评员的培养。成立市级计量检定员专业培训基地，加大注册计量师、计量检定人员以及计量管理人员的考核、管理和培训力度。建立计量专家库、支持科技人员开展多层次计量交流合作。（责任单位：市市场监管局、市人社局）</w:t>
      </w:r>
      <w:r>
        <w:rPr>
          <w:b/>
          <w:szCs w:val="32"/>
        </w:rPr>
      </w:r>
      <w:r>
        <w:rPr>
          <w:b/>
          <w:szCs w:val="32"/>
        </w:rPr>
      </w:r>
    </w:p>
    <w:p>
      <w:pPr>
        <w:pStyle w:val="666"/>
        <w:pBdr/>
        <w:spacing w:line="560" w:lineRule="exact"/>
        <w:ind w:firstLine="640"/>
        <w:rPr>
          <w:b/>
          <w:szCs w:val="32"/>
        </w:rPr>
      </w:pPr>
      <w:r>
        <w:rPr>
          <w:szCs w:val="32"/>
        </w:rPr>
        <w:t xml:space="preserve">16</w:t>
      </w:r>
      <w:r>
        <w:rPr>
          <w:rFonts w:hAnsi="仿宋_GB2312"/>
          <w:szCs w:val="32"/>
        </w:rPr>
        <w:t xml:space="preserve">．</w:t>
      </w:r>
      <w:r>
        <w:rPr>
          <w:rFonts w:hAnsi="仿宋_GB2312"/>
          <w:b/>
          <w:szCs w:val="32"/>
        </w:rPr>
        <w:t xml:space="preserve">加强计量交流合作。</w:t>
      </w:r>
      <w:r>
        <w:rPr>
          <w:rFonts w:hAnsi="仿宋_GB2312"/>
          <w:szCs w:val="32"/>
        </w:rPr>
        <w:t xml:space="preserve">围绕太忻一体化经济区建设，加强区域计量协同发展，持续深化计量服务区域合作，建立与其相适应的计量支撑体系，打造区域资源互补、市场信息互通、标准</w:t>
      </w:r>
      <w:r>
        <w:rPr>
          <w:rFonts w:hAnsi="仿宋_GB2312"/>
          <w:spacing w:val="-4"/>
          <w:szCs w:val="32"/>
        </w:rPr>
        <w:t xml:space="preserve">互认，加强与全国各计量技术机构交流合作，积极参加全国各计量技术委员会活动，积极参加国家、大区、省级计量比对，稳步</w:t>
      </w:r>
      <w:r>
        <w:rPr>
          <w:rFonts w:hAnsi="仿宋_GB2312"/>
          <w:szCs w:val="32"/>
        </w:rPr>
        <w:t xml:space="preserve">提升计量检定校准测量能力。（责任单位：市市场监管局）</w:t>
      </w:r>
      <w:r>
        <w:rPr>
          <w:b/>
          <w:szCs w:val="32"/>
        </w:rPr>
      </w:r>
      <w:r>
        <w:rPr>
          <w:b/>
          <w:szCs w:val="32"/>
        </w:rPr>
      </w:r>
    </w:p>
    <w:p>
      <w:pPr>
        <w:pStyle w:val="666"/>
        <w:pBdr/>
        <w:spacing w:line="560" w:lineRule="exact"/>
        <w:ind w:firstLine="480"/>
        <w:rPr>
          <w:szCs w:val="32"/>
        </w:rPr>
      </w:pPr>
      <w:r>
        <w:rPr>
          <w:rFonts w:hAnsi="仿宋_GB2312"/>
          <w:szCs w:val="32"/>
        </w:rPr>
        <w:t xml:space="preserve">（</w:t>
      </w:r>
      <w:r>
        <w:rPr>
          <w:rFonts w:hAnsi="楷体" w:eastAsia="楷体"/>
          <w:szCs w:val="32"/>
        </w:rPr>
        <w:t xml:space="preserve">四）加强计量监督管理，提升计量监管能力</w:t>
      </w:r>
      <w:r>
        <w:rPr>
          <w:szCs w:val="32"/>
        </w:rPr>
      </w:r>
      <w:r>
        <w:rPr>
          <w:szCs w:val="32"/>
        </w:rPr>
      </w:r>
    </w:p>
    <w:p>
      <w:pPr>
        <w:pStyle w:val="666"/>
        <w:pBdr/>
        <w:spacing w:line="560" w:lineRule="exact"/>
        <w:ind w:firstLine="640"/>
        <w:rPr>
          <w:szCs w:val="32"/>
        </w:rPr>
      </w:pPr>
      <w:r>
        <w:rPr>
          <w:szCs w:val="32"/>
        </w:rPr>
        <w:t xml:space="preserve">17</w:t>
      </w:r>
      <w:r>
        <w:rPr>
          <w:rFonts w:hAnsi="仿宋_GB2312"/>
          <w:szCs w:val="32"/>
        </w:rPr>
        <w:t xml:space="preserve">．</w:t>
      </w:r>
      <w:r>
        <w:rPr>
          <w:rFonts w:hAnsi="仿宋_GB2312"/>
          <w:b/>
          <w:szCs w:val="32"/>
        </w:rPr>
        <w:t xml:space="preserve">加强计量监管体系建设。</w:t>
      </w:r>
      <w:r>
        <w:rPr>
          <w:rFonts w:hAnsi="仿宋_GB2312"/>
          <w:szCs w:val="32"/>
        </w:rPr>
        <w:t xml:space="preserve">加强重点管理计量器具制造许可监管，建立计量器具型式批准和制造许可证获证企业档案，完善计量器具强制检定档案信息化管理。完善计量检定机构及检定人员监管机制，规范其计量检定行为。完善部门计量监管机制，加大监管力度。加强计量社会监督，建立计量监督有奖举报制度，推广计量协管员、计量监督员做法，充分发挥新闻舆论、社会团体、人民群众等社会监督作用，不断拓宽计量监督平台和渠道。（责任单位：市场监管局）</w:t>
      </w:r>
      <w:r>
        <w:rPr>
          <w:szCs w:val="32"/>
        </w:rPr>
      </w:r>
      <w:r>
        <w:rPr>
          <w:szCs w:val="32"/>
        </w:rPr>
      </w:r>
    </w:p>
    <w:p>
      <w:pPr>
        <w:pStyle w:val="666"/>
        <w:pBdr/>
        <w:spacing w:line="560" w:lineRule="exact"/>
        <w:ind w:firstLine="640"/>
        <w:rPr>
          <w:szCs w:val="32"/>
        </w:rPr>
      </w:pPr>
      <w:r>
        <w:rPr>
          <w:szCs w:val="32"/>
        </w:rPr>
        <w:t xml:space="preserve">18</w:t>
      </w:r>
      <w:r>
        <w:rPr>
          <w:rFonts w:hAnsi="仿宋_GB2312"/>
          <w:szCs w:val="32"/>
        </w:rPr>
        <w:t xml:space="preserve">．</w:t>
      </w:r>
      <w:r>
        <w:rPr>
          <w:rFonts w:hAnsi="仿宋_GB2312"/>
          <w:b/>
          <w:szCs w:val="32"/>
        </w:rPr>
        <w:t xml:space="preserve">加强能源计量监管工作。</w:t>
      </w:r>
      <w:r>
        <w:rPr>
          <w:rFonts w:hAnsi="仿宋_GB2312"/>
          <w:szCs w:val="32"/>
        </w:rPr>
        <w:t xml:space="preserve">按照</w:t>
      </w:r>
      <w:r>
        <w:rPr>
          <w:rFonts w:hint="eastAsia" w:hAnsi="仿宋_GB2312"/>
          <w:szCs w:val="32"/>
        </w:rPr>
        <w:t xml:space="preserve">省级</w:t>
      </w:r>
      <w:r>
        <w:rPr>
          <w:rFonts w:hAnsi="仿宋_GB2312"/>
          <w:szCs w:val="32"/>
        </w:rPr>
        <w:t xml:space="preserve">要求积极开展能效标识产品计量比对和计量监管。全面开展重点用能单位能源计量审查、能效对标计量诊断等活动，推行计量精细化管理方法和手段，帮助企业实现节能减排目标，建立能源资源计量监管长效机制和能源资源计量数据分析、使用和管理制度。继续推行测量管理体系认证，完善企业计量基础设施建设，引导企业配备智能化、满足互联网要求的计量器具，加强对计量数据的采集、统计、分析，组织开展能源计量技术人员培训。（责任单位：市能源局、市市场监管局、市科技局）</w:t>
      </w:r>
      <w:r>
        <w:rPr>
          <w:szCs w:val="32"/>
        </w:rPr>
      </w:r>
      <w:r>
        <w:rPr>
          <w:szCs w:val="32"/>
        </w:rPr>
      </w:r>
    </w:p>
    <w:p>
      <w:pPr>
        <w:pStyle w:val="666"/>
        <w:pBdr/>
        <w:spacing w:line="560" w:lineRule="exact"/>
        <w:ind w:firstLine="640"/>
        <w:rPr>
          <w:szCs w:val="32"/>
        </w:rPr>
      </w:pPr>
      <w:r>
        <w:rPr>
          <w:szCs w:val="32"/>
        </w:rPr>
        <w:t xml:space="preserve">19</w:t>
      </w:r>
      <w:r>
        <w:rPr>
          <w:rFonts w:hAnsi="仿宋_GB2312"/>
          <w:szCs w:val="32"/>
        </w:rPr>
        <w:t xml:space="preserve">．</w:t>
      </w:r>
      <w:r>
        <w:rPr>
          <w:rFonts w:hAnsi="仿宋_GB2312"/>
          <w:b/>
          <w:szCs w:val="32"/>
        </w:rPr>
        <w:t xml:space="preserve">加强环境监测计量监管工作。</w:t>
      </w:r>
      <w:r>
        <w:rPr>
          <w:rFonts w:hAnsi="仿宋_GB2312"/>
          <w:szCs w:val="32"/>
        </w:rPr>
        <w:t xml:space="preserve">加强现代计量技术手段在环保自动监控系统数据采集中的运用，大力推广运用空气自动监测、污染源自动监控、现场端废气、废水自动化计量监测技术，依法管理环境监测计量器具，提升环境监测和环境保护的能力和水平，进一步加强环保监测设备检测、能效检测计量标准建设，实现区域经济良性循环、可持续健康发展。（责任单位：市生态环境局、市场监管局、市气象局）</w:t>
      </w:r>
      <w:r>
        <w:rPr>
          <w:szCs w:val="32"/>
        </w:rPr>
      </w:r>
      <w:r>
        <w:rPr>
          <w:szCs w:val="32"/>
        </w:rPr>
      </w:r>
    </w:p>
    <w:p>
      <w:pPr>
        <w:pStyle w:val="666"/>
        <w:pBdr/>
        <w:spacing w:line="560" w:lineRule="exact"/>
        <w:ind w:firstLine="640"/>
        <w:rPr>
          <w:b/>
          <w:szCs w:val="32"/>
        </w:rPr>
      </w:pPr>
      <w:r>
        <w:rPr>
          <w:szCs w:val="32"/>
        </w:rPr>
        <w:t xml:space="preserve">20</w:t>
      </w:r>
      <w:r>
        <w:rPr>
          <w:rFonts w:hAnsi="仿宋_GB2312"/>
          <w:szCs w:val="32"/>
        </w:rPr>
        <w:t xml:space="preserve">．</w:t>
      </w:r>
      <w:r>
        <w:rPr>
          <w:rFonts w:hAnsi="仿宋_GB2312"/>
          <w:b/>
          <w:szCs w:val="32"/>
        </w:rPr>
        <w:t xml:space="preserve">加强民生计量监督管理工作。</w:t>
      </w:r>
      <w:r>
        <w:rPr>
          <w:rFonts w:hAnsi="仿宋_GB2312"/>
          <w:szCs w:val="32"/>
        </w:rPr>
        <w:t xml:space="preserve">强化基层民生计量保障能力，围绕食品安全、贸易结算、卫生防护、环境监测等领域的计量监管要求，加强计量器具强制检定能力建设。持续开展对集贸市场、加油（气）站、餐饮业、商店超市和眼镜店等领域的计量专项监督检查，加强对消费者和市场反映强烈的杂粮、面粉、米、调味料、饮料、食用油、化妆品等定量包装商品计量监督检查，开展定量包装商品净含量计量监督专项抽查工作，开展电子计价秤以及与安全相关的计量器具的计量专项整治等工作，分领域、分行业做好计量监管。在定量包装商品生产企业推行</w:t>
      </w:r>
      <w:r>
        <w:rPr>
          <w:rFonts w:hint="eastAsia" w:hAnsi="仿宋_GB2312"/>
          <w:szCs w:val="32"/>
        </w:rPr>
        <w:t xml:space="preserve">诚信计量</w:t>
      </w:r>
      <w:r>
        <w:rPr>
          <w:rFonts w:hAnsi="仿宋_GB2312"/>
          <w:szCs w:val="32"/>
        </w:rPr>
        <w:t xml:space="preserve">自我承诺</w:t>
      </w:r>
      <w:r>
        <w:rPr>
          <w:rFonts w:hint="eastAsia" w:hAnsi="仿宋_GB2312"/>
          <w:szCs w:val="32"/>
        </w:rPr>
        <w:t xml:space="preserve">活动</w:t>
      </w:r>
      <w:r>
        <w:rPr>
          <w:rFonts w:hAnsi="仿宋_GB2312"/>
          <w:szCs w:val="32"/>
        </w:rPr>
        <w:t xml:space="preserve">，落实企业计量主体责任。开展计量风险大排查，建立定期分析评估机制。（责任单位：市市场监管局）</w:t>
      </w:r>
      <w:r>
        <w:rPr>
          <w:b/>
          <w:szCs w:val="32"/>
        </w:rPr>
      </w:r>
      <w:r>
        <w:rPr>
          <w:b/>
          <w:szCs w:val="32"/>
        </w:rPr>
      </w:r>
    </w:p>
    <w:p>
      <w:pPr>
        <w:pStyle w:val="666"/>
        <w:pBdr/>
        <w:spacing w:line="560" w:lineRule="exact"/>
        <w:ind w:firstLine="640"/>
        <w:rPr>
          <w:b/>
          <w:szCs w:val="32"/>
        </w:rPr>
      </w:pPr>
      <w:r>
        <w:rPr>
          <w:szCs w:val="32"/>
        </w:rPr>
        <w:t xml:space="preserve">21</w:t>
      </w:r>
      <w:r>
        <w:rPr>
          <w:rFonts w:hAnsi="仿宋_GB2312"/>
          <w:szCs w:val="32"/>
        </w:rPr>
        <w:t xml:space="preserve">．</w:t>
      </w:r>
      <w:r>
        <w:rPr>
          <w:rFonts w:hAnsi="仿宋_GB2312"/>
          <w:b/>
          <w:szCs w:val="32"/>
        </w:rPr>
        <w:t xml:space="preserve">加强安全计量器具的监督管理工作。</w:t>
      </w:r>
      <w:r>
        <w:rPr>
          <w:rFonts w:hAnsi="仿宋_GB2312"/>
          <w:szCs w:val="32"/>
        </w:rPr>
        <w:t xml:space="preserve">加强对直接涉及生产安全、交通安全、人身安全的计量器具的制造、销售、使用环节的计量监管，重点强化对瓦斯测定器、风速表、一氧化</w:t>
      </w:r>
      <w:r>
        <w:rPr>
          <w:rFonts w:hAnsi="仿宋_GB2312"/>
          <w:spacing w:val="-4"/>
          <w:szCs w:val="32"/>
        </w:rPr>
        <w:t xml:space="preserve">碳检测仪、压力表、压力变送器、液体流量计、气体流量计、可燃报警仪、测速仪、呼吸机等涉及人民生命财产安全计量器具的监</w:t>
      </w:r>
      <w:r>
        <w:rPr>
          <w:rFonts w:hAnsi="仿宋_GB2312"/>
          <w:szCs w:val="32"/>
        </w:rPr>
        <w:t xml:space="preserve">督管理。（责任单位：市市场监管局、市能源局、市卫健委）</w:t>
      </w:r>
      <w:r>
        <w:rPr>
          <w:b/>
          <w:szCs w:val="32"/>
        </w:rPr>
      </w:r>
      <w:r>
        <w:rPr>
          <w:b/>
          <w:szCs w:val="32"/>
        </w:rPr>
      </w:r>
    </w:p>
    <w:p>
      <w:pPr>
        <w:pStyle w:val="666"/>
        <w:pBdr/>
        <w:spacing w:line="560" w:lineRule="exact"/>
        <w:ind w:firstLine="640"/>
        <w:rPr>
          <w:b/>
          <w:szCs w:val="32"/>
        </w:rPr>
      </w:pPr>
      <w:r>
        <w:rPr>
          <w:szCs w:val="32"/>
        </w:rPr>
        <w:t xml:space="preserve">22</w:t>
      </w:r>
      <w:r>
        <w:rPr>
          <w:rFonts w:hAnsi="仿宋_GB2312"/>
          <w:szCs w:val="32"/>
        </w:rPr>
        <w:t xml:space="preserve">．</w:t>
      </w:r>
      <w:r>
        <w:rPr>
          <w:rFonts w:hAnsi="仿宋_GB2312"/>
          <w:b/>
          <w:szCs w:val="32"/>
        </w:rPr>
        <w:t xml:space="preserve">创新智慧计量监管模式。</w:t>
      </w:r>
      <w:r>
        <w:rPr>
          <w:rFonts w:hAnsi="仿宋_GB2312"/>
          <w:szCs w:val="32"/>
        </w:rPr>
        <w:t xml:space="preserve">聚焦数字赋能，充分运用大数据、区块链、人工智能等技术，探索推行以远程监管</w:t>
      </w:r>
      <w:r>
        <w:rPr>
          <w:rFonts w:hint="eastAsia" w:hAnsi="仿宋_GB2312"/>
          <w:szCs w:val="32"/>
        </w:rPr>
        <w:t xml:space="preserve">、</w:t>
      </w:r>
      <w:r>
        <w:rPr>
          <w:rFonts w:hAnsi="仿宋_GB2312"/>
          <w:szCs w:val="32"/>
        </w:rPr>
        <w:t xml:space="preserve">移动监管、预警防控为特征的非现场监管模式，鼓励计量技术机构建立智能计量管理系统，推动设备的自动化、数字化改造，打造智慧计量实验室。推动企业开展计量检测装备的智能化升级改造，提升质量控制和智慧管理水平，服务数字化车间和智能工厂建设。（责任单位：市市场监管局、市科技局）</w:t>
      </w:r>
      <w:r>
        <w:rPr>
          <w:b/>
          <w:szCs w:val="32"/>
        </w:rPr>
      </w:r>
      <w:r>
        <w:rPr>
          <w:b/>
          <w:szCs w:val="32"/>
        </w:rPr>
      </w:r>
    </w:p>
    <w:p>
      <w:pPr>
        <w:pStyle w:val="666"/>
        <w:pBdr/>
        <w:spacing w:line="560" w:lineRule="exact"/>
        <w:ind w:firstLine="640"/>
        <w:rPr>
          <w:b/>
          <w:szCs w:val="32"/>
        </w:rPr>
      </w:pPr>
      <w:r>
        <w:rPr>
          <w:szCs w:val="32"/>
        </w:rPr>
        <w:t xml:space="preserve">23</w:t>
      </w:r>
      <w:r>
        <w:rPr>
          <w:rFonts w:hAnsi="仿宋_GB2312"/>
          <w:szCs w:val="32"/>
        </w:rPr>
        <w:t xml:space="preserve">．</w:t>
      </w:r>
      <w:r>
        <w:rPr>
          <w:rFonts w:hAnsi="仿宋_GB2312"/>
          <w:b/>
          <w:szCs w:val="32"/>
        </w:rPr>
        <w:t xml:space="preserve">推进计量监管制度改革。</w:t>
      </w:r>
      <w:r>
        <w:rPr>
          <w:rFonts w:hAnsi="仿宋_GB2312"/>
          <w:szCs w:val="32"/>
        </w:rPr>
        <w:t xml:space="preserve">深化计量监管制度改革，探索建立智能计量器具实时监控、失准更换和监督抽查相结合的新型监管制度。推动对计量器具、测量软件、测量系统等进行综合计量评价。健全计量比对工作机制和管理模式，有效开展全市计量比对工作。积极推行国家法定计量单位，规范量和单位使用。推动对基础研究和科技</w:t>
      </w:r>
      <w:r>
        <w:rPr>
          <w:rFonts w:hint="eastAsia" w:hAnsi="仿宋_GB2312"/>
          <w:szCs w:val="32"/>
        </w:rPr>
        <w:t xml:space="preserve">攻</w:t>
      </w:r>
      <w:r>
        <w:rPr>
          <w:rFonts w:hAnsi="仿宋_GB2312"/>
          <w:szCs w:val="32"/>
        </w:rPr>
        <w:t xml:space="preserve">关项目量值准确性、可靠性计量评价，对重点工程、重大项</w:t>
      </w:r>
      <w:r>
        <w:rPr>
          <w:rFonts w:hint="eastAsia" w:hAnsi="仿宋_GB2312"/>
          <w:szCs w:val="32"/>
        </w:rPr>
        <w:t xml:space="preserve">目</w:t>
      </w:r>
      <w:r>
        <w:rPr>
          <w:rFonts w:hAnsi="仿宋_GB2312"/>
          <w:szCs w:val="32"/>
        </w:rPr>
        <w:t xml:space="preserve">开展量值保障能力验证。落实行业主管部门和市场主体计量风险管控主体责任，强化计量风险防范意识，有效迅速处理计量突发事件。（责任单位：市市场监管局）</w:t>
      </w:r>
      <w:r>
        <w:rPr>
          <w:b/>
          <w:szCs w:val="32"/>
        </w:rPr>
      </w:r>
      <w:r>
        <w:rPr>
          <w:b/>
          <w:szCs w:val="32"/>
        </w:rPr>
      </w:r>
    </w:p>
    <w:p>
      <w:pPr>
        <w:pStyle w:val="666"/>
        <w:pBdr/>
        <w:spacing w:line="560" w:lineRule="exact"/>
        <w:ind w:firstLine="640"/>
        <w:rPr>
          <w:b/>
          <w:szCs w:val="32"/>
        </w:rPr>
      </w:pPr>
      <w:r>
        <w:rPr>
          <w:szCs w:val="32"/>
        </w:rPr>
        <w:t xml:space="preserve">24</w:t>
      </w:r>
      <w:r>
        <w:rPr>
          <w:rFonts w:hAnsi="仿宋_GB2312"/>
          <w:szCs w:val="32"/>
        </w:rPr>
        <w:t xml:space="preserve">．</w:t>
      </w:r>
      <w:r>
        <w:rPr>
          <w:rFonts w:hAnsi="仿宋_GB2312"/>
          <w:b/>
          <w:szCs w:val="32"/>
        </w:rPr>
        <w:t xml:space="preserve">推进诚信计量分类监管。</w:t>
      </w:r>
      <w:r>
        <w:rPr>
          <w:rFonts w:hAnsi="仿宋_GB2312"/>
          <w:szCs w:val="32"/>
        </w:rPr>
        <w:t xml:space="preserve">建立以经营者自我承诺为主、政府部门推动为辅、社会各界为补充的诚信计量管理模式。在供电、供气、成品油销售、眼镜制配行业等领域树立一批具有示范作用的诚信计量单位，在商业、服务业等领域全面开展诚信计量服务行动，强化市场经营者主体责任，推动经营者开展诚信计量自我承诺，开展诚信计量示范活动。建立完善诚信计量信息公开机制。建立市场主体信用记录，推进计量信用分级分类监管和</w:t>
      </w:r>
      <w:r>
        <w:rPr>
          <w:szCs w:val="32"/>
        </w:rPr>
        <w:t xml:space="preserve">“</w:t>
      </w:r>
      <w:r>
        <w:rPr>
          <w:rFonts w:hAnsi="仿宋_GB2312"/>
          <w:szCs w:val="32"/>
        </w:rPr>
        <w:t xml:space="preserve">双随机、一公开</w:t>
      </w:r>
      <w:r>
        <w:rPr>
          <w:szCs w:val="32"/>
        </w:rPr>
        <w:t xml:space="preserve">”</w:t>
      </w:r>
      <w:r>
        <w:rPr>
          <w:rFonts w:hAnsi="仿宋_GB2312"/>
          <w:szCs w:val="32"/>
        </w:rPr>
        <w:t xml:space="preserve">监督检查落实。（责任单位：市市场监管局）</w:t>
      </w:r>
      <w:r>
        <w:rPr>
          <w:b/>
          <w:szCs w:val="32"/>
        </w:rPr>
      </w:r>
      <w:r>
        <w:rPr>
          <w:b/>
          <w:szCs w:val="32"/>
        </w:rPr>
      </w:r>
    </w:p>
    <w:p>
      <w:pPr>
        <w:pStyle w:val="666"/>
        <w:pBdr/>
        <w:spacing w:line="560" w:lineRule="exact"/>
        <w:ind w:firstLine="640"/>
        <w:rPr>
          <w:b/>
          <w:szCs w:val="32"/>
        </w:rPr>
      </w:pPr>
      <w:r>
        <w:rPr>
          <w:szCs w:val="32"/>
        </w:rPr>
        <w:t xml:space="preserve">25</w:t>
      </w:r>
      <w:r>
        <w:rPr>
          <w:rFonts w:hAnsi="仿宋_GB2312"/>
          <w:szCs w:val="32"/>
        </w:rPr>
        <w:t xml:space="preserve">．</w:t>
      </w:r>
      <w:r>
        <w:rPr>
          <w:rFonts w:hAnsi="仿宋_GB2312"/>
          <w:b/>
          <w:szCs w:val="32"/>
        </w:rPr>
        <w:t xml:space="preserve">加强计量执法体系建设。</w:t>
      </w:r>
      <w:r>
        <w:rPr>
          <w:rFonts w:hAnsi="仿宋_GB2312"/>
          <w:szCs w:val="32"/>
        </w:rPr>
        <w:t xml:space="preserve">加强执法协作，建立查处重大计量违法案件快速反应机制、执法联动机制和计量违法举报奖励制度。加强计量作弊防控技术和查处技术学习，严厉打击计量作弊、缺斤短两、伪造数据、出具虚假计量证书和报告的</w:t>
      </w:r>
      <w:r>
        <w:rPr>
          <w:rFonts w:hAnsi="仿宋_GB2312"/>
          <w:spacing w:val="-4"/>
          <w:szCs w:val="32"/>
        </w:rPr>
        <w:t xml:space="preserve">违法行为。加强计量业务监管</w:t>
      </w:r>
      <w:r>
        <w:rPr>
          <w:rFonts w:hint="eastAsia" w:hAnsi="仿宋_GB2312"/>
          <w:spacing w:val="-4"/>
          <w:szCs w:val="32"/>
        </w:rPr>
        <w:t xml:space="preserve">与</w:t>
      </w:r>
      <w:r>
        <w:rPr>
          <w:rFonts w:hAnsi="仿宋_GB2312"/>
          <w:spacing w:val="-4"/>
          <w:szCs w:val="32"/>
        </w:rPr>
        <w:t xml:space="preserve">综合执法的衔接，加快信息共享，提升执法效率，加强计量执法队伍建设，提升计量执法装备水平，做好行政执法与刑事司法衔接。（责任单位：市市场监管局）</w:t>
      </w:r>
      <w:r>
        <w:rPr>
          <w:b/>
          <w:szCs w:val="32"/>
        </w:rPr>
      </w:r>
      <w:r>
        <w:rPr>
          <w:b/>
          <w:szCs w:val="32"/>
        </w:rPr>
      </w:r>
    </w:p>
    <w:p>
      <w:pPr>
        <w:pStyle w:val="666"/>
        <w:pBdr/>
        <w:spacing w:line="560" w:lineRule="exact"/>
        <w:ind w:firstLine="640"/>
        <w:rPr>
          <w:rFonts w:eastAsia="黑体"/>
          <w:szCs w:val="32"/>
        </w:rPr>
      </w:pPr>
      <w:r>
        <w:rPr>
          <w:rFonts w:hAnsi="黑体" w:eastAsia="黑体"/>
          <w:szCs w:val="32"/>
        </w:rPr>
        <w:t xml:space="preserve">三、保障措施</w:t>
      </w:r>
      <w:r>
        <w:rPr>
          <w:rFonts w:eastAsia="黑体"/>
          <w:szCs w:val="32"/>
        </w:rPr>
      </w:r>
      <w:r>
        <w:rPr>
          <w:rFonts w:eastAsia="黑体"/>
          <w:szCs w:val="32"/>
        </w:rPr>
      </w:r>
    </w:p>
    <w:p>
      <w:pPr>
        <w:pStyle w:val="666"/>
        <w:pBdr/>
        <w:spacing w:line="560" w:lineRule="exact"/>
        <w:ind w:firstLine="640"/>
        <w:rPr>
          <w:rFonts w:eastAsia="楷体"/>
          <w:b/>
          <w:szCs w:val="32"/>
        </w:rPr>
      </w:pPr>
      <w:r>
        <w:rPr>
          <w:rFonts w:hAnsi="楷体_GB2312" w:eastAsia="楷体_GB2312"/>
          <w:szCs w:val="32"/>
        </w:rPr>
        <w:t xml:space="preserve">（一）加强组织领导</w:t>
      </w:r>
      <w:r>
        <w:rPr>
          <w:rFonts w:eastAsia="楷体"/>
          <w:b/>
          <w:szCs w:val="32"/>
        </w:rPr>
      </w:r>
      <w:r>
        <w:rPr>
          <w:rFonts w:eastAsia="楷体"/>
          <w:b/>
          <w:szCs w:val="32"/>
        </w:rPr>
      </w:r>
    </w:p>
    <w:p>
      <w:pPr>
        <w:pStyle w:val="666"/>
        <w:pBdr/>
        <w:spacing w:line="560" w:lineRule="exact"/>
        <w:ind w:firstLine="640"/>
        <w:rPr>
          <w:szCs w:val="32"/>
        </w:rPr>
      </w:pPr>
      <w:r>
        <w:rPr>
          <w:rFonts w:hAnsi="仿宋_GB2312"/>
          <w:szCs w:val="32"/>
        </w:rPr>
        <w:t xml:space="preserve">各县（市、区）人民政府</w:t>
      </w:r>
      <w:r>
        <w:rPr>
          <w:rFonts w:hint="eastAsia" w:hAnsi="仿宋_GB2312"/>
          <w:szCs w:val="32"/>
        </w:rPr>
        <w:t xml:space="preserve">、</w:t>
      </w:r>
      <w:r>
        <w:rPr>
          <w:rFonts w:hAnsi="仿宋_GB2312"/>
          <w:szCs w:val="32"/>
        </w:rPr>
        <w:t xml:space="preserve">忻州经济开发区管委会</w:t>
      </w:r>
      <w:r>
        <w:rPr>
          <w:rFonts w:hint="eastAsia" w:hAnsi="仿宋_GB2312"/>
          <w:szCs w:val="32"/>
        </w:rPr>
        <w:t xml:space="preserve">、</w:t>
      </w:r>
      <w:r>
        <w:rPr>
          <w:rFonts w:hAnsi="仿宋_GB2312"/>
          <w:szCs w:val="32"/>
        </w:rPr>
        <w:t xml:space="preserve">五台山风景名胜区管委会要高度重视计量工作，把计量发展规划纳入国民经济和社会发展规划，及时研究制定支持计量发展的政策措施。要按照计量量传溯源体系的特点和要求，整体规划计量发展目标，合理布局本地区计量发展重点，建立完善的计量服务与保障体系。各部门、各行业、各单位要按照《意见》要求，组织制定具体实施方案，分解细化目标，落实相关责任，确保各项任务</w:t>
      </w:r>
      <w:r>
        <w:rPr>
          <w:rFonts w:hint="eastAsia" w:hAnsi="仿宋_GB2312"/>
          <w:szCs w:val="32"/>
        </w:rPr>
        <w:t xml:space="preserve">落实</w:t>
      </w:r>
      <w:r>
        <w:rPr>
          <w:rFonts w:hAnsi="仿宋_GB2312"/>
          <w:szCs w:val="32"/>
        </w:rPr>
        <w:t xml:space="preserve">。</w:t>
      </w:r>
      <w:r>
        <w:rPr>
          <w:szCs w:val="32"/>
        </w:rPr>
        <w:t xml:space="preserve">   </w:t>
      </w:r>
      <w:r>
        <w:rPr>
          <w:szCs w:val="32"/>
        </w:rPr>
      </w:r>
    </w:p>
    <w:p>
      <w:pPr>
        <w:pStyle w:val="666"/>
        <w:pBdr/>
        <w:spacing w:line="560" w:lineRule="exact"/>
        <w:ind w:firstLine="640"/>
        <w:rPr>
          <w:rFonts w:eastAsia="楷体_GB2312"/>
          <w:szCs w:val="32"/>
        </w:rPr>
      </w:pPr>
      <w:r>
        <w:rPr>
          <w:rFonts w:hAnsi="楷体_GB2312" w:eastAsia="楷体_GB2312"/>
          <w:szCs w:val="32"/>
        </w:rPr>
        <w:t xml:space="preserve">（二）加大政策支持</w:t>
      </w:r>
      <w:r>
        <w:rPr>
          <w:rFonts w:eastAsia="楷体_GB2312"/>
          <w:szCs w:val="32"/>
        </w:rPr>
      </w:r>
      <w:r>
        <w:rPr>
          <w:rFonts w:eastAsia="楷体_GB2312"/>
          <w:szCs w:val="32"/>
        </w:rPr>
      </w:r>
    </w:p>
    <w:p>
      <w:pPr>
        <w:pStyle w:val="666"/>
        <w:pBdr/>
        <w:spacing w:line="560" w:lineRule="exact"/>
        <w:ind w:firstLine="640"/>
        <w:rPr>
          <w:szCs w:val="32"/>
        </w:rPr>
      </w:pPr>
      <w:r>
        <w:rPr>
          <w:rFonts w:hAnsi="仿宋_GB2312"/>
          <w:szCs w:val="32"/>
        </w:rPr>
        <w:t xml:space="preserve">要建立和完善经费保障机制</w:t>
      </w:r>
      <w:r>
        <w:rPr>
          <w:rFonts w:hint="eastAsia" w:hAnsi="仿宋_GB2312"/>
          <w:szCs w:val="32"/>
        </w:rPr>
        <w:t xml:space="preserve">。</w:t>
      </w:r>
      <w:r>
        <w:rPr>
          <w:rFonts w:hAnsi="仿宋_GB2312"/>
          <w:szCs w:val="32"/>
        </w:rPr>
        <w:t xml:space="preserve">各县（市、区）人民政府、忻州经济开发区管委会</w:t>
      </w:r>
      <w:r>
        <w:rPr>
          <w:rFonts w:hint="eastAsia" w:hAnsi="仿宋_GB2312"/>
          <w:szCs w:val="32"/>
        </w:rPr>
        <w:t xml:space="preserve">、</w:t>
      </w:r>
      <w:r>
        <w:rPr>
          <w:rFonts w:hAnsi="仿宋_GB2312"/>
          <w:szCs w:val="32"/>
        </w:rPr>
        <w:t xml:space="preserve">五台山风景名胜区管委会要增加对公益性计量技术机构的投入，市发改、财政、科技、人社等部门要研究制定相应的价格、投资、财政、科技以及人才支持政策。要增加强制检定所需计量检定设备投入，完善基层计量执法手段，提升计量执法能力和水平。支持开展计量惠民活动，把与人民生活、身体健康、安全密切相关的计量器具的强制检定所需费用逐步纳入财政预算。做好对计量科研项目的支持。</w:t>
      </w:r>
      <w:r>
        <w:rPr>
          <w:szCs w:val="32"/>
        </w:rPr>
      </w:r>
      <w:r>
        <w:rPr>
          <w:szCs w:val="32"/>
        </w:rPr>
      </w:r>
    </w:p>
    <w:p>
      <w:pPr>
        <w:pStyle w:val="666"/>
        <w:pBdr/>
        <w:spacing w:line="560" w:lineRule="exact"/>
        <w:ind w:firstLine="640"/>
        <w:rPr>
          <w:rFonts w:eastAsia="仿宋"/>
          <w:szCs w:val="32"/>
        </w:rPr>
      </w:pPr>
      <w:r>
        <w:rPr>
          <w:rFonts w:hAnsi="楷体_GB2312" w:eastAsia="楷体_GB2312"/>
          <w:szCs w:val="32"/>
        </w:rPr>
        <w:t xml:space="preserve">（三）加强学科和文化建设</w:t>
      </w:r>
      <w:r>
        <w:rPr>
          <w:rFonts w:eastAsia="仿宋"/>
          <w:szCs w:val="32"/>
        </w:rPr>
      </w:r>
      <w:r>
        <w:rPr>
          <w:rFonts w:eastAsia="仿宋"/>
          <w:szCs w:val="32"/>
        </w:rPr>
      </w:r>
    </w:p>
    <w:p>
      <w:pPr>
        <w:pStyle w:val="666"/>
        <w:pBdr/>
        <w:spacing w:line="560" w:lineRule="exact"/>
        <w:ind w:firstLine="640"/>
        <w:rPr>
          <w:szCs w:val="32"/>
        </w:rPr>
      </w:pPr>
      <w:r>
        <w:rPr>
          <w:rFonts w:hAnsi="仿宋_GB2312"/>
          <w:szCs w:val="32"/>
        </w:rPr>
        <w:t xml:space="preserve">加强计量文化建设、科普宣传和人才培训工作，培育计量文化研究及科普基地，发展计量文化产业，利用</w:t>
      </w:r>
      <w:r>
        <w:rPr>
          <w:szCs w:val="32"/>
        </w:rPr>
        <w:t xml:space="preserve">“</w:t>
      </w:r>
      <w:r>
        <w:rPr>
          <w:rFonts w:hAnsi="仿宋_GB2312"/>
          <w:szCs w:val="32"/>
        </w:rPr>
        <w:t xml:space="preserve">世界计量日</w:t>
      </w:r>
      <w:r>
        <w:rPr>
          <w:szCs w:val="32"/>
        </w:rPr>
        <w:t xml:space="preserve">”</w:t>
      </w:r>
      <w:r>
        <w:rPr>
          <w:rFonts w:hint="eastAsia"/>
          <w:szCs w:val="32"/>
        </w:rPr>
        <w:t xml:space="preserve">、</w:t>
      </w:r>
      <w:r>
        <w:rPr>
          <w:szCs w:val="32"/>
        </w:rPr>
        <w:t xml:space="preserve">“</w:t>
      </w:r>
      <w:r>
        <w:rPr>
          <w:rFonts w:hAnsi="仿宋_GB2312"/>
          <w:szCs w:val="32"/>
        </w:rPr>
        <w:t xml:space="preserve">质量月</w:t>
      </w:r>
      <w:r>
        <w:rPr>
          <w:szCs w:val="32"/>
        </w:rPr>
        <w:t xml:space="preserve">”</w:t>
      </w:r>
      <w:r>
        <w:rPr>
          <w:rFonts w:hAnsi="仿宋_GB2312"/>
          <w:szCs w:val="32"/>
        </w:rPr>
        <w:t xml:space="preserve">等重要时间节点，加强对国家法定计量单位及计量科学技术的宣传普及，提高全民计量科学素养。积极开展计量先进典型和榜样树立，增强计量工作者的荣誉感和使命感。</w:t>
      </w:r>
      <w:r>
        <w:rPr>
          <w:szCs w:val="32"/>
        </w:rPr>
      </w:r>
      <w:r>
        <w:rPr>
          <w:szCs w:val="32"/>
        </w:rPr>
      </w:r>
    </w:p>
    <w:p>
      <w:pPr>
        <w:pStyle w:val="666"/>
        <w:pBdr/>
        <w:spacing w:line="560" w:lineRule="exact"/>
        <w:ind w:firstLine="640"/>
        <w:rPr>
          <w:rFonts w:eastAsia="楷体_GB2312"/>
          <w:szCs w:val="32"/>
        </w:rPr>
      </w:pPr>
      <w:r>
        <w:rPr>
          <w:rFonts w:hAnsi="楷体_GB2312" w:eastAsia="楷体_GB2312"/>
          <w:szCs w:val="32"/>
        </w:rPr>
        <w:t xml:space="preserve">（四）加强协调联动</w:t>
      </w:r>
      <w:r>
        <w:rPr>
          <w:rFonts w:eastAsia="楷体_GB2312"/>
          <w:szCs w:val="32"/>
        </w:rPr>
      </w:r>
      <w:r>
        <w:rPr>
          <w:rFonts w:eastAsia="楷体_GB2312"/>
          <w:szCs w:val="32"/>
        </w:rPr>
      </w:r>
    </w:p>
    <w:p>
      <w:pPr>
        <w:pStyle w:val="666"/>
        <w:pBdr/>
        <w:spacing w:line="560" w:lineRule="exact"/>
        <w:ind w:firstLine="640"/>
        <w:rPr>
          <w:szCs w:val="32"/>
        </w:rPr>
      </w:pPr>
      <w:r>
        <w:rPr>
          <w:rFonts w:hAnsi="仿宋_GB2312"/>
          <w:szCs w:val="32"/>
        </w:rPr>
        <w:t xml:space="preserve">加强上下联动和横向协调，统筹推进计量功能布局、政策扶持、应用示范等重点工作。充分发挥学会</w:t>
      </w:r>
      <w:r>
        <w:rPr>
          <w:rFonts w:hint="eastAsia" w:hAnsi="仿宋_GB2312"/>
          <w:szCs w:val="32"/>
        </w:rPr>
        <w:t xml:space="preserve">、</w:t>
      </w:r>
      <w:r>
        <w:rPr>
          <w:rFonts w:hAnsi="仿宋_GB2312"/>
          <w:szCs w:val="32"/>
        </w:rPr>
        <w:t xml:space="preserve">协会、科研院所、高校等单位的优势和作用，聚焦各方资源和力量，努力构建统一协调、运行高效、资源共享、多元共治的计量工作格局。</w:t>
      </w:r>
      <w:r>
        <w:rPr>
          <w:szCs w:val="32"/>
        </w:rPr>
      </w:r>
      <w:r>
        <w:rPr>
          <w:szCs w:val="32"/>
        </w:rPr>
      </w:r>
    </w:p>
    <w:p>
      <w:pPr>
        <w:pStyle w:val="666"/>
        <w:pBdr/>
        <w:spacing w:line="560" w:lineRule="exact"/>
        <w:ind w:firstLine="640"/>
        <w:rPr>
          <w:rFonts w:eastAsia="楷体_GB2312"/>
          <w:szCs w:val="32"/>
        </w:rPr>
      </w:pPr>
      <w:r>
        <w:rPr>
          <w:rFonts w:hAnsi="楷体_GB2312" w:eastAsia="楷体_GB2312"/>
          <w:szCs w:val="32"/>
        </w:rPr>
        <w:t xml:space="preserve">（五）狠抓工作落实</w:t>
      </w:r>
      <w:r>
        <w:rPr>
          <w:rFonts w:eastAsia="楷体_GB2312"/>
          <w:szCs w:val="32"/>
        </w:rPr>
      </w:r>
      <w:r>
        <w:rPr>
          <w:rFonts w:eastAsia="楷体_GB2312"/>
          <w:szCs w:val="32"/>
        </w:rPr>
      </w:r>
    </w:p>
    <w:p>
      <w:pPr>
        <w:pStyle w:val="666"/>
        <w:pBdr/>
        <w:spacing w:line="560" w:lineRule="exact"/>
        <w:ind w:firstLine="640"/>
        <w:rPr>
          <w:rFonts w:hAnsi="仿宋_GB2312"/>
          <w:szCs w:val="32"/>
        </w:rPr>
      </w:pPr>
      <w:r>
        <w:rPr>
          <w:rFonts w:hAnsi="仿宋_GB2312"/>
          <w:szCs w:val="32"/>
        </w:rPr>
        <w:t xml:space="preserve">建立由相关部门参加的工作联动机制，有效推进《意见》实施。各</w:t>
      </w:r>
      <w:r>
        <w:rPr>
          <w:rFonts w:hint="eastAsia" w:hAnsi="仿宋_GB2312"/>
          <w:szCs w:val="32"/>
        </w:rPr>
        <w:t xml:space="preserve">地</w:t>
      </w:r>
      <w:r>
        <w:rPr>
          <w:rFonts w:hAnsi="仿宋_GB2312"/>
          <w:szCs w:val="32"/>
        </w:rPr>
        <w:t xml:space="preserve">要进一步完善和落实政策措施、细化目标任务、加强宏观指导、加强综合协调与服务、加强《意见》落实情况的监督检查</w:t>
      </w:r>
      <w:r>
        <w:rPr>
          <w:rFonts w:hint="eastAsia" w:hAnsi="仿宋_GB2312"/>
          <w:szCs w:val="32"/>
        </w:rPr>
        <w:t xml:space="preserve">，</w:t>
      </w:r>
      <w:r>
        <w:rPr>
          <w:rFonts w:hAnsi="仿宋_GB2312"/>
          <w:szCs w:val="32"/>
        </w:rPr>
        <w:t xml:space="preserve">建立目标任务完成考核通报制度</w:t>
      </w:r>
      <w:r>
        <w:rPr>
          <w:rFonts w:hint="eastAsia" w:hAnsi="仿宋_GB2312"/>
          <w:szCs w:val="32"/>
        </w:rPr>
        <w:t xml:space="preserve">，</w:t>
      </w:r>
      <w:r>
        <w:rPr>
          <w:rFonts w:hAnsi="仿宋_GB2312"/>
          <w:szCs w:val="32"/>
        </w:rPr>
        <w:t xml:space="preserve">定期对《意见》实施效果进行通报，确保完成目标任务。</w:t>
      </w:r>
      <w:r>
        <w:rPr>
          <w:rFonts w:hAnsi="仿宋_GB2312"/>
          <w:szCs w:val="32"/>
        </w:rPr>
      </w:r>
    </w:p>
    <w:p>
      <w:pPr>
        <w:pStyle w:val="666"/>
        <w:pBdr/>
        <w:spacing w:line="560" w:lineRule="exact"/>
        <w:ind w:firstLine="640"/>
        <w:rPr>
          <w:rFonts w:hAnsi="仿宋_GB2312"/>
          <w:szCs w:val="32"/>
        </w:rPr>
      </w:pPr>
      <w:r>
        <w:rPr>
          <w:rFonts w:hAnsi="仿宋_GB2312"/>
          <w:szCs w:val="32"/>
        </w:rPr>
      </w:r>
      <w:r>
        <w:rPr>
          <w:rFonts w:hAnsi="仿宋_GB2312"/>
          <w:szCs w:val="32"/>
        </w:rPr>
      </w:r>
    </w:p>
    <w:p>
      <w:pPr>
        <w:pStyle w:val="666"/>
        <w:pBdr/>
        <w:spacing w:line="560" w:lineRule="exact"/>
        <w:ind w:firstLine="640"/>
        <w:rPr>
          <w:rFonts w:hAnsi="仿宋_GB2312"/>
          <w:szCs w:val="32"/>
        </w:rPr>
      </w:pPr>
      <w:r>
        <w:rPr>
          <w:rFonts w:hAnsi="仿宋_GB2312"/>
          <w:szCs w:val="32"/>
        </w:rPr>
      </w:r>
      <w:r>
        <w:rPr>
          <w:rFonts w:hAnsi="仿宋_GB2312"/>
          <w:szCs w:val="32"/>
        </w:rPr>
      </w:r>
    </w:p>
    <w:p>
      <w:pPr>
        <w:pStyle w:val="666"/>
        <w:pBdr/>
        <w:spacing w:line="560" w:lineRule="exact"/>
        <w:ind/>
        <w:jc w:val="right"/>
        <w:rPr>
          <w:rFonts w:eastAsia="仿宋"/>
          <w:szCs w:val="32"/>
        </w:rPr>
      </w:pPr>
      <w:r>
        <w:rPr>
          <w:rFonts w:hint="eastAsia" w:eastAsia="仿宋"/>
          <w:szCs w:val="32"/>
        </w:rPr>
        <w:t xml:space="preserve">忻州市人民政府</w:t>
      </w:r>
      <w:r>
        <w:rPr>
          <w:rFonts w:hint="eastAsia" w:eastAsia="仿宋"/>
          <w:szCs w:val="32"/>
        </w:rPr>
        <w:t xml:space="preserve">         </w:t>
      </w:r>
      <w:r>
        <w:rPr>
          <w:rFonts w:eastAsia="仿宋"/>
          <w:szCs w:val="32"/>
        </w:rPr>
      </w:r>
      <w:r>
        <w:rPr>
          <w:rFonts w:eastAsia="仿宋"/>
          <w:szCs w:val="32"/>
        </w:rPr>
      </w:r>
    </w:p>
    <w:p>
      <w:pPr>
        <w:pStyle w:val="666"/>
        <w:pBdr/>
        <w:spacing w:line="560" w:lineRule="exact"/>
        <w:ind/>
        <w:jc w:val="right"/>
        <w:rPr>
          <w:rFonts w:hint="eastAsia" w:eastAsia="仿宋"/>
          <w:szCs w:val="32"/>
        </w:rPr>
      </w:pPr>
      <w:r>
        <w:rPr>
          <w:rFonts w:hint="eastAsia" w:eastAsia="仿宋"/>
          <w:szCs w:val="32"/>
        </w:rPr>
        <w:t xml:space="preserve">2023年4月19日</w:t>
      </w:r>
      <w:r>
        <w:rPr>
          <w:rFonts w:hint="eastAsia" w:eastAsia="仿宋"/>
          <w:szCs w:val="32"/>
        </w:rPr>
        <w:t xml:space="preserve">        </w:t>
      </w:r>
      <w:r>
        <w:rPr>
          <w:rFonts w:hint="eastAsia" w:eastAsia="仿宋"/>
          <w:szCs w:val="32"/>
        </w:rPr>
      </w:r>
      <w:r>
        <w:rPr>
          <w:rFonts w:hint="eastAsia" w:eastAsia="仿宋"/>
          <w:szCs w:val="32"/>
        </w:rPr>
      </w:r>
    </w:p>
    <w:p>
      <w:pPr>
        <w:pStyle w:val="666"/>
        <w:pBdr/>
        <w:spacing w:line="560" w:lineRule="exact"/>
        <w:ind w:firstLine="630"/>
        <w:jc w:val="left"/>
        <w:rPr>
          <w:rFonts w:eastAsia="仿宋"/>
          <w:szCs w:val="32"/>
        </w:rPr>
      </w:pPr>
      <w:r>
        <w:rPr>
          <w:rFonts w:hint="eastAsia" w:eastAsia="仿宋"/>
          <w:szCs w:val="32"/>
        </w:rPr>
        <w:t xml:space="preserve">（此件公开发布）</w:t>
      </w:r>
      <w:r>
        <w:rPr>
          <w:rFonts w:eastAsia="仿宋"/>
          <w:szCs w:val="32"/>
        </w:rPr>
      </w:r>
      <w:r>
        <w:rPr>
          <w:rFonts w:eastAsia="仿宋"/>
          <w:szCs w:val="32"/>
        </w:rPr>
      </w:r>
    </w:p>
    <w:p>
      <w:pPr>
        <w:pStyle w:val="666"/>
        <w:pBdr/>
        <w:spacing w:line="60" w:lineRule="exact"/>
        <w:ind w:firstLine="646"/>
        <w:rPr>
          <w:rFonts w:hint="eastAsia"/>
          <w:szCs w:val="32"/>
        </w:rPr>
      </w:pPr>
      <w:r>
        <w:rPr>
          <w:rFonts w:hint="eastAsia"/>
          <w:szCs w:val="32"/>
        </w:rPr>
      </w:r>
      <w:r>
        <w:rPr>
          <w:rFonts w:hint="eastAsia"/>
          <w:szCs w:val="32"/>
        </w:rPr>
      </w:r>
    </w:p>
    <w:p>
      <w:pPr>
        <w:pStyle w:val="666"/>
        <w:pBdr/>
        <w:spacing w:line="60" w:lineRule="exact"/>
        <w:ind w:firstLine="646"/>
        <w:rPr>
          <w:rFonts w:hint="eastAsia"/>
          <w:szCs w:val="32"/>
        </w:rPr>
      </w:pPr>
      <w:r>
        <w:rPr>
          <w:rFonts w:hint="eastAsia"/>
          <w:szCs w:val="32"/>
        </w:rPr>
      </w:r>
      <w:r>
        <w:rPr>
          <w:rFonts w:hint="eastAsia"/>
          <w:szCs w:val="32"/>
        </w:rPr>
      </w:r>
    </w:p>
    <w:p>
      <w:pPr>
        <w:pStyle w:val="666"/>
        <w:pBdr/>
        <w:spacing w:line="60" w:lineRule="exact"/>
        <w:ind w:firstLine="646"/>
        <w:rPr>
          <w:rFonts w:hint="eastAsia"/>
          <w:szCs w:val="32"/>
        </w:rPr>
      </w:pPr>
      <w:r>
        <w:rPr>
          <w:rFonts w:hint="eastAsia"/>
          <w:szCs w:val="32"/>
        </w:rPr>
      </w:r>
      <w:r>
        <w:rPr>
          <w:rFonts w:hint="eastAsia"/>
          <w:szCs w:val="32"/>
        </w:rPr>
      </w:r>
    </w:p>
    <w:p>
      <w:pPr>
        <w:pStyle w:val="666"/>
        <w:pBdr/>
        <w:spacing w:line="60" w:lineRule="exact"/>
        <w:ind w:firstLine="646"/>
        <w:rPr>
          <w:szCs w:val="32"/>
        </w:rPr>
      </w:pPr>
      <w:r>
        <w:rPr>
          <w:szCs w:val="32"/>
        </w:rPr>
      </w:r>
      <w:r>
        <w:rPr>
          <w:szCs w:val="32"/>
        </w:rPr>
      </w:r>
    </w:p>
    <w:p>
      <w:pPr>
        <w:pStyle w:val="666"/>
        <w:pBdr/>
        <w:spacing w:line="60" w:lineRule="exact"/>
        <w:ind w:firstLine="646"/>
        <w:rPr>
          <w:szCs w:val="32"/>
        </w:rPr>
      </w:pPr>
      <w:r>
        <w:rPr>
          <w:szCs w:val="32"/>
        </w:rPr>
      </w:r>
      <w:r>
        <w:rPr>
          <w:szCs w:val="32"/>
        </w:rPr>
      </w:r>
    </w:p>
    <w:p>
      <w:pPr>
        <w:pStyle w:val="666"/>
        <w:pBdr/>
        <w:spacing w:line="60" w:lineRule="exact"/>
        <w:ind w:firstLine="646"/>
        <w:rPr>
          <w:szCs w:val="32"/>
        </w:rPr>
      </w:pPr>
      <w:r>
        <w:rPr>
          <w:szCs w:val="32"/>
        </w:rPr>
      </w:r>
      <w:r>
        <w:rPr>
          <w:szCs w:val="32"/>
        </w:rPr>
      </w:r>
    </w:p>
    <w:p>
      <w:pPr>
        <w:pStyle w:val="666"/>
        <w:pBdr/>
        <w:spacing w:line="60" w:lineRule="exact"/>
        <w:ind w:firstLine="646"/>
        <w:rPr>
          <w:szCs w:val="32"/>
        </w:rPr>
      </w:pPr>
      <w:r>
        <w:rPr>
          <w:szCs w:val="32"/>
        </w:rPr>
      </w:r>
      <w:r>
        <w:rPr>
          <w:szCs w:val="32"/>
        </w:rPr>
      </w:r>
    </w:p>
    <w:p>
      <w:pPr>
        <w:pStyle w:val="666"/>
        <w:pBdr/>
        <w:spacing w:line="60" w:lineRule="exact"/>
        <w:ind w:firstLine="646"/>
        <w:rPr>
          <w:szCs w:val="32"/>
        </w:rPr>
      </w:pPr>
      <w:r>
        <w:rPr>
          <w:szCs w:val="32"/>
        </w:rPr>
      </w:r>
      <w:r>
        <w:rPr>
          <w:szCs w:val="32"/>
        </w:rPr>
      </w:r>
    </w:p>
    <w:p>
      <w:pPr>
        <w:pStyle w:val="666"/>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align>center</wp:align>
                </wp:positionH>
                <wp:positionV relativeFrom="paragraph">
                  <wp:posOffset>46990</wp:posOffset>
                </wp:positionV>
                <wp:extent cx="5600700" cy="0"/>
                <wp:effectExtent l="0" t="0" r="0" b="0"/>
                <wp:wrapNone/>
                <wp:docPr id="1" name="_x0000_s1080"/>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58242;mso-wrap-distance-left:9.00pt;mso-wrap-distance-top:0.00pt;mso-wrap-distance-right:9.00pt;mso-wrap-distance-bottom:0.00pt;visibility:visible;" from="0.0pt,3.7pt" to="441.0pt,3.7pt" filled="f" strokecolor="#000000" strokeweight="0.95pt"/>
            </w:pict>
          </mc:Fallback>
        </mc:AlternateContent>
      </w:r>
      <w:r>
        <w:rPr>
          <w:color w:val="000000"/>
          <w:sz w:val="28"/>
          <w:szCs w:val="28"/>
        </w:rPr>
        <w:t xml:space="preserve">抄送：市委办公室，市人大常委会办公室，市政协办公室，市中级法</w:t>
      </w:r>
      <w:r>
        <w:rPr>
          <w:color w:val="000000"/>
          <w:sz w:val="28"/>
          <w:szCs w:val="28"/>
        </w:rPr>
      </w:r>
    </w:p>
    <w:p>
      <w:pPr>
        <w:pStyle w:val="666"/>
        <w:pBdr/>
        <w:spacing w:line="460" w:lineRule="exact"/>
        <w:ind w:firstLine="280"/>
        <w:rPr>
          <w:szCs w:val="32"/>
        </w:rPr>
      </w:pPr>
      <w:r>
        <w:rPr>
          <w:color w:val="ffffff"/>
          <w:sz w:val="28"/>
          <w:szCs w:val="28"/>
        </w:rPr>
        <w:t xml:space="preserve">抄送：</w:t>
      </w:r>
      <w:r>
        <w:rPr>
          <w:color w:val="000000"/>
          <w:sz w:val="28"/>
          <w:szCs w:val="28"/>
        </w:rPr>
        <w:t xml:space="preserve">院，市检察院。</w:t>
      </w:r>
      <w:r>
        <w:rPr>
          <w:szCs w:val="32"/>
        </w:rPr>
      </w:r>
      <w:r>
        <w:rPr>
          <w:szCs w:val="32"/>
        </w:rPr>
      </w:r>
    </w:p>
    <w:p>
      <w:pPr>
        <w:pStyle w:val="666"/>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align>center</wp:align>
                </wp:positionH>
                <wp:positionV relativeFrom="paragraph">
                  <wp:posOffset>26035</wp:posOffset>
                </wp:positionV>
                <wp:extent cx="5600700" cy="0"/>
                <wp:effectExtent l="0" t="0" r="0" b="0"/>
                <wp:wrapNone/>
                <wp:docPr id="2" name="_x0000_s107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524288;mso-wrap-distance-left:9.00pt;mso-wrap-distance-top:0.00pt;mso-wrap-distance-right:9.00pt;mso-wrap-distance-bottom:0.00pt;visibility:visible;" from="0.0pt,2.0pt" to="441.0pt,2.0pt" filled="f" strokecolor="#000000" strokeweight="0.55pt"/>
            </w:pict>
          </mc:Fallback>
        </mc:AlternateContent>
      </w:r>
      <w:r>
        <w:rPr>
          <w:color w:val="000000"/>
          <w:sz w:val="28"/>
          <w:szCs w:val="28"/>
        </w:rPr>
        <w:t xml:space="preserve">忻州市人民政府办公室                </w:t>
      </w:r>
      <w:r>
        <w:rPr>
          <w:rFonts w:hint="eastAsia"/>
          <w:color w:val="000000"/>
          <w:sz w:val="28"/>
          <w:szCs w:val="28"/>
        </w:rPr>
        <w:t xml:space="preserve"> </w:t>
      </w:r>
      <w:r>
        <w:rPr>
          <w:color w:val="000000"/>
          <w:sz w:val="28"/>
          <w:szCs w:val="28"/>
        </w:rPr>
        <w:t xml:space="preserve">    202</w:t>
      </w:r>
      <w:r>
        <w:rPr>
          <w:rFonts w:hint="eastAsia"/>
          <w:color w:val="000000"/>
          <w:sz w:val="28"/>
          <w:szCs w:val="28"/>
        </w:rPr>
        <w:t xml:space="preserve">3</w:t>
      </w:r>
      <w:r>
        <w:rPr>
          <w:color w:val="000000"/>
          <w:sz w:val="28"/>
          <w:szCs w:val="28"/>
        </w:rPr>
        <w:t xml:space="preserve">年</w:t>
      </w:r>
      <w:r>
        <w:rPr>
          <w:rFonts w:hint="eastAsia"/>
          <w:color w:val="000000"/>
          <w:sz w:val="28"/>
          <w:szCs w:val="28"/>
        </w:rPr>
        <w:t xml:space="preserve">4</w:t>
      </w:r>
      <w:r>
        <w:rPr>
          <w:color w:val="000000"/>
          <w:sz w:val="28"/>
          <w:szCs w:val="28"/>
        </w:rPr>
        <w:t xml:space="preserve">月</w:t>
      </w:r>
      <w:r>
        <w:rPr>
          <w:rFonts w:hint="eastAsia"/>
          <w:color w:val="000000"/>
          <w:sz w:val="28"/>
          <w:szCs w:val="28"/>
        </w:rPr>
        <w:t xml:space="preserve">19</w:t>
      </w:r>
      <w:r>
        <w:rPr>
          <w:color w:val="000000"/>
          <w:sz w:val="28"/>
          <w:szCs w:val="28"/>
        </w:rPr>
        <w:t xml:space="preserve">日印发  </w:t>
      </w:r>
      <w:r>
        <w:rPr>
          <w:color w:val="000000"/>
          <w:sz w:val="28"/>
          <w:szCs w:val="28"/>
        </w:rPr>
      </w:r>
    </w:p>
    <w:p>
      <w:pPr>
        <w:pStyle w:val="666"/>
        <w:pBdr/>
        <w:spacing w:line="48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page">
                  <wp:posOffset>4734560</wp:posOffset>
                </wp:positionH>
                <wp:positionV relativeFrom="page">
                  <wp:posOffset>9618980</wp:posOffset>
                </wp:positionV>
                <wp:extent cx="1790700" cy="495300"/>
                <wp:effectExtent l="0" t="0" r="0" b="0"/>
                <wp:wrapNone/>
                <wp:docPr id="3" name="_x0000_s108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bwMode="auto">
                        <a:xfrm>
                          <a:off x="0" y="0"/>
                          <a:ext cx="1790700" cy="495300"/>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3;o:allowoverlap:true;o:allowincell:true;mso-position-horizontal-relative:page;margin-left:372.80pt;mso-position-horizontal:absolute;mso-position-vertical-relative:page;margin-top:757.40pt;mso-position-vertical:absolute;width:141.00pt;height:39.00pt;mso-wrap-distance-left:9.00pt;mso-wrap-distance-top:0.00pt;mso-wrap-distance-right:9.00pt;mso-wrap-distance-bottom:0.00pt;z-index:1;" stroked="f">
                <v:imagedata r:id="rId11" o:title=""/>
                <o:lock v:ext="edit" rotation="t"/>
              </v:shape>
            </w:pict>
          </mc:Fallback>
        </mc:AlternateContent>
      </w: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align>center</wp:align>
                </wp:positionH>
                <wp:positionV relativeFrom="paragraph">
                  <wp:posOffset>34925</wp:posOffset>
                </wp:positionV>
                <wp:extent cx="5600700" cy="0"/>
                <wp:effectExtent l="0" t="0" r="0" b="0"/>
                <wp:wrapNone/>
                <wp:docPr id="4" name="_x0000_s107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58241;mso-wrap-distance-left:9.00pt;mso-wrap-distance-top:0.00pt;mso-wrap-distance-right:9.00pt;mso-wrap-distance-bottom:0.00pt;visibility:visible;" from="0.0pt,2.8pt" to="441.0pt,2.8pt" filled="f" strokecolor="#000000" strokeweight="0.95pt"/>
            </w:pict>
          </mc:Fallback>
        </mc:AlternateContent>
      </w:r>
      <w:r>
        <w:rPr>
          <w:color w:val="000000"/>
          <w:sz w:val="28"/>
          <w:szCs w:val="28"/>
        </w:rPr>
        <w:t xml:space="preserve">                                                </w:t>
      </w:r>
      <w:r>
        <w:rPr>
          <w:rFonts w:hint="eastAsia"/>
          <w:color w:val="000000"/>
          <w:sz w:val="28"/>
          <w:szCs w:val="28"/>
        </w:rPr>
        <w:t xml:space="preserve"> </w:t>
      </w:r>
      <w:r>
        <w:rPr>
          <w:color w:val="000000"/>
          <w:sz w:val="28"/>
          <w:szCs w:val="28"/>
        </w:rPr>
        <w:t xml:space="preserve"> 共印1</w:t>
      </w:r>
      <w:r>
        <w:rPr>
          <w:rFonts w:hint="eastAsia"/>
          <w:color w:val="000000"/>
          <w:sz w:val="28"/>
          <w:szCs w:val="28"/>
        </w:rPr>
        <w:t xml:space="preserve">4</w:t>
      </w:r>
      <w:r>
        <w:rPr>
          <w:color w:val="000000"/>
          <w:sz w:val="28"/>
          <w:szCs w:val="28"/>
        </w:rPr>
        <w:t xml:space="preserve">0份</w:t>
      </w:r>
      <w:r>
        <w:rPr>
          <w:color w:val="000000"/>
          <w:sz w:val="28"/>
          <w:szCs w:val="28"/>
        </w:rPr>
      </w:r>
    </w:p>
    <w:sectPr>
      <w:footerReference w:type="default" r:id="rId9"/>
      <w:footerReference w:type="even" r:id="rId10"/>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font>
  <w:font w:name="方正大标宋简体">
    <w:panose1 w:val="020B0604020202020204"/>
  </w:font>
  <w:font w:name="方正仿宋_GBK">
    <w:panose1 w:val="020B0604020202020204"/>
  </w:font>
  <w:font w:name="新宋体">
    <w:panose1 w:val="02010609030101010101"/>
  </w:font>
  <w:font w:name="仿宋">
    <w:panose1 w:val="02010609060101010101"/>
  </w:font>
  <w:font w:name="楷体_GB2312">
    <w:panose1 w:val="02010609060101010101"/>
  </w:font>
  <w:font w:name="Cambria">
    <w:panose1 w:val="02040503050406030204"/>
  </w:font>
  <w:font w:name="黑体">
    <w:panose1 w:val="02010609060101010101"/>
  </w:font>
  <w:font w:name="方正小标宋简体">
    <w:panose1 w:val="020B0604020202020204"/>
  </w:font>
  <w:font w:name="仿宋_GB2312">
    <w:panose1 w:val="02010609060101010101"/>
  </w:font>
  <w:font w:name="Arial">
    <w:panose1 w:val="020B0604020202020204"/>
  </w:font>
  <w:font w:name="文星仿宋..嬀.">
    <w:panose1 w:val="020B0604020202020204"/>
  </w:font>
  <w:font w:name="Calibri">
    <w:panose1 w:val="020F0502020204030204"/>
  </w:font>
  <w:font w:name="等线">
    <w:panose1 w:val="02010600030101010101"/>
  </w:font>
  <w:font w:name="宋体">
    <w:panose1 w:val="02010600030101010101"/>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8"/>
      <w:pBdr/>
      <w:spacing/>
      <w:ind/>
      <w:jc w:val="righ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5 -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18"/>
      <w:pBdr/>
      <w:spacing/>
      <w:ind/>
      <w:jc w:val="right"/>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8"/>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6 -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18"/>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420" w:left="420"/>
      </w:pPr>
      <w:rPr>
        <w:rFonts w:hint="eastAsia"/>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1">
    <w:lvl w:ilvl="0">
      <w:isLgl w:val="false"/>
      <w:lvlJc w:val="left"/>
      <w:lvlText w:val="%1."/>
      <w:numFmt w:val="decimal"/>
      <w:pPr>
        <w:pBdr/>
        <w:spacing/>
        <w:ind w:firstLine="0" w:left="0"/>
      </w:pPr>
      <w:rPr>
        <w:rFonts w:ascii="Times New Roman" w:hAnsi="Times New Roman" w:cs="Times New Roman"/>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2">
    <w:lvl w:ilvl="0">
      <w:isLgl w:val="false"/>
      <w:lvlJc w:val="left"/>
      <w:lvlText w:val="（%1）"/>
      <w:numFmt w:val="japaneseCounting"/>
      <w:pPr>
        <w:pBdr/>
        <w:spacing/>
        <w:ind w:hanging="1080" w:left="1080"/>
      </w:pPr>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3">
    <w:lvl w:ilvl="0">
      <w:isLgl w:val="false"/>
      <w:lvlJc w:val="left"/>
      <w:lvlText w:val="（%1）"/>
      <w:numFmt w:val="japaneseCounting"/>
      <w:pPr>
        <w:pBdr/>
        <w:spacing/>
        <w:ind w:hanging="1080" w:left="1562"/>
      </w:pPr>
      <w:rPr/>
      <w:start w:val="1"/>
      <w:suff w:val="space"/>
    </w:lvl>
    <w:lvl w:ilvl="1">
      <w:isLgl w:val="false"/>
      <w:lvlJc w:val="left"/>
      <w:lvlText w:val="%2)"/>
      <w:numFmt w:val="lowerLetter"/>
      <w:pPr>
        <w:pBdr/>
        <w:spacing/>
        <w:ind w:hanging="420" w:left="1322"/>
      </w:pPr>
      <w:rPr/>
      <w:start w:val="1"/>
      <w:suff w:val="space"/>
    </w:lvl>
    <w:lvl w:ilvl="2">
      <w:isLgl w:val="false"/>
      <w:lvlJc w:val="right"/>
      <w:lvlText w:val="%3."/>
      <w:numFmt w:val="lowerRoman"/>
      <w:pPr>
        <w:pBdr/>
        <w:spacing/>
        <w:ind w:hanging="420" w:left="1742"/>
      </w:pPr>
      <w:rPr/>
      <w:start w:val="1"/>
      <w:suff w:val="space"/>
    </w:lvl>
    <w:lvl w:ilvl="3">
      <w:isLgl w:val="false"/>
      <w:lvlJc w:val="left"/>
      <w:lvlText w:val="%4."/>
      <w:numFmt w:val="decimal"/>
      <w:pPr>
        <w:pBdr/>
        <w:spacing/>
        <w:ind w:hanging="420" w:left="2162"/>
      </w:pPr>
      <w:rPr/>
      <w:start w:val="1"/>
      <w:suff w:val="space"/>
    </w:lvl>
    <w:lvl w:ilvl="4">
      <w:isLgl w:val="false"/>
      <w:lvlJc w:val="left"/>
      <w:lvlText w:val="%5)"/>
      <w:numFmt w:val="lowerLetter"/>
      <w:pPr>
        <w:pBdr/>
        <w:spacing/>
        <w:ind w:hanging="420" w:left="2582"/>
      </w:pPr>
      <w:rPr/>
      <w:start w:val="1"/>
      <w:suff w:val="space"/>
    </w:lvl>
    <w:lvl w:ilvl="5">
      <w:isLgl w:val="false"/>
      <w:lvlJc w:val="right"/>
      <w:lvlText w:val="%6."/>
      <w:numFmt w:val="lowerRoman"/>
      <w:pPr>
        <w:pBdr/>
        <w:spacing/>
        <w:ind w:hanging="420" w:left="3002"/>
      </w:pPr>
      <w:rPr/>
      <w:start w:val="1"/>
      <w:suff w:val="space"/>
    </w:lvl>
    <w:lvl w:ilvl="6">
      <w:isLgl w:val="false"/>
      <w:lvlJc w:val="left"/>
      <w:lvlText w:val="%7."/>
      <w:numFmt w:val="decimal"/>
      <w:pPr>
        <w:pBdr/>
        <w:spacing/>
        <w:ind w:hanging="420" w:left="3422"/>
      </w:pPr>
      <w:rPr/>
      <w:start w:val="1"/>
      <w:suff w:val="space"/>
    </w:lvl>
    <w:lvl w:ilvl="7">
      <w:isLgl w:val="false"/>
      <w:lvlJc w:val="left"/>
      <w:lvlText w:val="%8)"/>
      <w:numFmt w:val="lowerLetter"/>
      <w:pPr>
        <w:pBdr/>
        <w:spacing/>
        <w:ind w:hanging="420" w:left="3842"/>
      </w:pPr>
      <w:rPr/>
      <w:start w:val="1"/>
      <w:suff w:val="space"/>
    </w:lvl>
    <w:lvl w:ilvl="8">
      <w:isLgl w:val="false"/>
      <w:lvlJc w:val="right"/>
      <w:lvlText w:val="%9."/>
      <w:numFmt w:val="lowerRoman"/>
      <w:pPr>
        <w:pBdr/>
        <w:spacing/>
        <w:ind w:hanging="420" w:left="4262"/>
      </w:pPr>
      <w:rPr/>
      <w:start w:val="1"/>
      <w:suff w:val="space"/>
    </w:lvl>
  </w:abstractNum>
  <w:abstractNum w:abstractNumId="4">
    <w:lvl w:ilvl="0">
      <w:isLgl w:val="false"/>
      <w:lvlJc w:val="left"/>
      <w:lvlText w:val="%1、"/>
      <w:numFmt w:val="japaneseCounting"/>
      <w:pPr>
        <w:pBdr/>
        <w:spacing/>
        <w:ind w:hanging="720" w:left="720"/>
      </w:pPr>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66"/>
    <w:next w:val="666"/>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66"/>
    <w:next w:val="666"/>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66"/>
    <w:next w:val="666"/>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66"/>
    <w:next w:val="666"/>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66"/>
    <w:next w:val="666"/>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66"/>
    <w:next w:val="666"/>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66"/>
    <w:next w:val="666"/>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66"/>
    <w:next w:val="666"/>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66"/>
    <w:next w:val="666"/>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666"/>
    <w:next w:val="666"/>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66"/>
    <w:next w:val="666"/>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66"/>
    <w:next w:val="666"/>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66"/>
    <w:next w:val="666"/>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66"/>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66"/>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66"/>
    <w:next w:val="666"/>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66"/>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66"/>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66"/>
    <w:next w:val="666"/>
    <w:uiPriority w:val="39"/>
    <w:unhideWhenUsed/>
    <w:pPr>
      <w:pBdr/>
      <w:spacing w:after="57"/>
      <w:ind w:right="0" w:firstLine="0" w:left="0"/>
    </w:pPr>
  </w:style>
  <w:style w:type="paragraph" w:styleId="182">
    <w:name w:val="toc 2"/>
    <w:basedOn w:val="666"/>
    <w:next w:val="666"/>
    <w:uiPriority w:val="39"/>
    <w:unhideWhenUsed/>
    <w:pPr>
      <w:pBdr/>
      <w:spacing w:after="57"/>
      <w:ind w:right="0" w:firstLine="0" w:left="283"/>
    </w:pPr>
  </w:style>
  <w:style w:type="paragraph" w:styleId="183">
    <w:name w:val="toc 3"/>
    <w:basedOn w:val="666"/>
    <w:next w:val="666"/>
    <w:uiPriority w:val="39"/>
    <w:unhideWhenUsed/>
    <w:pPr>
      <w:pBdr/>
      <w:spacing w:after="57"/>
      <w:ind w:right="0" w:firstLine="0" w:left="567"/>
    </w:pPr>
  </w:style>
  <w:style w:type="paragraph" w:styleId="184">
    <w:name w:val="toc 4"/>
    <w:basedOn w:val="666"/>
    <w:next w:val="666"/>
    <w:uiPriority w:val="39"/>
    <w:unhideWhenUsed/>
    <w:pPr>
      <w:pBdr/>
      <w:spacing w:after="57"/>
      <w:ind w:right="0" w:firstLine="0" w:left="850"/>
    </w:pPr>
  </w:style>
  <w:style w:type="paragraph" w:styleId="185">
    <w:name w:val="toc 5"/>
    <w:basedOn w:val="666"/>
    <w:next w:val="666"/>
    <w:uiPriority w:val="39"/>
    <w:unhideWhenUsed/>
    <w:pPr>
      <w:pBdr/>
      <w:spacing w:after="57"/>
      <w:ind w:right="0" w:firstLine="0" w:left="1134"/>
    </w:pPr>
  </w:style>
  <w:style w:type="paragraph" w:styleId="186">
    <w:name w:val="toc 6"/>
    <w:basedOn w:val="666"/>
    <w:next w:val="666"/>
    <w:uiPriority w:val="39"/>
    <w:unhideWhenUsed/>
    <w:pPr>
      <w:pBdr/>
      <w:spacing w:after="57"/>
      <w:ind w:right="0" w:firstLine="0" w:left="1417"/>
    </w:pPr>
  </w:style>
  <w:style w:type="paragraph" w:styleId="187">
    <w:name w:val="toc 7"/>
    <w:basedOn w:val="666"/>
    <w:next w:val="666"/>
    <w:uiPriority w:val="39"/>
    <w:unhideWhenUsed/>
    <w:pPr>
      <w:pBdr/>
      <w:spacing w:after="57"/>
      <w:ind w:right="0" w:firstLine="0" w:left="1701"/>
    </w:pPr>
  </w:style>
  <w:style w:type="paragraph" w:styleId="188">
    <w:name w:val="toc 8"/>
    <w:basedOn w:val="666"/>
    <w:next w:val="666"/>
    <w:uiPriority w:val="39"/>
    <w:unhideWhenUsed/>
    <w:pPr>
      <w:pBdr/>
      <w:spacing w:after="57"/>
      <w:ind w:right="0" w:firstLine="0" w:left="1984"/>
    </w:pPr>
  </w:style>
  <w:style w:type="paragraph" w:styleId="189">
    <w:name w:val="toc 9"/>
    <w:basedOn w:val="666"/>
    <w:next w:val="666"/>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66"/>
    <w:next w:val="666"/>
    <w:uiPriority w:val="99"/>
    <w:unhideWhenUsed/>
    <w:pPr>
      <w:pBdr/>
      <w:spacing w:after="0" w:afterAutospacing="0"/>
      <w:ind/>
    </w:pPr>
  </w:style>
  <w:style w:type="paragraph" w:styleId="666" w:default="1">
    <w:name w:val="Normal"/>
    <w:next w:val="666"/>
    <w:link w:val="666"/>
    <w:qFormat/>
    <w:pPr>
      <w:widowControl w:val="false"/>
      <w:pBdr/>
      <w:spacing/>
      <w:ind/>
      <w:jc w:val="both"/>
    </w:pPr>
    <w:rPr>
      <w:rFonts w:eastAsia="仿宋_GB2312"/>
      <w:sz w:val="32"/>
      <w:szCs w:val="24"/>
      <w:lang w:val="en-US" w:eastAsia="zh-CN" w:bidi="ar-SA"/>
    </w:rPr>
  </w:style>
  <w:style w:type="paragraph" w:styleId="667">
    <w:name w:val="标题 1"/>
    <w:basedOn w:val="666"/>
    <w:next w:val="666"/>
    <w:link w:val="676"/>
    <w:qFormat/>
    <w:pPr>
      <w:keepNext w:val="true"/>
      <w:keepLines w:val="true"/>
      <w:pBdr/>
      <w:spacing w:line="560" w:lineRule="exact"/>
      <w:ind/>
      <w:jc w:val="center"/>
      <w:outlineLvl w:val="0"/>
    </w:pPr>
    <w:rPr>
      <w:rFonts w:eastAsia="黑体"/>
      <w:lang w:val="en-US" w:eastAsia="en-US"/>
    </w:rPr>
  </w:style>
  <w:style w:type="paragraph" w:styleId="668">
    <w:name w:val="标题 2"/>
    <w:basedOn w:val="666"/>
    <w:next w:val="666"/>
    <w:link w:val="677"/>
    <w:qFormat/>
    <w:pPr>
      <w:keepNext w:val="true"/>
      <w:keepLines w:val="true"/>
      <w:pBdr/>
      <w:spacing w:line="560" w:lineRule="exact"/>
      <w:ind/>
      <w:jc w:val="center"/>
      <w:outlineLvl w:val="1"/>
    </w:pPr>
    <w:rPr>
      <w:rFonts w:ascii="Cambria" w:hAnsi="Cambria" w:eastAsia="楷体_GB2312"/>
      <w:lang w:val="en-US" w:eastAsia="en-US"/>
    </w:rPr>
  </w:style>
  <w:style w:type="paragraph" w:styleId="669">
    <w:name w:val="标题 3"/>
    <w:basedOn w:val="666"/>
    <w:next w:val="666"/>
    <w:link w:val="678"/>
    <w:qFormat/>
    <w:pPr>
      <w:keepNext w:val="true"/>
      <w:keepLines w:val="true"/>
      <w:pBdr/>
      <w:spacing w:after="260" w:before="260" w:line="416" w:lineRule="auto"/>
      <w:ind/>
      <w:outlineLvl w:val="2"/>
    </w:pPr>
    <w:rPr>
      <w:b/>
      <w:bCs/>
      <w:szCs w:val="32"/>
      <w:lang w:val="en-US" w:eastAsia="en-US"/>
    </w:rPr>
  </w:style>
  <w:style w:type="paragraph" w:styleId="670">
    <w:name w:val="标题 4"/>
    <w:basedOn w:val="666"/>
    <w:next w:val="666"/>
    <w:link w:val="679"/>
    <w:qFormat/>
    <w:pPr>
      <w:keepNext w:val="true"/>
      <w:keepLines w:val="true"/>
      <w:pBdr/>
      <w:spacing w:after="290" w:before="280" w:line="376" w:lineRule="auto"/>
      <w:ind/>
      <w:outlineLvl w:val="3"/>
    </w:pPr>
    <w:rPr>
      <w:rFonts w:ascii="Arial" w:hAnsi="Arial" w:eastAsia="黑体"/>
      <w:b/>
      <w:bCs/>
      <w:sz w:val="28"/>
      <w:szCs w:val="28"/>
      <w:lang w:val="en-US" w:eastAsia="en-US"/>
    </w:rPr>
  </w:style>
  <w:style w:type="paragraph" w:styleId="671">
    <w:name w:val="标题 5"/>
    <w:basedOn w:val="666"/>
    <w:next w:val="666"/>
    <w:link w:val="756"/>
    <w:qFormat/>
    <w:pPr>
      <w:widowControl w:val="true"/>
      <w:pBdr/>
      <w:spacing w:after="100" w:afterAutospacing="1" w:before="100" w:beforeAutospacing="1"/>
      <w:ind/>
      <w:jc w:val="left"/>
      <w:outlineLvl w:val="4"/>
    </w:pPr>
    <w:rPr>
      <w:rFonts w:hint="eastAsia" w:ascii="宋体" w:hAnsi="宋体" w:eastAsia="宋体"/>
      <w:b/>
      <w:bCs/>
      <w:sz w:val="20"/>
      <w:szCs w:val="20"/>
    </w:rPr>
  </w:style>
  <w:style w:type="paragraph" w:styleId="672">
    <w:name w:val="标题 6"/>
    <w:basedOn w:val="666"/>
    <w:next w:val="666"/>
    <w:link w:val="757"/>
    <w:qFormat/>
    <w:pPr>
      <w:widowControl w:val="true"/>
      <w:pBdr/>
      <w:spacing w:after="100" w:afterAutospacing="1" w:before="100" w:beforeAutospacing="1"/>
      <w:ind/>
      <w:jc w:val="left"/>
      <w:outlineLvl w:val="5"/>
    </w:pPr>
    <w:rPr>
      <w:rFonts w:hint="eastAsia" w:ascii="宋体" w:hAnsi="宋体" w:eastAsia="宋体"/>
      <w:b/>
      <w:bCs/>
      <w:sz w:val="15"/>
      <w:szCs w:val="15"/>
    </w:rPr>
  </w:style>
  <w:style w:type="character" w:styleId="673">
    <w:name w:val="默认段落字体"/>
    <w:next w:val="673"/>
    <w:link w:val="666"/>
    <w:pPr>
      <w:pBdr/>
      <w:spacing/>
      <w:ind/>
    </w:pPr>
  </w:style>
  <w:style w:type="table" w:styleId="674">
    <w:name w:val="普通表格"/>
    <w:next w:val="674"/>
    <w:link w:val="666"/>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75">
    <w:name w:val="无列表"/>
    <w:next w:val="675"/>
    <w:link w:val="666"/>
    <w:uiPriority w:val="99"/>
    <w:semiHidden/>
    <w:unhideWhenUsed/>
    <w:pPr>
      <w:pBdr/>
      <w:spacing/>
      <w:ind/>
    </w:pPr>
  </w:style>
  <w:style w:type="character" w:styleId="676">
    <w:name w:val="标题 1 Char"/>
    <w:next w:val="676"/>
    <w:link w:val="667"/>
    <w:qFormat/>
    <w:pPr>
      <w:pBdr/>
      <w:spacing/>
      <w:ind/>
    </w:pPr>
    <w:rPr>
      <w:rFonts w:eastAsia="黑体"/>
      <w:sz w:val="32"/>
      <w:szCs w:val="24"/>
    </w:rPr>
  </w:style>
  <w:style w:type="character" w:styleId="677">
    <w:name w:val="标题 2 Char"/>
    <w:next w:val="677"/>
    <w:link w:val="668"/>
    <w:pPr>
      <w:pBdr/>
      <w:spacing/>
      <w:ind/>
    </w:pPr>
    <w:rPr>
      <w:rFonts w:ascii="Cambria" w:hAnsi="Cambria" w:eastAsia="楷体_GB2312"/>
      <w:sz w:val="32"/>
      <w:szCs w:val="24"/>
    </w:rPr>
  </w:style>
  <w:style w:type="character" w:styleId="678">
    <w:name w:val="标题 3 Char"/>
    <w:next w:val="678"/>
    <w:link w:val="669"/>
    <w:pPr>
      <w:pBdr/>
      <w:spacing/>
      <w:ind/>
    </w:pPr>
    <w:rPr>
      <w:rFonts w:eastAsia="仿宋_GB2312"/>
      <w:b/>
      <w:bCs/>
      <w:sz w:val="32"/>
      <w:szCs w:val="32"/>
    </w:rPr>
  </w:style>
  <w:style w:type="character" w:styleId="679">
    <w:name w:val="标题 4 Char"/>
    <w:next w:val="679"/>
    <w:link w:val="670"/>
    <w:pPr>
      <w:pBdr/>
      <w:spacing/>
      <w:ind/>
    </w:pPr>
    <w:rPr>
      <w:rFonts w:ascii="Arial" w:hAnsi="Arial" w:eastAsia="黑体"/>
      <w:b/>
      <w:bCs/>
      <w:sz w:val="28"/>
      <w:szCs w:val="28"/>
    </w:rPr>
  </w:style>
  <w:style w:type="character" w:styleId="680">
    <w:name w:val="二级标题 Char"/>
    <w:next w:val="680"/>
    <w:link w:val="681"/>
    <w:qFormat/>
    <w:pPr>
      <w:pBdr/>
      <w:spacing/>
      <w:ind/>
    </w:pPr>
    <w:rPr>
      <w:rFonts w:ascii="宋体" w:hAnsi="宋体" w:eastAsia="楷体_GB2312"/>
      <w:sz w:val="32"/>
      <w:szCs w:val="32"/>
    </w:rPr>
  </w:style>
  <w:style w:type="paragraph" w:styleId="681">
    <w:name w:val="二级标题"/>
    <w:basedOn w:val="682"/>
    <w:next w:val="681"/>
    <w:link w:val="680"/>
    <w:qFormat/>
    <w:pPr>
      <w:pBdr/>
      <w:spacing/>
      <w:ind/>
    </w:pPr>
    <w:rPr>
      <w:rFonts w:eastAsia="楷体_GB2312"/>
      <w:szCs w:val="32"/>
      <w:lang w:val="en-US" w:eastAsia="en-US"/>
    </w:rPr>
  </w:style>
  <w:style w:type="paragraph" w:styleId="682">
    <w:name w:val="普通段落"/>
    <w:next w:val="682"/>
    <w:link w:val="666"/>
    <w:qFormat/>
    <w:pPr>
      <w:widowControl w:val="false"/>
      <w:pBdr/>
      <w:spacing w:line="560" w:lineRule="exact"/>
      <w:ind w:firstLine="420"/>
      <w:jc w:val="both"/>
    </w:pPr>
    <w:rPr>
      <w:rFonts w:ascii="宋体" w:hAnsi="宋体" w:eastAsia="仿宋_GB2312"/>
      <w:sz w:val="32"/>
      <w:lang w:val="en-US" w:eastAsia="zh-CN" w:bidi="ar-SA"/>
    </w:rPr>
  </w:style>
  <w:style w:type="character" w:styleId="683">
    <w:name w:val="副标题 Char1"/>
    <w:next w:val="683"/>
    <w:link w:val="666"/>
    <w:uiPriority w:val="11"/>
    <w:pPr>
      <w:pBdr/>
      <w:spacing/>
      <w:ind/>
    </w:pPr>
    <w:rPr>
      <w:rFonts w:ascii="Cambria" w:hAnsi="Cambria" w:cs="Times New Roman"/>
      <w:b/>
      <w:bCs/>
      <w:sz w:val="32"/>
      <w:szCs w:val="32"/>
    </w:rPr>
  </w:style>
  <w:style w:type="character" w:styleId="684">
    <w:name w:val="HTML 预设格式 Char"/>
    <w:next w:val="684"/>
    <w:link w:val="685"/>
    <w:pPr>
      <w:pBdr/>
      <w:spacing/>
      <w:ind/>
    </w:pPr>
    <w:rPr>
      <w:rFonts w:ascii="Arial" w:hAnsi="Arial"/>
      <w:sz w:val="24"/>
      <w:lang w:val="en-US" w:eastAsia="zh-CN" w:bidi="ar-SA"/>
    </w:rPr>
  </w:style>
  <w:style w:type="paragraph" w:styleId="685">
    <w:name w:val="HTML 预设格式"/>
    <w:next w:val="685"/>
    <w:link w:val="684"/>
    <w:qFormat/>
    <w:pPr>
      <w:pBdr/>
      <w:spacing/>
      <w:ind/>
    </w:pPr>
    <w:rPr>
      <w:rFonts w:ascii="Arial" w:hAnsi="Arial"/>
      <w:sz w:val="24"/>
      <w:lang w:val="en-US" w:eastAsia="zh-CN" w:bidi="ar-SA"/>
    </w:rPr>
  </w:style>
  <w:style w:type="character" w:styleId="686">
    <w:name w:val="font61"/>
    <w:next w:val="686"/>
    <w:link w:val="666"/>
    <w:pPr>
      <w:pBdr/>
      <w:spacing/>
      <w:ind/>
    </w:pPr>
    <w:rPr>
      <w:rFonts w:hint="eastAsia" w:ascii="仿宋_GB2312" w:eastAsia="仿宋_GB2312"/>
      <w:color w:val="000000"/>
      <w:sz w:val="18"/>
      <w:szCs w:val="18"/>
      <w:u w:val="none"/>
    </w:rPr>
  </w:style>
  <w:style w:type="character" w:styleId="687">
    <w:name w:val="正文文本缩进 Char"/>
    <w:next w:val="687"/>
    <w:link w:val="688"/>
    <w:uiPriority w:val="99"/>
    <w:pPr>
      <w:pBdr/>
      <w:spacing/>
      <w:ind/>
    </w:pPr>
    <w:rPr>
      <w:sz w:val="21"/>
      <w:szCs w:val="24"/>
    </w:rPr>
  </w:style>
  <w:style w:type="paragraph" w:styleId="688">
    <w:name w:val="正文文本缩进"/>
    <w:basedOn w:val="666"/>
    <w:next w:val="689"/>
    <w:link w:val="687"/>
    <w:uiPriority w:val="99"/>
    <w:unhideWhenUsed/>
    <w:qFormat/>
    <w:pPr>
      <w:pBdr/>
      <w:spacing w:after="120"/>
      <w:ind w:left="420"/>
    </w:pPr>
    <w:rPr>
      <w:rFonts w:eastAsia="宋体"/>
      <w:sz w:val="21"/>
      <w:lang w:val="en-US" w:eastAsia="en-US"/>
    </w:rPr>
  </w:style>
  <w:style w:type="paragraph" w:styleId="689">
    <w:name w:val="正文首行缩进 2"/>
    <w:basedOn w:val="688"/>
    <w:next w:val="689"/>
    <w:link w:val="690"/>
    <w:uiPriority w:val="99"/>
    <w:unhideWhenUsed/>
    <w:qFormat/>
    <w:pPr>
      <w:pBdr/>
      <w:spacing/>
      <w:ind w:firstLine="420"/>
    </w:pPr>
  </w:style>
  <w:style w:type="character" w:styleId="690">
    <w:name w:val="正文首行缩进 2 Char"/>
    <w:basedOn w:val="687"/>
    <w:next w:val="690"/>
    <w:link w:val="689"/>
    <w:uiPriority w:val="99"/>
    <w:pPr>
      <w:pBdr/>
      <w:spacing/>
      <w:ind/>
    </w:pPr>
  </w:style>
  <w:style w:type="character" w:styleId="691">
    <w:name w:val="副标题 Char"/>
    <w:next w:val="691"/>
    <w:link w:val="692"/>
    <w:uiPriority w:val="99"/>
    <w:pPr>
      <w:pBdr/>
      <w:spacing/>
      <w:ind/>
    </w:pPr>
    <w:rPr>
      <w:rFonts w:eastAsia="黑体"/>
      <w:b/>
      <w:bCs/>
      <w:sz w:val="28"/>
      <w:szCs w:val="32"/>
    </w:rPr>
  </w:style>
  <w:style w:type="paragraph" w:styleId="692">
    <w:name w:val="副标题"/>
    <w:basedOn w:val="666"/>
    <w:next w:val="666"/>
    <w:link w:val="691"/>
    <w:uiPriority w:val="99"/>
    <w:qFormat/>
    <w:pPr>
      <w:pBdr/>
      <w:spacing w:after="60" w:before="240" w:line="312" w:lineRule="auto"/>
      <w:ind w:firstLine="200"/>
      <w:jc w:val="center"/>
      <w:outlineLvl w:val="1"/>
    </w:pPr>
    <w:rPr>
      <w:rFonts w:eastAsia="黑体"/>
      <w:b/>
      <w:bCs/>
      <w:sz w:val="28"/>
      <w:szCs w:val="32"/>
      <w:lang w:val="en-US" w:eastAsia="en-US"/>
    </w:rPr>
  </w:style>
  <w:style w:type="character" w:styleId="693">
    <w:name w:val="font11"/>
    <w:next w:val="693"/>
    <w:link w:val="666"/>
    <w:pPr>
      <w:pBdr/>
      <w:spacing/>
      <w:ind/>
    </w:pPr>
    <w:rPr>
      <w:rFonts w:hint="eastAsia" w:ascii="仿宋_GB2312" w:eastAsia="仿宋_GB2312"/>
      <w:color w:val="000000"/>
      <w:sz w:val="20"/>
      <w:szCs w:val="20"/>
      <w:u w:val="none"/>
    </w:rPr>
  </w:style>
  <w:style w:type="character" w:styleId="694">
    <w:name w:val="批注引用"/>
    <w:next w:val="694"/>
    <w:link w:val="666"/>
    <w:pPr>
      <w:pBdr/>
      <w:spacing/>
      <w:ind/>
    </w:pPr>
    <w:rPr>
      <w:sz w:val="21"/>
      <w:szCs w:val="21"/>
    </w:rPr>
  </w:style>
  <w:style w:type="character" w:styleId="695">
    <w:name w:val="正文文本缩进 2 Char"/>
    <w:next w:val="695"/>
    <w:link w:val="696"/>
    <w:uiPriority w:val="99"/>
    <w:pPr>
      <w:pBdr/>
      <w:spacing/>
      <w:ind/>
    </w:pPr>
    <w:rPr>
      <w:sz w:val="27"/>
      <w:szCs w:val="24"/>
    </w:rPr>
  </w:style>
  <w:style w:type="paragraph" w:styleId="696">
    <w:name w:val="正文文本缩进 2"/>
    <w:basedOn w:val="666"/>
    <w:next w:val="696"/>
    <w:link w:val="695"/>
    <w:uiPriority w:val="99"/>
    <w:pPr>
      <w:pBdr/>
      <w:spacing/>
      <w:ind w:firstLine="540"/>
    </w:pPr>
    <w:rPr>
      <w:rFonts w:eastAsia="宋体"/>
      <w:sz w:val="27"/>
      <w:lang w:val="en-US" w:eastAsia="en-US"/>
    </w:rPr>
  </w:style>
  <w:style w:type="character" w:styleId="697">
    <w:name w:val="正文文本 3 Char"/>
    <w:next w:val="697"/>
    <w:link w:val="698"/>
    <w:uiPriority w:val="99"/>
    <w:pPr>
      <w:pBdr/>
      <w:spacing/>
      <w:ind/>
    </w:pPr>
    <w:rPr>
      <w:b/>
      <w:bCs/>
      <w:color w:val="ff6600"/>
      <w:sz w:val="24"/>
      <w:szCs w:val="32"/>
      <w:lang w:val="zh-CN"/>
    </w:rPr>
  </w:style>
  <w:style w:type="paragraph" w:styleId="698">
    <w:name w:val="正文文本 3"/>
    <w:basedOn w:val="666"/>
    <w:next w:val="698"/>
    <w:link w:val="697"/>
    <w:uiPriority w:val="99"/>
    <w:pPr>
      <w:pBdr/>
      <w:spacing/>
      <w:ind/>
    </w:pPr>
    <w:rPr>
      <w:rFonts w:eastAsia="宋体"/>
      <w:b/>
      <w:bCs/>
      <w:color w:val="ff6600"/>
      <w:sz w:val="24"/>
      <w:szCs w:val="32"/>
      <w:lang w:val="zh-CN" w:eastAsia="en-US"/>
    </w:rPr>
  </w:style>
  <w:style w:type="character" w:styleId="699">
    <w:name w:val="超链接"/>
    <w:next w:val="699"/>
    <w:link w:val="666"/>
    <w:uiPriority w:val="99"/>
    <w:qFormat/>
    <w:pPr>
      <w:pBdr/>
      <w:spacing/>
      <w:ind/>
    </w:pPr>
    <w:rPr>
      <w:color w:val="0000ff"/>
      <w:u w:val="single"/>
    </w:rPr>
  </w:style>
  <w:style w:type="character" w:styleId="700">
    <w:name w:val="font71"/>
    <w:next w:val="700"/>
    <w:link w:val="666"/>
    <w:pPr>
      <w:pBdr/>
      <w:spacing/>
      <w:ind/>
    </w:pPr>
    <w:rPr>
      <w:rFonts w:hint="eastAsia" w:ascii="仿宋" w:hAnsi="仿宋" w:eastAsia="仿宋"/>
      <w:color w:val="000000"/>
      <w:sz w:val="20"/>
      <w:szCs w:val="20"/>
      <w:u w:val="none"/>
    </w:rPr>
  </w:style>
  <w:style w:type="character" w:styleId="701">
    <w:name w:val="15"/>
    <w:next w:val="701"/>
    <w:link w:val="666"/>
    <w:qFormat/>
    <w:pPr>
      <w:pBdr/>
      <w:spacing/>
      <w:ind/>
    </w:pPr>
    <w:rPr>
      <w:rFonts w:ascii="Times New Roman" w:hAnsi="Times New Roman" w:cs="Times New Roman"/>
      <w:sz w:val="20"/>
      <w:szCs w:val="20"/>
    </w:rPr>
  </w:style>
  <w:style w:type="character" w:styleId="702">
    <w:name w:val="批注框文本 Char"/>
    <w:next w:val="702"/>
    <w:link w:val="703"/>
    <w:pPr>
      <w:pBdr/>
      <w:spacing/>
      <w:ind/>
    </w:pPr>
    <w:rPr>
      <w:rFonts w:eastAsia="仿宋_GB2312"/>
      <w:sz w:val="18"/>
      <w:szCs w:val="18"/>
    </w:rPr>
  </w:style>
  <w:style w:type="paragraph" w:styleId="703">
    <w:name w:val="批注框文本"/>
    <w:basedOn w:val="666"/>
    <w:next w:val="703"/>
    <w:link w:val="702"/>
    <w:pPr>
      <w:pBdr/>
      <w:spacing/>
      <w:ind/>
    </w:pPr>
    <w:rPr>
      <w:sz w:val="18"/>
      <w:szCs w:val="18"/>
      <w:lang w:val="en-US" w:eastAsia="en-US"/>
    </w:rPr>
  </w:style>
  <w:style w:type="character" w:styleId="704">
    <w:name w:val="正文文本缩进 3 Char"/>
    <w:next w:val="704"/>
    <w:link w:val="705"/>
    <w:uiPriority w:val="99"/>
    <w:pPr>
      <w:pBdr/>
      <w:spacing/>
      <w:ind/>
    </w:pPr>
    <w:rPr>
      <w:sz w:val="27"/>
      <w:szCs w:val="24"/>
    </w:rPr>
  </w:style>
  <w:style w:type="paragraph" w:styleId="705">
    <w:name w:val="正文文本缩进 3"/>
    <w:basedOn w:val="666"/>
    <w:next w:val="705"/>
    <w:link w:val="704"/>
    <w:uiPriority w:val="99"/>
    <w:pPr>
      <w:pBdr/>
      <w:spacing/>
      <w:ind w:firstLine="570"/>
    </w:pPr>
    <w:rPr>
      <w:rFonts w:eastAsia="宋体"/>
      <w:sz w:val="27"/>
      <w:lang w:val="en-US" w:eastAsia="en-US"/>
    </w:rPr>
  </w:style>
  <w:style w:type="character" w:styleId="706">
    <w:name w:val="批注文字 Char"/>
    <w:next w:val="706"/>
    <w:link w:val="707"/>
    <w:pPr>
      <w:pBdr/>
      <w:spacing/>
      <w:ind/>
    </w:pPr>
    <w:rPr>
      <w:rFonts w:ascii="仿宋_GB2312" w:hAnsi="宋体" w:eastAsia="仿宋_GB2312" w:cs="新宋体"/>
      <w:bCs/>
      <w:sz w:val="144"/>
      <w:szCs w:val="144"/>
    </w:rPr>
  </w:style>
  <w:style w:type="paragraph" w:styleId="707">
    <w:name w:val="批注文字"/>
    <w:basedOn w:val="666"/>
    <w:next w:val="707"/>
    <w:link w:val="706"/>
    <w:qFormat/>
    <w:pPr>
      <w:pBdr/>
      <w:spacing/>
      <w:ind/>
      <w:jc w:val="left"/>
    </w:pPr>
    <w:rPr>
      <w:rFonts w:ascii="仿宋_GB2312" w:hAnsi="宋体"/>
      <w:bCs/>
      <w:sz w:val="144"/>
      <w:szCs w:val="144"/>
      <w:lang w:val="en-US" w:eastAsia="en-US"/>
    </w:rPr>
  </w:style>
  <w:style w:type="character" w:styleId="708">
    <w:name w:val="文档结构图 Char"/>
    <w:next w:val="708"/>
    <w:link w:val="709"/>
    <w:uiPriority w:val="99"/>
    <w:pPr>
      <w:pBdr/>
      <w:spacing/>
      <w:ind/>
    </w:pPr>
    <w:rPr>
      <w:sz w:val="21"/>
      <w:szCs w:val="24"/>
      <w:shd w:val="clear" w:color="auto" w:fill="000080"/>
    </w:rPr>
  </w:style>
  <w:style w:type="paragraph" w:styleId="709">
    <w:name w:val="文档结构图"/>
    <w:basedOn w:val="666"/>
    <w:next w:val="709"/>
    <w:link w:val="708"/>
    <w:uiPriority w:val="99"/>
    <w:pPr>
      <w:pBdr/>
      <w:shd w:val="clear" w:color="auto" w:fill="000080"/>
      <w:spacing/>
      <w:ind/>
    </w:pPr>
    <w:rPr>
      <w:rFonts w:eastAsia="宋体"/>
      <w:sz w:val="21"/>
      <w:lang w:val="en-US" w:eastAsia="en-US"/>
    </w:rPr>
  </w:style>
  <w:style w:type="character" w:styleId="710">
    <w:name w:val="页码"/>
    <w:basedOn w:val="673"/>
    <w:next w:val="710"/>
    <w:link w:val="666"/>
    <w:qFormat/>
    <w:pPr>
      <w:pBdr/>
      <w:spacing/>
      <w:ind/>
    </w:pPr>
  </w:style>
  <w:style w:type="character" w:styleId="711">
    <w:name w:val="日期 Char"/>
    <w:next w:val="711"/>
    <w:link w:val="712"/>
    <w:pPr>
      <w:pBdr/>
      <w:spacing/>
      <w:ind/>
    </w:pPr>
    <w:rPr>
      <w:rFonts w:eastAsia="仿宋_GB2312"/>
      <w:sz w:val="32"/>
      <w:szCs w:val="24"/>
    </w:rPr>
  </w:style>
  <w:style w:type="paragraph" w:styleId="712">
    <w:name w:val="日期"/>
    <w:basedOn w:val="666"/>
    <w:next w:val="666"/>
    <w:link w:val="711"/>
    <w:pPr>
      <w:pBdr/>
      <w:spacing/>
      <w:ind w:left="100"/>
    </w:pPr>
    <w:rPr>
      <w:lang w:val="en-US" w:eastAsia="en-US"/>
    </w:rPr>
  </w:style>
  <w:style w:type="character" w:styleId="713">
    <w:name w:val="要点"/>
    <w:next w:val="713"/>
    <w:link w:val="666"/>
    <w:qFormat/>
    <w:pPr>
      <w:pBdr/>
      <w:spacing/>
      <w:ind/>
    </w:pPr>
    <w:rPr>
      <w:b/>
      <w:bCs/>
    </w:rPr>
  </w:style>
  <w:style w:type="character" w:styleId="714">
    <w:name w:val="font01"/>
    <w:next w:val="714"/>
    <w:link w:val="666"/>
    <w:pPr>
      <w:pBdr/>
      <w:spacing/>
      <w:ind/>
    </w:pPr>
    <w:rPr>
      <w:rFonts w:hint="eastAsia" w:ascii="宋体" w:hAnsi="宋体" w:eastAsia="宋体"/>
      <w:color w:val="000000"/>
      <w:sz w:val="20"/>
      <w:szCs w:val="20"/>
      <w:u w:val="none"/>
    </w:rPr>
  </w:style>
  <w:style w:type="character" w:styleId="715">
    <w:name w:val="页眉 Char"/>
    <w:next w:val="715"/>
    <w:link w:val="716"/>
    <w:pPr>
      <w:pBdr/>
      <w:spacing/>
      <w:ind/>
    </w:pPr>
    <w:rPr>
      <w:rFonts w:eastAsia="仿宋_GB2312"/>
      <w:sz w:val="18"/>
      <w:szCs w:val="24"/>
    </w:rPr>
  </w:style>
  <w:style w:type="paragraph" w:styleId="716">
    <w:name w:val="页眉"/>
    <w:basedOn w:val="666"/>
    <w:next w:val="716"/>
    <w:link w:val="715"/>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line="240" w:lineRule="auto"/>
      <w:ind/>
      <w:jc w:val="both"/>
      <w:outlineLvl w:val="9"/>
    </w:pPr>
    <w:rPr>
      <w:sz w:val="18"/>
      <w:lang w:val="en-US" w:eastAsia="en-US"/>
    </w:rPr>
  </w:style>
  <w:style w:type="character" w:styleId="717">
    <w:name w:val="页脚 Char"/>
    <w:next w:val="717"/>
    <w:link w:val="718"/>
    <w:pPr>
      <w:pBdr/>
      <w:spacing/>
      <w:ind/>
    </w:pPr>
    <w:rPr>
      <w:rFonts w:eastAsia="仿宋_GB2312"/>
      <w:sz w:val="18"/>
      <w:szCs w:val="24"/>
    </w:rPr>
  </w:style>
  <w:style w:type="paragraph" w:styleId="718">
    <w:name w:val="页脚"/>
    <w:basedOn w:val="666"/>
    <w:next w:val="718"/>
    <w:link w:val="717"/>
    <w:qFormat/>
    <w:pPr>
      <w:pBdr/>
      <w:tabs>
        <w:tab w:val="center" w:leader="none" w:pos="4153"/>
        <w:tab w:val="right" w:leader="none" w:pos="8306"/>
      </w:tabs>
      <w:spacing/>
      <w:ind/>
      <w:jc w:val="left"/>
    </w:pPr>
    <w:rPr>
      <w:sz w:val="18"/>
      <w:lang w:val="en-US" w:eastAsia="en-US"/>
    </w:rPr>
  </w:style>
  <w:style w:type="character" w:styleId="719">
    <w:name w:val="正文文本 2 Char"/>
    <w:next w:val="719"/>
    <w:link w:val="720"/>
    <w:uiPriority w:val="99"/>
    <w:pPr>
      <w:pBdr/>
      <w:spacing/>
      <w:ind/>
    </w:pPr>
    <w:rPr>
      <w:sz w:val="21"/>
      <w:szCs w:val="24"/>
    </w:rPr>
  </w:style>
  <w:style w:type="paragraph" w:styleId="720">
    <w:name w:val="正文文本 2"/>
    <w:basedOn w:val="666"/>
    <w:next w:val="720"/>
    <w:link w:val="719"/>
    <w:uiPriority w:val="99"/>
    <w:pPr>
      <w:pBdr/>
      <w:spacing w:after="120" w:line="480" w:lineRule="auto"/>
      <w:ind/>
    </w:pPr>
    <w:rPr>
      <w:rFonts w:eastAsia="宋体"/>
      <w:sz w:val="21"/>
      <w:lang w:val="en-US" w:eastAsia="en-US"/>
    </w:rPr>
  </w:style>
  <w:style w:type="character" w:styleId="721">
    <w:name w:val="纯文本 Char"/>
    <w:next w:val="721"/>
    <w:link w:val="722"/>
    <w:uiPriority w:val="99"/>
    <w:pPr>
      <w:pBdr/>
      <w:spacing/>
      <w:ind/>
    </w:pPr>
    <w:rPr>
      <w:rFonts w:ascii="宋体" w:hAnsi="Courier New" w:eastAsia="仿宋_GB2312" w:cs="Courier New"/>
      <w:sz w:val="32"/>
      <w:szCs w:val="21"/>
    </w:rPr>
  </w:style>
  <w:style w:type="paragraph" w:styleId="722">
    <w:name w:val="纯文本"/>
    <w:basedOn w:val="666"/>
    <w:next w:val="722"/>
    <w:link w:val="721"/>
    <w:uiPriority w:val="99"/>
    <w:pPr>
      <w:pBdr/>
      <w:spacing/>
      <w:ind/>
    </w:pPr>
    <w:rPr>
      <w:rFonts w:ascii="宋体" w:hAnsi="Courier New"/>
      <w:szCs w:val="21"/>
      <w:lang w:val="en-US" w:eastAsia="en-US"/>
    </w:rPr>
  </w:style>
  <w:style w:type="character" w:styleId="723">
    <w:name w:val="正文文本 Char"/>
    <w:next w:val="723"/>
    <w:link w:val="724"/>
    <w:pPr>
      <w:pBdr/>
      <w:spacing/>
      <w:ind/>
    </w:pPr>
    <w:rPr>
      <w:rFonts w:ascii="宋体" w:hAnsi="宋体"/>
      <w:sz w:val="28"/>
      <w:szCs w:val="24"/>
    </w:rPr>
  </w:style>
  <w:style w:type="paragraph" w:styleId="724">
    <w:name w:val="正文文本"/>
    <w:basedOn w:val="666"/>
    <w:next w:val="724"/>
    <w:link w:val="723"/>
    <w:qFormat/>
    <w:pPr>
      <w:pBdr/>
      <w:spacing w:line="460" w:lineRule="exact"/>
      <w:ind/>
    </w:pPr>
    <w:rPr>
      <w:rFonts w:ascii="宋体" w:hAnsi="宋体" w:eastAsia="宋体"/>
      <w:sz w:val="28"/>
      <w:lang w:val="en-US" w:eastAsia="en-US"/>
    </w:rPr>
  </w:style>
  <w:style w:type="character" w:styleId="725">
    <w:name w:val="font21"/>
    <w:next w:val="725"/>
    <w:link w:val="666"/>
    <w:pPr>
      <w:pBdr/>
      <w:spacing/>
      <w:ind/>
    </w:pPr>
    <w:rPr>
      <w:rFonts w:ascii="Times New Roman" w:hAnsi="Times New Roman" w:cs="Times New Roman"/>
      <w:color w:val="000000"/>
      <w:sz w:val="20"/>
      <w:szCs w:val="20"/>
      <w:u w:val="none"/>
    </w:rPr>
  </w:style>
  <w:style w:type="paragraph" w:styleId="726">
    <w:name w:val="p0"/>
    <w:basedOn w:val="666"/>
    <w:next w:val="726"/>
    <w:link w:val="666"/>
    <w:pPr>
      <w:widowControl w:val="true"/>
      <w:pBdr/>
      <w:spacing/>
      <w:ind/>
    </w:pPr>
    <w:rPr>
      <w:szCs w:val="21"/>
    </w:rPr>
  </w:style>
  <w:style w:type="paragraph" w:styleId="727">
    <w:name w:val=" Char Char Char1 Char Char Char Char Char Char Char Char Char Char Char Char Char Char Char Char Char Char Char"/>
    <w:basedOn w:val="666"/>
    <w:next w:val="666"/>
    <w:link w:val="666"/>
    <w:pPr>
      <w:pBdr/>
      <w:spacing w:line="360" w:lineRule="auto"/>
      <w:ind w:firstLine="200"/>
    </w:pPr>
    <w:rPr>
      <w:rFonts w:ascii="宋体" w:hAnsi="宋体" w:eastAsia="宋体" w:cs="宋体"/>
      <w:sz w:val="24"/>
      <w:szCs w:val="24"/>
    </w:rPr>
  </w:style>
  <w:style w:type="paragraph" w:styleId="728">
    <w:name w:val="Char Char Char Char"/>
    <w:basedOn w:val="666"/>
    <w:next w:val="728"/>
    <w:link w:val="666"/>
    <w:pPr>
      <w:pBdr/>
      <w:spacing/>
      <w:ind/>
    </w:pPr>
    <w:rPr>
      <w:rFonts w:eastAsia="宋体"/>
      <w:sz w:val="21"/>
    </w:rPr>
  </w:style>
  <w:style w:type="paragraph" w:styleId="729">
    <w:name w:val="目录 1"/>
    <w:basedOn w:val="666"/>
    <w:next w:val="666"/>
    <w:link w:val="666"/>
    <w:uiPriority w:val="39"/>
    <w:qFormat/>
    <w:pPr>
      <w:pBdr/>
      <w:spacing w:line="360" w:lineRule="auto"/>
      <w:ind/>
    </w:pPr>
    <w:rPr>
      <w:rFonts w:eastAsia="宋体"/>
      <w:sz w:val="24"/>
      <w:szCs w:val="22"/>
    </w:rPr>
  </w:style>
  <w:style w:type="paragraph" w:styleId="730">
    <w:name w:val="p15"/>
    <w:basedOn w:val="666"/>
    <w:next w:val="730"/>
    <w:link w:val="666"/>
    <w:uiPriority w:val="3"/>
    <w:pPr>
      <w:widowControl w:val="true"/>
      <w:pBdr/>
      <w:spacing w:after="100" w:before="100"/>
      <w:ind/>
      <w:jc w:val="left"/>
    </w:pPr>
    <w:rPr>
      <w:rFonts w:ascii="宋体" w:hAnsi="宋体" w:cs="宋体"/>
      <w:sz w:val="24"/>
      <w:szCs w:val="24"/>
    </w:rPr>
  </w:style>
  <w:style w:type="paragraph" w:styleId="731">
    <w:name w:val="引文目录1"/>
    <w:basedOn w:val="666"/>
    <w:next w:val="666"/>
    <w:link w:val="666"/>
    <w:qFormat/>
    <w:pPr>
      <w:pBdr/>
      <w:spacing w:line="360" w:lineRule="auto"/>
      <w:ind w:left="420"/>
    </w:pPr>
    <w:rPr>
      <w:rFonts w:eastAsia="宋体"/>
      <w:sz w:val="24"/>
      <w:szCs w:val="32"/>
    </w:rPr>
  </w:style>
  <w:style w:type="paragraph" w:styleId="732">
    <w:name w:val=" Char"/>
    <w:basedOn w:val="666"/>
    <w:next w:val="732"/>
    <w:link w:val="666"/>
    <w:pPr>
      <w:pBdr/>
      <w:spacing w:line="180" w:lineRule="auto"/>
      <w:ind w:firstLine="200"/>
      <w:jc w:val="left"/>
    </w:pPr>
    <w:rPr>
      <w:szCs w:val="24"/>
    </w:rPr>
  </w:style>
  <w:style w:type="paragraph" w:styleId="733">
    <w:name w:val="无间隔"/>
    <w:next w:val="733"/>
    <w:link w:val="666"/>
    <w:uiPriority w:val="99"/>
    <w:qFormat/>
    <w:pPr>
      <w:widowControl w:val="false"/>
      <w:pBdr/>
      <w:spacing/>
      <w:ind/>
      <w:jc w:val="both"/>
    </w:pPr>
    <w:rPr>
      <w:rFonts w:eastAsia="仿宋_GB2312"/>
      <w:sz w:val="32"/>
      <w:szCs w:val="24"/>
      <w:lang w:val="en-US" w:eastAsia="zh-CN" w:bidi="ar-SA"/>
    </w:rPr>
  </w:style>
  <w:style w:type="paragraph" w:styleId="734">
    <w:name w:val="p17"/>
    <w:basedOn w:val="666"/>
    <w:next w:val="734"/>
    <w:link w:val="666"/>
    <w:pPr>
      <w:widowControl w:val="true"/>
      <w:pBdr/>
      <w:spacing w:after="100" w:before="100"/>
      <w:ind/>
      <w:jc w:val="left"/>
    </w:pPr>
    <w:rPr>
      <w:rFonts w:ascii="宋体" w:hAnsi="宋体" w:cs="宋体"/>
      <w:sz w:val="24"/>
      <w:szCs w:val="24"/>
    </w:rPr>
  </w:style>
  <w:style w:type="paragraph" w:styleId="735">
    <w:name w:val="正文首行缩进 21"/>
    <w:basedOn w:val="736"/>
    <w:next w:val="735"/>
    <w:link w:val="666"/>
    <w:qFormat/>
    <w:pPr>
      <w:pBdr/>
      <w:spacing/>
      <w:ind w:firstLine="420"/>
    </w:pPr>
  </w:style>
  <w:style w:type="paragraph" w:styleId="736">
    <w:name w:val="正文文本缩进1"/>
    <w:basedOn w:val="666"/>
    <w:next w:val="666"/>
    <w:link w:val="666"/>
    <w:qFormat/>
    <w:pPr>
      <w:pBdr/>
      <w:spacing w:after="120" w:line="360" w:lineRule="auto"/>
      <w:ind w:left="420"/>
    </w:pPr>
    <w:rPr>
      <w:rFonts w:eastAsia="宋体"/>
      <w:sz w:val="24"/>
      <w:szCs w:val="22"/>
    </w:rPr>
  </w:style>
  <w:style w:type="paragraph" w:styleId="737">
    <w:name w:val="一级标题"/>
    <w:next w:val="724"/>
    <w:link w:val="666"/>
    <w:qFormat/>
    <w:pPr>
      <w:pBdr/>
      <w:spacing/>
      <w:ind w:firstLine="880"/>
    </w:pPr>
    <w:rPr>
      <w:rFonts w:ascii="Calibri" w:hAnsi="Calibri" w:eastAsia="黑体"/>
      <w:sz w:val="32"/>
      <w:lang w:val="en-US" w:eastAsia="zh-CN" w:bidi="ar-SA"/>
    </w:rPr>
  </w:style>
  <w:style w:type="paragraph" w:styleId="738">
    <w:name w:val="表内-仿宋国标5号"/>
    <w:basedOn w:val="666"/>
    <w:next w:val="738"/>
    <w:link w:val="666"/>
    <w:qFormat/>
    <w:pPr>
      <w:widowControl w:val="true"/>
      <w:pBdr/>
      <w:spacing/>
      <w:ind/>
      <w:jc w:val="left"/>
    </w:pPr>
    <w:rPr>
      <w:rFonts w:ascii="仿宋_GB2312" w:hAnsi="仿宋_GB2312" w:eastAsia="宋体" w:cs="宋体"/>
      <w:bCs/>
      <w:sz w:val="21"/>
      <w:szCs w:val="30"/>
    </w:rPr>
  </w:style>
  <w:style w:type="paragraph" w:styleId="739">
    <w:name w:val="引文目录"/>
    <w:basedOn w:val="666"/>
    <w:next w:val="666"/>
    <w:link w:val="666"/>
    <w:qFormat/>
    <w:pPr>
      <w:pBdr/>
      <w:spacing/>
      <w:ind w:left="420"/>
    </w:pPr>
    <w:rPr>
      <w:rFonts w:ascii="Calibri" w:hAnsi="Calibri" w:eastAsia="宋体"/>
      <w:szCs w:val="32"/>
    </w:rPr>
  </w:style>
  <w:style w:type="paragraph" w:styleId="740">
    <w:name w:val="大标题"/>
    <w:basedOn w:val="666"/>
    <w:next w:val="740"/>
    <w:link w:val="666"/>
    <w:qFormat/>
    <w:pPr>
      <w:pBdr/>
      <w:spacing w:line="560" w:lineRule="exact"/>
      <w:ind/>
      <w:jc w:val="center"/>
    </w:pPr>
    <w:rPr>
      <w:rFonts w:ascii="Calibri" w:hAnsi="Calibri" w:eastAsia="方正小标宋简体"/>
      <w:sz w:val="44"/>
      <w:szCs w:val="22"/>
    </w:rPr>
  </w:style>
  <w:style w:type="paragraph" w:styleId="741">
    <w:name w:val="正文 New"/>
    <w:next w:val="741"/>
    <w:link w:val="666"/>
    <w:pPr>
      <w:widowControl w:val="false"/>
      <w:pBdr/>
      <w:spacing/>
      <w:ind/>
      <w:jc w:val="both"/>
    </w:pPr>
    <w:rPr>
      <w:rFonts w:ascii="Calibri" w:hAnsi="Calibri"/>
      <w:sz w:val="21"/>
      <w:szCs w:val="24"/>
      <w:lang w:val="en-US" w:eastAsia="zh-CN" w:bidi="ar-SA"/>
    </w:rPr>
  </w:style>
  <w:style w:type="paragraph" w:styleId="742">
    <w:name w:val="Default"/>
    <w:next w:val="742"/>
    <w:link w:val="666"/>
    <w:qFormat/>
    <w:pPr>
      <w:widowControl w:val="false"/>
      <w:pBdr/>
      <w:spacing/>
      <w:ind/>
    </w:pPr>
    <w:rPr>
      <w:rFonts w:hint="eastAsia" w:ascii="文星仿宋..嬀." w:hAnsi="文星仿宋..嬀." w:eastAsia="文星仿宋..嬀."/>
      <w:color w:val="000000"/>
      <w:sz w:val="24"/>
      <w:szCs w:val="22"/>
      <w:lang w:val="en-US" w:eastAsia="zh-CN" w:bidi="ar-SA"/>
    </w:rPr>
  </w:style>
  <w:style w:type="paragraph" w:styleId="743">
    <w:name w:val="leaidx"/>
    <w:basedOn w:val="666"/>
    <w:next w:val="743"/>
    <w:link w:val="666"/>
    <w:pPr>
      <w:widowControl w:val="true"/>
      <w:pBdr/>
      <w:spacing w:after="100" w:afterAutospacing="1" w:before="100" w:beforeAutospacing="1"/>
      <w:ind/>
      <w:jc w:val="left"/>
    </w:pPr>
    <w:rPr>
      <w:rFonts w:ascii="宋体" w:hAnsi="宋体" w:eastAsia="宋体" w:cs="宋体"/>
      <w:sz w:val="24"/>
    </w:rPr>
  </w:style>
  <w:style w:type="paragraph" w:styleId="744">
    <w:name w:val="_Style 9"/>
    <w:basedOn w:val="666"/>
    <w:next w:val="744"/>
    <w:link w:val="666"/>
    <w:qFormat/>
    <w:pPr>
      <w:pBdr/>
      <w:spacing w:line="360" w:lineRule="auto"/>
      <w:ind w:firstLine="200"/>
      <w:jc w:val="left"/>
    </w:pPr>
    <w:rPr>
      <w:szCs w:val="32"/>
    </w:rPr>
  </w:style>
  <w:style w:type="paragraph" w:styleId="745">
    <w:name w:val="列出段落"/>
    <w:basedOn w:val="666"/>
    <w:next w:val="745"/>
    <w:link w:val="666"/>
    <w:uiPriority w:val="34"/>
    <w:qFormat/>
    <w:pPr>
      <w:pBdr/>
      <w:spacing/>
      <w:ind w:firstLine="420"/>
    </w:pPr>
    <w:rPr>
      <w:rFonts w:ascii="等线" w:hAnsi="等线" w:eastAsia="等线"/>
      <w:sz w:val="21"/>
      <w:szCs w:val="22"/>
    </w:rPr>
  </w:style>
  <w:style w:type="paragraph" w:styleId="746">
    <w:name w:val="报告正文1"/>
    <w:basedOn w:val="666"/>
    <w:next w:val="746"/>
    <w:link w:val="666"/>
    <w:pPr>
      <w:pBdr/>
      <w:spacing w:line="580" w:lineRule="exact"/>
      <w:ind w:firstLine="200"/>
    </w:pPr>
    <w:rPr>
      <w:rFonts w:eastAsia="方正仿宋_GBK" w:cs="宋体"/>
      <w:sz w:val="21"/>
      <w:szCs w:val="20"/>
    </w:rPr>
  </w:style>
  <w:style w:type="paragraph" w:styleId="747">
    <w:name w:val="目录 2"/>
    <w:basedOn w:val="666"/>
    <w:next w:val="666"/>
    <w:link w:val="666"/>
    <w:uiPriority w:val="39"/>
    <w:qFormat/>
    <w:pPr>
      <w:pBdr/>
      <w:spacing w:line="360" w:lineRule="auto"/>
      <w:ind w:left="420"/>
    </w:pPr>
    <w:rPr>
      <w:rFonts w:eastAsia="宋体"/>
      <w:sz w:val="24"/>
      <w:szCs w:val="22"/>
    </w:rPr>
  </w:style>
  <w:style w:type="paragraph" w:styleId="748">
    <w:name w:val="Char"/>
    <w:basedOn w:val="666"/>
    <w:next w:val="748"/>
    <w:link w:val="666"/>
    <w:qFormat/>
    <w:pPr>
      <w:pBdr/>
      <w:tabs>
        <w:tab w:val="left" w:leader="none" w:pos="360"/>
      </w:tabs>
      <w:spacing/>
      <w:ind w:hanging="420" w:left="420"/>
    </w:pPr>
    <w:rPr>
      <w:rFonts w:ascii="Calibri" w:hAnsi="Calibri" w:eastAsia="宋体"/>
      <w:sz w:val="24"/>
    </w:rPr>
  </w:style>
  <w:style w:type="paragraph" w:styleId="749">
    <w:name w:val="List Paragraph"/>
    <w:basedOn w:val="666"/>
    <w:next w:val="749"/>
    <w:link w:val="666"/>
    <w:qFormat/>
    <w:pPr>
      <w:pBdr/>
      <w:spacing/>
      <w:ind w:firstLine="420"/>
    </w:pPr>
    <w:rPr>
      <w:rFonts w:ascii="Calibri" w:hAnsi="Calibri" w:eastAsia="宋体"/>
      <w:sz w:val="21"/>
      <w:szCs w:val="22"/>
    </w:rPr>
  </w:style>
  <w:style w:type="paragraph" w:styleId="750">
    <w:name w:val="普通(网站)"/>
    <w:basedOn w:val="666"/>
    <w:next w:val="750"/>
    <w:link w:val="666"/>
    <w:qFormat/>
    <w:pPr>
      <w:widowControl w:val="true"/>
      <w:pBdr/>
      <w:spacing/>
      <w:ind/>
      <w:jc w:val="left"/>
    </w:pPr>
    <w:rPr>
      <w:rFonts w:ascii="宋体" w:hAnsi="宋体" w:cs="宋体"/>
      <w:sz w:val="24"/>
    </w:rPr>
  </w:style>
  <w:style w:type="paragraph" w:styleId="751">
    <w:name w:val="p18"/>
    <w:basedOn w:val="666"/>
    <w:next w:val="751"/>
    <w:link w:val="666"/>
    <w:pPr>
      <w:widowControl w:val="true"/>
      <w:pBdr/>
      <w:spacing w:after="100" w:afterAutospacing="1" w:before="100" w:beforeAutospacing="1"/>
      <w:ind/>
      <w:jc w:val="left"/>
    </w:pPr>
    <w:rPr>
      <w:rFonts w:ascii="宋体" w:hAnsi="宋体" w:cs="宋体"/>
      <w:sz w:val="24"/>
      <w:szCs w:val="24"/>
    </w:rPr>
  </w:style>
  <w:style w:type="paragraph" w:styleId="752">
    <w:name w:val="TableOfAuthoring1"/>
    <w:next w:val="666"/>
    <w:link w:val="666"/>
    <w:qFormat/>
    <w:pPr>
      <w:widowControl w:val="false"/>
      <w:pBdr/>
      <w:spacing/>
      <w:ind w:left="420"/>
      <w:jc w:val="both"/>
    </w:pPr>
    <w:rPr>
      <w:rFonts w:ascii="Calibri" w:hAnsi="Calibri"/>
      <w:sz w:val="21"/>
      <w:szCs w:val="24"/>
      <w:lang w:val="en-US" w:eastAsia="zh-CN" w:bidi="ar-SA"/>
    </w:rPr>
  </w:style>
  <w:style w:type="paragraph" w:styleId="753">
    <w:name w:val="p16"/>
    <w:basedOn w:val="666"/>
    <w:next w:val="753"/>
    <w:link w:val="666"/>
    <w:pPr>
      <w:widowControl w:val="true"/>
      <w:pBdr/>
      <w:spacing w:after="100" w:before="100"/>
      <w:ind/>
      <w:jc w:val="left"/>
    </w:pPr>
    <w:rPr>
      <w:rFonts w:ascii="宋体" w:hAnsi="宋体" w:cs="宋体"/>
      <w:sz w:val="24"/>
      <w:szCs w:val="24"/>
    </w:rPr>
  </w:style>
  <w:style w:type="paragraph" w:styleId="754">
    <w:name w:val="三级标题"/>
    <w:next w:val="754"/>
    <w:link w:val="666"/>
    <w:qFormat/>
    <w:pPr>
      <w:pBdr/>
      <w:spacing w:line="560" w:lineRule="exact"/>
      <w:ind w:firstLine="640"/>
    </w:pPr>
    <w:rPr>
      <w:rFonts w:ascii="Calibri" w:hAnsi="Calibri" w:eastAsia="仿宋_GB2312"/>
      <w:b/>
      <w:sz w:val="32"/>
      <w:lang w:val="en-US" w:eastAsia="zh-CN" w:bidi="ar-SA"/>
    </w:rPr>
  </w:style>
  <w:style w:type="table" w:styleId="755">
    <w:name w:val="网格型1"/>
    <w:basedOn w:val="674"/>
    <w:next w:val="755"/>
    <w:link w:val="666"/>
    <w:uiPriority w:val="59"/>
    <w:qFormat/>
    <w:pPr>
      <w:pBdr/>
      <w:spacing/>
      <w:ind/>
    </w:pPr>
    <w:rPr>
      <w:rFonts w:ascii="Calibri" w:hAnsi="Calibri"/>
      <w:sz w:val="21"/>
      <w:szCs w:val="22"/>
    </w:r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6">
    <w:name w:val="标题 5 Char"/>
    <w:basedOn w:val="673"/>
    <w:next w:val="756"/>
    <w:link w:val="671"/>
    <w:pPr>
      <w:pBdr/>
      <w:spacing/>
      <w:ind/>
    </w:pPr>
    <w:rPr>
      <w:rFonts w:ascii="宋体" w:hAnsi="宋体"/>
      <w:b/>
      <w:bCs/>
    </w:rPr>
  </w:style>
  <w:style w:type="character" w:styleId="757">
    <w:name w:val="标题 6 Char"/>
    <w:basedOn w:val="673"/>
    <w:next w:val="757"/>
    <w:link w:val="672"/>
    <w:pPr>
      <w:pBdr/>
      <w:spacing/>
      <w:ind/>
    </w:pPr>
    <w:rPr>
      <w:rFonts w:ascii="宋体" w:hAnsi="宋体"/>
      <w:b/>
      <w:bCs/>
      <w:sz w:val="15"/>
      <w:szCs w:val="15"/>
    </w:rPr>
  </w:style>
  <w:style w:type="paragraph" w:styleId="758">
    <w:name w:val="普通(网站) Char"/>
    <w:basedOn w:val="666"/>
    <w:next w:val="758"/>
    <w:link w:val="666"/>
    <w:qFormat/>
    <w:pPr>
      <w:widowControl w:val="true"/>
      <w:pBdr/>
      <w:spacing w:after="100" w:afterAutospacing="1" w:before="100" w:beforeAutospacing="1"/>
      <w:ind/>
      <w:jc w:val="left"/>
    </w:pPr>
    <w:rPr>
      <w:rFonts w:hint="eastAsia" w:ascii="宋体" w:hAnsi="宋体" w:eastAsia="宋体"/>
      <w:sz w:val="24"/>
    </w:rPr>
  </w:style>
  <w:style w:type="paragraph" w:styleId="759">
    <w:name w:val="普通(网站) Char Char"/>
    <w:basedOn w:val="666"/>
    <w:next w:val="759"/>
    <w:link w:val="666"/>
    <w:qFormat/>
    <w:pPr>
      <w:widowControl w:val="true"/>
      <w:pBdr/>
      <w:spacing w:after="100" w:afterAutospacing="1" w:before="100" w:beforeAutospacing="1"/>
      <w:ind/>
      <w:jc w:val="left"/>
    </w:pPr>
    <w:rPr>
      <w:rFonts w:hint="eastAsia" w:ascii="宋体" w:hAnsi="宋体" w:eastAsia="宋体"/>
      <w:sz w:val="24"/>
    </w:rPr>
  </w:style>
  <w:style w:type="character" w:styleId="2457" w:default="1">
    <w:name w:val="Default Paragraph Font"/>
    <w:uiPriority w:val="1"/>
    <w:semiHidden/>
    <w:unhideWhenUsed/>
    <w:pPr>
      <w:pBdr/>
      <w:spacing/>
      <w:ind/>
    </w:pPr>
  </w:style>
  <w:style w:type="numbering" w:styleId="2458" w:default="1">
    <w:name w:val="No List"/>
    <w:uiPriority w:val="99"/>
    <w:semiHidden/>
    <w:unhideWhenUsed/>
    <w:pPr>
      <w:pBdr/>
      <w:spacing/>
      <w:ind/>
    </w:pPr>
  </w:style>
  <w:style w:type="table" w:styleId="2459"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dc:title>
  <dc:creator>Administrator</dc:creator>
  <cp:lastModifiedBy>匿名</cp:lastModifiedBy>
  <cp:revision>20</cp:revision>
  <dcterms:created xsi:type="dcterms:W3CDTF">2023-04-20T01:58:00Z</dcterms:created>
  <dcterms:modified xsi:type="dcterms:W3CDTF">2024-06-06T06:25:17Z</dcterms:modified>
  <cp:version>786432</cp:version>
</cp:coreProperties>
</file>