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7</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Bdr/>
        <w:spacing w:line="560" w:lineRule="exact"/>
        <w:ind/>
        <w:jc w:val="center"/>
        <w:rPr>
          <w:rFonts w:hint="eastAsia" w:eastAsia="方正大标宋简体"/>
          <w:sz w:val="44"/>
          <w:szCs w:val="44"/>
        </w:rPr>
      </w:pPr>
      <w:r>
        <w:rPr>
          <w:rFonts w:hint="eastAsia" w:eastAsia="方正大标宋简体"/>
          <w:sz w:val="44"/>
          <w:szCs w:val="44"/>
        </w:rPr>
        <w:t xml:space="preserve">关于印发忻州市推进多式联运发展</w:t>
      </w:r>
      <w:r>
        <w:rPr>
          <w:rFonts w:hint="eastAsia" w:eastAsia="方正大标宋简体"/>
          <w:sz w:val="44"/>
          <w:szCs w:val="44"/>
        </w:rPr>
      </w:r>
    </w:p>
    <w:p>
      <w:pPr>
        <w:pBdr/>
        <w:spacing w:line="560" w:lineRule="exact"/>
        <w:ind/>
        <w:jc w:val="center"/>
        <w:rPr>
          <w:rFonts w:hint="eastAsia" w:eastAsia="方正大标宋简体"/>
          <w:sz w:val="44"/>
          <w:szCs w:val="44"/>
        </w:rPr>
      </w:pPr>
      <w:r>
        <w:rPr>
          <w:rFonts w:hint="eastAsia" w:eastAsia="方正大标宋简体"/>
          <w:sz w:val="44"/>
          <w:szCs w:val="44"/>
        </w:rPr>
        <w:t xml:space="preserve">优化调整运输结构工作实施方案</w:t>
      </w:r>
      <w:r>
        <w:rPr>
          <w:rFonts w:hint="eastAsia" w:eastAsia="方正大标宋简体"/>
          <w:sz w:val="44"/>
          <w:szCs w:val="44"/>
        </w:rPr>
      </w:r>
    </w:p>
    <w:p>
      <w:pPr>
        <w:pBdr/>
        <w:spacing w:line="560" w:lineRule="exact"/>
        <w:ind/>
        <w:jc w:val="center"/>
        <w:rPr>
          <w:rFonts w:hint="eastAsia" w:eastAsia="方正大标宋简体"/>
          <w:sz w:val="44"/>
          <w:szCs w:val="44"/>
        </w:rPr>
      </w:pPr>
      <w:r>
        <w:rPr>
          <w:rFonts w:hint="eastAsia" w:eastAsia="方正大标宋简体"/>
          <w:sz w:val="44"/>
          <w:szCs w:val="44"/>
        </w:rPr>
        <w:t xml:space="preserve">（</w:t>
      </w:r>
      <w:r>
        <w:rPr>
          <w:rFonts w:hint="eastAsia" w:eastAsia="方正大标宋简体"/>
          <w:sz w:val="44"/>
          <w:szCs w:val="44"/>
        </w:rPr>
        <w:t xml:space="preserve">2023</w:t>
      </w:r>
      <w:r>
        <w:rPr>
          <w:rFonts w:hint="eastAsia" w:eastAsia="方正大标宋简体"/>
          <w:sz w:val="44"/>
          <w:szCs w:val="44"/>
        </w:rPr>
        <w:t xml:space="preserve">—</w:t>
      </w:r>
      <w:r>
        <w:rPr>
          <w:rFonts w:hint="eastAsia" w:eastAsia="方正大标宋简体"/>
          <w:sz w:val="44"/>
          <w:szCs w:val="44"/>
        </w:rPr>
        <w:t xml:space="preserve">2025</w:t>
      </w:r>
      <w:r>
        <w:rPr>
          <w:rFonts w:hint="eastAsia" w:eastAsia="方正大标宋简体"/>
          <w:sz w:val="44"/>
          <w:szCs w:val="44"/>
        </w:rPr>
        <w:t xml:space="preserve">年）的通知</w:t>
      </w:r>
      <w:r>
        <w:rPr>
          <w:rFonts w:hint="eastAsia" w:eastAsia="方正大标宋简体"/>
          <w:sz w:val="44"/>
          <w:szCs w:val="44"/>
        </w:rPr>
      </w:r>
    </w:p>
    <w:p>
      <w:pPr>
        <w:pBdr/>
        <w:spacing w:line="400" w:lineRule="exact"/>
        <w:ind/>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Bdr/>
        <w:spacing w:line="560" w:lineRule="exact"/>
        <w:ind/>
        <w:rPr>
          <w:rFonts w:eastAsia="仿宋_GB2312"/>
          <w:sz w:val="32"/>
          <w:szCs w:val="32"/>
        </w:rPr>
      </w:pPr>
      <w:r>
        <w:rPr>
          <w:rFonts w:eastAsia="仿宋_GB2312"/>
          <w:sz w:val="32"/>
          <w:szCs w:val="32"/>
        </w:rPr>
        <w:t xml:space="preserve">各县（市、区）人民政府、忻州经济开发区管委会、五台山风景名胜区管委会，市人民政府各委、办、局：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《忻州市推进多式联运发展优化调整运输结构工作实施方案（</w:t>
      </w:r>
      <w:r>
        <w:rPr>
          <w:rFonts w:eastAsia="仿宋_GB2312"/>
          <w:sz w:val="32"/>
          <w:szCs w:val="32"/>
        </w:rPr>
        <w:t xml:space="preserve">2023—2025</w:t>
      </w:r>
      <w:r>
        <w:rPr>
          <w:rFonts w:eastAsia="仿宋_GB2312"/>
          <w:sz w:val="32"/>
          <w:szCs w:val="32"/>
        </w:rPr>
        <w:t xml:space="preserve">年）》已经市人民政府同意，现印发给你们，请认真组织实施。</w:t>
      </w:r>
      <w:r>
        <w:rPr>
          <w:rFonts w:eastAsia="仿宋_GB2312"/>
          <w:sz w:val="32"/>
          <w:szCs w:val="32"/>
        </w:rPr>
      </w:r>
    </w:p>
    <w:p>
      <w:pPr>
        <w:pBdr/>
        <w:spacing w:line="40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jc w:val="right"/>
        <w:rPr>
          <w:rFonts w:eastAsia="仿宋_GB2312"/>
          <w:sz w:val="32"/>
          <w:szCs w:val="32"/>
        </w:rPr>
      </w:pPr>
      <w:r>
        <w:rPr>
          <w:rFonts w:eastAsia="仿宋_GB2312"/>
          <w:sz w:val="32"/>
          <w:szCs w:val="32"/>
        </w:rPr>
        <w:t xml:space="preserve">                        </w:t>
      </w:r>
      <w:r>
        <w:rPr>
          <w:rFonts w:eastAsia="仿宋_GB2312"/>
          <w:sz w:val="32"/>
          <w:szCs w:val="32"/>
        </w:rPr>
        <w:t xml:space="preserve">忻州市人民政府办公室</w:t>
      </w:r>
      <w:r>
        <w:rPr>
          <w:rFonts w:hint="eastAsia" w:eastAsia="仿宋_GB2312"/>
          <w:sz w:val="32"/>
          <w:szCs w:val="32"/>
        </w:rPr>
        <w:t xml:space="preserve">      </w:t>
      </w:r>
      <w:r>
        <w:rPr>
          <w:rFonts w:eastAsia="仿宋_GB2312"/>
          <w:sz w:val="32"/>
          <w:szCs w:val="32"/>
        </w:rPr>
      </w:r>
    </w:p>
    <w:p>
      <w:pPr>
        <w:pBdr/>
        <w:spacing w:line="560" w:lineRule="exact"/>
        <w:ind w:firstLine="640"/>
        <w:jc w:val="right"/>
        <w:rPr>
          <w:rFonts w:eastAsia="仿宋_GB2312"/>
          <w:sz w:val="32"/>
          <w:szCs w:val="32"/>
        </w:rPr>
      </w:pPr>
      <w:r>
        <w:rPr>
          <w:rFonts w:eastAsia="仿宋_GB2312"/>
          <w:sz w:val="32"/>
          <w:szCs w:val="32"/>
        </w:rPr>
        <w:t xml:space="preserve">                            2023</w:t>
      </w:r>
      <w:r>
        <w:rPr>
          <w:rFonts w:eastAsia="仿宋_GB2312"/>
          <w:sz w:val="32"/>
          <w:szCs w:val="32"/>
        </w:rPr>
        <w:t xml:space="preserve">年</w:t>
      </w:r>
      <w:r>
        <w:rPr>
          <w:rFonts w:eastAsia="仿宋_GB2312"/>
          <w:sz w:val="32"/>
          <w:szCs w:val="32"/>
        </w:rPr>
        <w:t xml:space="preserve">2</w:t>
      </w:r>
      <w:r>
        <w:rPr>
          <w:rFonts w:eastAsia="仿宋_GB2312"/>
          <w:sz w:val="32"/>
          <w:szCs w:val="32"/>
        </w:rPr>
        <w:t xml:space="preserve">月</w:t>
      </w:r>
      <w:r>
        <w:rPr>
          <w:rFonts w:eastAsia="仿宋_GB2312"/>
          <w:sz w:val="32"/>
          <w:szCs w:val="32"/>
        </w:rPr>
        <w:t xml:space="preserve">21</w:t>
      </w:r>
      <w:r>
        <w:rPr>
          <w:rFonts w:eastAsia="仿宋_GB2312"/>
          <w:sz w:val="32"/>
          <w:szCs w:val="32"/>
        </w:rPr>
        <w:t xml:space="preserve">日</w:t>
      </w:r>
      <w:r>
        <w:rPr>
          <w:rFonts w:hint="eastAsia" w:eastAsia="仿宋_GB2312"/>
          <w:sz w:val="32"/>
          <w:szCs w:val="32"/>
        </w:rPr>
        <w:t xml:space="preserve">        </w:t>
      </w:r>
      <w:r>
        <w:rPr>
          <w:rFonts w:eastAsia="仿宋_GB2312"/>
          <w:sz w:val="32"/>
          <w:szCs w:val="32"/>
        </w:rPr>
      </w:r>
    </w:p>
    <w:p>
      <w:pPr>
        <w:pBdr/>
        <w:spacing w:line="560" w:lineRule="exact"/>
        <w:ind w:firstLine="640"/>
        <w:rPr>
          <w:rFonts w:eastAsia="仿宋_GB2312"/>
          <w:sz w:val="32"/>
          <w:szCs w:val="32"/>
        </w:rPr>
      </w:pPr>
      <w:r>
        <w:rPr>
          <w:rFonts w:hint="eastAsia" w:eastAsia="仿宋_GB2312"/>
          <w:sz w:val="32"/>
          <w:szCs w:val="32"/>
        </w:rPr>
        <w:t xml:space="preserve">（此件公开发布）</w:t>
      </w:r>
      <w:r>
        <w:rPr>
          <w:rFonts w:eastAsia="仿宋_GB2312"/>
          <w:sz w:val="32"/>
          <w:szCs w:val="32"/>
        </w:rPr>
      </w:r>
    </w:p>
    <w:p>
      <w:pPr>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color w:val="000000"/>
          <w:sz w:val="44"/>
          <w:szCs w:val="44"/>
        </w:rPr>
      </w:pPr>
      <w:r>
        <w:rPr>
          <w:rFonts w:eastAsia="方正大标宋简体"/>
          <w:color w:val="000000"/>
          <w:sz w:val="44"/>
          <w:szCs w:val="44"/>
        </w:rPr>
        <w:t xml:space="preserve">忻州市推进多式联运发展</w:t>
      </w:r>
      <w:r>
        <w:rPr>
          <w:rFonts w:eastAsia="方正大标宋简体"/>
          <w:color w:val="000000"/>
          <w:sz w:val="44"/>
          <w:szCs w:val="44"/>
        </w:rPr>
      </w:r>
    </w:p>
    <w:p>
      <w:pPr>
        <w:pBdr/>
        <w:spacing w:line="560" w:lineRule="exact"/>
        <w:ind/>
        <w:jc w:val="center"/>
        <w:rPr>
          <w:rFonts w:eastAsia="方正大标宋简体"/>
          <w:color w:val="000000"/>
          <w:sz w:val="44"/>
          <w:szCs w:val="44"/>
        </w:rPr>
      </w:pPr>
      <w:r>
        <w:rPr>
          <w:rFonts w:eastAsia="方正大标宋简体"/>
          <w:color w:val="000000"/>
          <w:sz w:val="44"/>
          <w:szCs w:val="44"/>
        </w:rPr>
        <w:t xml:space="preserve">优化调整运输结构工作实施方案</w:t>
      </w:r>
      <w:r>
        <w:rPr>
          <w:rFonts w:eastAsia="方正大标宋简体"/>
          <w:color w:val="000000"/>
          <w:sz w:val="44"/>
          <w:szCs w:val="44"/>
        </w:rPr>
      </w:r>
    </w:p>
    <w:p>
      <w:pPr>
        <w:pBdr/>
        <w:spacing w:line="560" w:lineRule="exact"/>
        <w:ind/>
        <w:jc w:val="center"/>
        <w:rPr>
          <w:rFonts w:eastAsia="方正大标宋简体"/>
          <w:color w:val="000000"/>
          <w:sz w:val="44"/>
          <w:szCs w:val="44"/>
        </w:rPr>
      </w:pPr>
      <w:r>
        <w:rPr>
          <w:rFonts w:eastAsia="方正大标宋简体"/>
          <w:color w:val="000000"/>
          <w:sz w:val="44"/>
          <w:szCs w:val="44"/>
        </w:rPr>
        <w:t xml:space="preserve">（</w:t>
      </w:r>
      <w:r>
        <w:rPr>
          <w:rFonts w:eastAsia="方正大标宋简体"/>
          <w:color w:val="000000"/>
          <w:sz w:val="44"/>
          <w:szCs w:val="44"/>
        </w:rPr>
        <w:t xml:space="preserve">2023</w:t>
      </w:r>
      <w:r>
        <w:rPr>
          <w:rFonts w:asciiTheme="minorEastAsia" w:hAnsiTheme="minorEastAsia" w:eastAsiaTheme="minorEastAsia"/>
          <w:color w:val="000000"/>
          <w:sz w:val="44"/>
          <w:szCs w:val="44"/>
        </w:rPr>
        <w:t xml:space="preserve">—</w:t>
      </w:r>
      <w:r>
        <w:rPr>
          <w:rFonts w:eastAsia="方正大标宋简体"/>
          <w:color w:val="000000"/>
          <w:sz w:val="44"/>
          <w:szCs w:val="44"/>
        </w:rPr>
        <w:t xml:space="preserve">2025</w:t>
      </w:r>
      <w:r>
        <w:rPr>
          <w:rFonts w:eastAsia="方正大标宋简体"/>
          <w:color w:val="000000"/>
          <w:sz w:val="44"/>
          <w:szCs w:val="44"/>
        </w:rPr>
        <w:t xml:space="preserve">年）</w:t>
      </w:r>
      <w:r>
        <w:rPr>
          <w:rFonts w:eastAsia="方正大标宋简体"/>
          <w:color w:val="000000"/>
          <w:sz w:val="44"/>
          <w:szCs w:val="44"/>
        </w:rPr>
      </w:r>
    </w:p>
    <w:p>
      <w:pPr>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sz w:val="32"/>
          <w:szCs w:val="32"/>
        </w:rPr>
      </w:pPr>
      <w:r>
        <w:rPr>
          <w:rFonts w:eastAsia="仿宋_GB2312"/>
          <w:sz w:val="32"/>
          <w:szCs w:val="32"/>
        </w:rPr>
        <w:t xml:space="preserve">为深入贯彻《国务院办公厅关于印发推进多式联运发展优化调整运输结构工作方案（</w:t>
      </w:r>
      <w:r>
        <w:rPr>
          <w:rFonts w:eastAsia="仿宋_GB2312"/>
          <w:sz w:val="32"/>
          <w:szCs w:val="32"/>
        </w:rPr>
        <w:t xml:space="preserve">2021—2025</w:t>
      </w:r>
      <w:r>
        <w:rPr>
          <w:rFonts w:eastAsia="仿宋_GB2312"/>
          <w:sz w:val="32"/>
          <w:szCs w:val="32"/>
        </w:rPr>
        <w:t xml:space="preserve">年）的通知》（国办发〔</w:t>
      </w:r>
      <w:r>
        <w:rPr>
          <w:rFonts w:eastAsia="仿宋_GB2312"/>
          <w:sz w:val="32"/>
          <w:szCs w:val="32"/>
        </w:rPr>
        <w:t xml:space="preserve">2021</w:t>
      </w:r>
      <w:r>
        <w:rPr>
          <w:rFonts w:eastAsia="仿宋_GB2312"/>
          <w:sz w:val="32"/>
          <w:szCs w:val="32"/>
        </w:rPr>
        <w:t xml:space="preserve">〕</w:t>
      </w:r>
      <w:r>
        <w:rPr>
          <w:rFonts w:eastAsia="仿宋_GB2312"/>
          <w:sz w:val="32"/>
          <w:szCs w:val="32"/>
        </w:rPr>
        <w:t xml:space="preserve">54</w:t>
      </w:r>
      <w:r>
        <w:rPr>
          <w:rFonts w:eastAsia="仿宋_GB2312"/>
          <w:sz w:val="32"/>
          <w:szCs w:val="32"/>
        </w:rPr>
        <w:t xml:space="preserve">号）《山西省人民政府办公厅关于印发〈山西省推进多式联运发展优化调整运输结构工作实施方案（</w:t>
      </w:r>
      <w:r>
        <w:rPr>
          <w:rFonts w:eastAsia="仿宋_GB2312"/>
          <w:sz w:val="32"/>
          <w:szCs w:val="32"/>
        </w:rPr>
        <w:t xml:space="preserve">2022—2025</w:t>
      </w:r>
      <w:r>
        <w:rPr>
          <w:rFonts w:eastAsia="仿宋_GB2312"/>
          <w:sz w:val="32"/>
          <w:szCs w:val="32"/>
        </w:rPr>
        <w:t xml:space="preserve">年）〉的通知》（晋政办发〔</w:t>
      </w:r>
      <w:r>
        <w:rPr>
          <w:rFonts w:eastAsia="仿宋_GB2312"/>
          <w:sz w:val="32"/>
          <w:szCs w:val="32"/>
        </w:rPr>
        <w:t xml:space="preserve">2022</w:t>
      </w:r>
      <w:r>
        <w:rPr>
          <w:rFonts w:eastAsia="仿宋_GB2312"/>
          <w:sz w:val="32"/>
          <w:szCs w:val="32"/>
        </w:rPr>
        <w:t xml:space="preserve">〕</w:t>
      </w:r>
      <w:r>
        <w:rPr>
          <w:rFonts w:eastAsia="仿宋_GB2312"/>
          <w:sz w:val="32"/>
          <w:szCs w:val="32"/>
        </w:rPr>
        <w:t xml:space="preserve">88</w:t>
      </w:r>
      <w:r>
        <w:rPr>
          <w:rFonts w:eastAsia="仿宋_GB2312"/>
          <w:sz w:val="32"/>
          <w:szCs w:val="32"/>
        </w:rPr>
        <w:t xml:space="preserve">号）精神，大力发展多式联运，推动各种运输方式深度融合，持续优化我市货物运输结构，提高综合运输效率，促进节能减排降碳，结合我市实际，制定本实施方案。</w:t>
      </w:r>
      <w:r>
        <w:rPr>
          <w:rFonts w:eastAsia="仿宋_GB2312"/>
          <w:sz w:val="32"/>
          <w:szCs w:val="32"/>
        </w:rPr>
      </w:r>
    </w:p>
    <w:p>
      <w:pPr>
        <w:pBdr/>
        <w:spacing w:line="560" w:lineRule="exact"/>
        <w:ind w:firstLine="640"/>
        <w:rPr>
          <w:rFonts w:ascii="黑体" w:hAnsi="黑体" w:eastAsia="黑体"/>
          <w:color w:val="000000"/>
          <w:sz w:val="32"/>
          <w:szCs w:val="32"/>
        </w:rPr>
      </w:pPr>
      <w:r>
        <w:rPr>
          <w:rFonts w:ascii="黑体" w:hAnsi="黑体" w:eastAsia="黑体"/>
          <w:color w:val="000000"/>
          <w:sz w:val="32"/>
          <w:szCs w:val="32"/>
        </w:rPr>
        <w:t xml:space="preserve">一、总体要求</w:t>
      </w:r>
      <w:r>
        <w:rPr>
          <w:rFonts w:ascii="黑体" w:hAnsi="黑体" w:eastAsia="黑体"/>
          <w:color w:val="000000"/>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（一）指导思想。</w:t>
      </w:r>
      <w:r>
        <w:rPr>
          <w:rFonts w:eastAsia="仿宋_GB2312"/>
          <w:sz w:val="32"/>
          <w:szCs w:val="32"/>
        </w:rPr>
        <w:t xml:space="preserve">以习近平新时代中国特色社会主义思想为指导，深入贯彻党的二十大精神，立足新发展阶段，全面贯彻新发展理念，以推动货物运输高质量发展为主题，以加快建设交通强市为目标，以深化供给侧结构性改革为主线，以发展多式联运为抓手，加快构建我市安全、便捷、高效、绿色、经济的现代化综合交通体系，为</w:t>
      </w:r>
      <w:r>
        <w:rPr>
          <w:rFonts w:eastAsia="仿宋_GB2312"/>
          <w:sz w:val="32"/>
          <w:szCs w:val="32"/>
        </w:rPr>
        <w:t xml:space="preserve">“</w:t>
      </w:r>
      <w:r>
        <w:rPr>
          <w:rFonts w:eastAsia="仿宋_GB2312"/>
          <w:sz w:val="32"/>
          <w:szCs w:val="32"/>
        </w:rPr>
        <w:t xml:space="preserve">在转型发展上率先</w:t>
      </w:r>
      <w:r>
        <w:rPr>
          <w:rFonts w:hint="eastAsia" w:ascii="仿宋_GB2312" w:hAnsi="华文楷体" w:eastAsia="华文楷体"/>
          <w:sz w:val="34"/>
          <w:szCs w:val="34"/>
        </w:rPr>
        <w:t xml:space="preserve">蹚</w:t>
      </w:r>
      <w:r>
        <w:rPr>
          <w:rFonts w:eastAsia="仿宋_GB2312"/>
          <w:sz w:val="32"/>
          <w:szCs w:val="32"/>
        </w:rPr>
        <w:t xml:space="preserve">出一条新路来</w:t>
      </w:r>
      <w:r>
        <w:rPr>
          <w:rFonts w:eastAsia="仿宋_GB2312"/>
          <w:sz w:val="32"/>
          <w:szCs w:val="32"/>
        </w:rPr>
        <w:t xml:space="preserve">”</w:t>
      </w:r>
      <w:r>
        <w:rPr>
          <w:rFonts w:eastAsia="仿宋_GB2312"/>
          <w:sz w:val="32"/>
          <w:szCs w:val="32"/>
        </w:rPr>
        <w:t xml:space="preserve">提供交通运输支撑。</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（二）工作目标。</w:t>
      </w:r>
      <w:r>
        <w:rPr>
          <w:rFonts w:eastAsia="仿宋_GB2312"/>
          <w:sz w:val="32"/>
          <w:szCs w:val="32"/>
        </w:rPr>
        <w:t xml:space="preserve">到</w:t>
      </w:r>
      <w:r>
        <w:rPr>
          <w:rFonts w:eastAsia="仿宋_GB2312"/>
          <w:sz w:val="32"/>
          <w:szCs w:val="32"/>
        </w:rPr>
        <w:t xml:space="preserve">2025</w:t>
      </w:r>
      <w:r>
        <w:rPr>
          <w:rFonts w:eastAsia="仿宋_GB2312"/>
          <w:sz w:val="32"/>
          <w:szCs w:val="32"/>
        </w:rPr>
        <w:t xml:space="preserve">年，多式联运发展水平明显提升，运输结构显著优化。煤炭、矿石、粮食等大宗货物及集装箱中</w:t>
      </w:r>
      <w:r>
        <w:rPr>
          <w:rFonts w:eastAsia="仿宋_GB2312"/>
          <w:sz w:val="32"/>
          <w:szCs w:val="32"/>
        </w:rPr>
        <w:t xml:space="preserve">长距离运输以铁路为主，全市铁路货运量比</w:t>
      </w:r>
      <w:r>
        <w:rPr>
          <w:rFonts w:eastAsia="仿宋_GB2312"/>
          <w:sz w:val="32"/>
          <w:szCs w:val="32"/>
        </w:rPr>
        <w:t xml:space="preserve">2020</w:t>
      </w:r>
      <w:r>
        <w:rPr>
          <w:rFonts w:eastAsia="仿宋_GB2312"/>
          <w:sz w:val="32"/>
          <w:szCs w:val="32"/>
        </w:rPr>
        <w:t xml:space="preserve">年增长</w:t>
      </w:r>
      <w:r>
        <w:rPr>
          <w:rFonts w:eastAsia="仿宋_GB2312"/>
          <w:sz w:val="32"/>
          <w:szCs w:val="32"/>
        </w:rPr>
        <w:t xml:space="preserve">10%</w:t>
      </w:r>
      <w:r>
        <w:rPr>
          <w:rFonts w:eastAsia="仿宋_GB2312"/>
          <w:sz w:val="32"/>
          <w:szCs w:val="32"/>
        </w:rPr>
        <w:t xml:space="preserve">左右，具体任务指标为：</w:t>
      </w:r>
      <w:r>
        <w:rPr>
          <w:rFonts w:eastAsia="仿宋_GB2312"/>
          <w:sz w:val="32"/>
          <w:szCs w:val="32"/>
        </w:rPr>
        <w:t xml:space="preserve">2023</w:t>
      </w:r>
      <w:r>
        <w:rPr>
          <w:rFonts w:eastAsia="仿宋_GB2312"/>
          <w:sz w:val="32"/>
          <w:szCs w:val="32"/>
        </w:rPr>
        <w:t xml:space="preserve">年</w:t>
      </w:r>
      <w:r>
        <w:rPr>
          <w:rFonts w:eastAsia="仿宋_GB2312"/>
          <w:sz w:val="32"/>
          <w:szCs w:val="32"/>
        </w:rPr>
        <w:t xml:space="preserve">21181</w:t>
      </w:r>
      <w:r>
        <w:rPr>
          <w:rFonts w:eastAsia="仿宋_GB2312"/>
          <w:sz w:val="32"/>
          <w:szCs w:val="32"/>
        </w:rPr>
        <w:t xml:space="preserve">万吨，</w:t>
      </w:r>
      <w:r>
        <w:rPr>
          <w:rFonts w:eastAsia="仿宋_GB2312"/>
          <w:sz w:val="32"/>
          <w:szCs w:val="32"/>
        </w:rPr>
        <w:t xml:space="preserve">2024</w:t>
      </w:r>
      <w:r>
        <w:rPr>
          <w:rFonts w:eastAsia="仿宋_GB2312"/>
          <w:sz w:val="32"/>
          <w:szCs w:val="32"/>
        </w:rPr>
        <w:t xml:space="preserve">年</w:t>
      </w:r>
      <w:r>
        <w:rPr>
          <w:rFonts w:eastAsia="仿宋_GB2312"/>
          <w:sz w:val="32"/>
          <w:szCs w:val="32"/>
        </w:rPr>
        <w:t xml:space="preserve">21383</w:t>
      </w:r>
      <w:r>
        <w:rPr>
          <w:rFonts w:eastAsia="仿宋_GB2312"/>
          <w:sz w:val="32"/>
          <w:szCs w:val="32"/>
        </w:rPr>
        <w:t xml:space="preserve">万吨，</w:t>
      </w:r>
      <w:r>
        <w:rPr>
          <w:rFonts w:eastAsia="仿宋_GB2312"/>
          <w:sz w:val="32"/>
          <w:szCs w:val="32"/>
        </w:rPr>
        <w:t xml:space="preserve">2025</w:t>
      </w:r>
      <w:r>
        <w:rPr>
          <w:rFonts w:eastAsia="仿宋_GB2312"/>
          <w:sz w:val="32"/>
          <w:szCs w:val="32"/>
        </w:rPr>
        <w:t xml:space="preserve">年为</w:t>
      </w:r>
      <w:r>
        <w:rPr>
          <w:rFonts w:eastAsia="仿宋_GB2312"/>
          <w:sz w:val="32"/>
          <w:szCs w:val="32"/>
        </w:rPr>
        <w:t xml:space="preserve">21584</w:t>
      </w:r>
      <w:r>
        <w:rPr>
          <w:rFonts w:eastAsia="仿宋_GB2312"/>
          <w:sz w:val="32"/>
          <w:szCs w:val="32"/>
        </w:rPr>
        <w:t xml:space="preserve">万吨。我市煤炭主产区大型工矿企业中长距离运输（运</w:t>
      </w:r>
      <w:r>
        <w:rPr>
          <w:rFonts w:eastAsia="仿宋_GB2312"/>
          <w:sz w:val="32"/>
          <w:szCs w:val="32"/>
        </w:rPr>
        <w:t xml:space="preserve">500</w:t>
      </w:r>
      <w:r>
        <w:rPr>
          <w:rFonts w:eastAsia="仿宋_GB2312"/>
          <w:sz w:val="32"/>
          <w:szCs w:val="32"/>
        </w:rPr>
        <w:t xml:space="preserve">公里以上）的煤炭和焦炭中，铁路运输比例力争达到</w:t>
      </w:r>
      <w:r>
        <w:rPr>
          <w:rFonts w:eastAsia="仿宋_GB2312"/>
          <w:sz w:val="32"/>
          <w:szCs w:val="32"/>
        </w:rPr>
        <w:t xml:space="preserve">90%</w:t>
      </w:r>
      <w:r>
        <w:rPr>
          <w:rFonts w:eastAsia="仿宋_GB2312"/>
          <w:sz w:val="32"/>
          <w:szCs w:val="32"/>
        </w:rPr>
        <w:t xml:space="preserve">。</w:t>
      </w:r>
      <w:r>
        <w:rPr>
          <w:rFonts w:eastAsia="仿宋_GB2312"/>
          <w:sz w:val="32"/>
          <w:szCs w:val="32"/>
        </w:rPr>
      </w:r>
    </w:p>
    <w:p>
      <w:pPr>
        <w:pBdr/>
        <w:spacing w:line="560" w:lineRule="exact"/>
        <w:ind w:firstLine="640"/>
        <w:rPr>
          <w:rFonts w:ascii="黑体" w:hAnsi="黑体" w:eastAsia="黑体"/>
          <w:color w:val="000000"/>
          <w:sz w:val="32"/>
          <w:szCs w:val="32"/>
        </w:rPr>
      </w:pPr>
      <w:r>
        <w:rPr>
          <w:rFonts w:ascii="黑体" w:hAnsi="黑体" w:eastAsia="黑体"/>
          <w:color w:val="000000"/>
          <w:sz w:val="32"/>
          <w:szCs w:val="32"/>
        </w:rPr>
        <w:t xml:space="preserve">二、提升运输基础设施承载能力和衔接水平</w:t>
      </w:r>
      <w:r>
        <w:rPr>
          <w:rFonts w:ascii="黑体" w:hAnsi="黑体" w:eastAsia="黑体"/>
          <w:color w:val="000000"/>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（三）健全物流通道体系。</w:t>
      </w:r>
      <w:r>
        <w:rPr>
          <w:rFonts w:eastAsia="仿宋_GB2312"/>
          <w:sz w:val="32"/>
          <w:szCs w:val="32"/>
        </w:rPr>
        <w:t xml:space="preserve">强化规划引领，提高交通基础设施一体化布局和建设水平，结合忻州交通、区位和产业布局实际，加快推进骨干运输通道建设，形成贯穿全市主要产业园区的物流通道分布格局。深入拓展同蒲铁路、忻河铁路、京原铁路、准朔铁路、瓦日铁路、保德至兴县瓦塘铁路专线项目和神河铁路、五岢铁路等煤运通道潜能，加快铁路干线瓶颈路段扩能改造，补齐骨干通道基础设施短板。持续推动</w:t>
      </w:r>
      <w:r>
        <w:rPr>
          <w:rFonts w:eastAsia="仿宋_GB2312"/>
          <w:sz w:val="32"/>
          <w:szCs w:val="32"/>
        </w:rPr>
        <w:t xml:space="preserve">“</w:t>
      </w:r>
      <w:r>
        <w:rPr>
          <w:rFonts w:eastAsia="仿宋_GB2312"/>
          <w:sz w:val="32"/>
          <w:szCs w:val="32"/>
        </w:rPr>
        <w:t xml:space="preserve">出省路</w:t>
      </w:r>
      <w:r>
        <w:rPr>
          <w:rFonts w:eastAsia="仿宋_GB2312"/>
          <w:sz w:val="32"/>
          <w:szCs w:val="32"/>
        </w:rPr>
        <w:t xml:space="preserve">”“</w:t>
      </w:r>
      <w:r>
        <w:rPr>
          <w:rFonts w:eastAsia="仿宋_GB2312"/>
          <w:sz w:val="32"/>
          <w:szCs w:val="32"/>
        </w:rPr>
        <w:t xml:space="preserve">区际连接线</w:t>
      </w:r>
      <w:r>
        <w:rPr>
          <w:rFonts w:eastAsia="仿宋_GB2312"/>
          <w:sz w:val="32"/>
          <w:szCs w:val="32"/>
        </w:rPr>
        <w:t xml:space="preserve">”“</w:t>
      </w:r>
      <w:r>
        <w:rPr>
          <w:rFonts w:eastAsia="仿宋_GB2312"/>
          <w:sz w:val="32"/>
          <w:szCs w:val="32"/>
        </w:rPr>
        <w:t xml:space="preserve">断头路</w:t>
      </w:r>
      <w:r>
        <w:rPr>
          <w:rFonts w:eastAsia="仿宋_GB2312"/>
          <w:sz w:val="32"/>
          <w:szCs w:val="32"/>
        </w:rPr>
        <w:t xml:space="preserve">”“</w:t>
      </w:r>
      <w:r>
        <w:rPr>
          <w:rFonts w:eastAsia="仿宋_GB2312"/>
          <w:sz w:val="32"/>
          <w:szCs w:val="32"/>
        </w:rPr>
        <w:t xml:space="preserve">县县通</w:t>
      </w:r>
      <w:r>
        <w:rPr>
          <w:rFonts w:eastAsia="仿宋_GB2312"/>
          <w:sz w:val="32"/>
          <w:szCs w:val="32"/>
        </w:rPr>
        <w:t xml:space="preserve">”</w:t>
      </w:r>
      <w:r>
        <w:rPr>
          <w:rFonts w:eastAsia="仿宋_GB2312"/>
          <w:sz w:val="32"/>
          <w:szCs w:val="32"/>
        </w:rPr>
        <w:t xml:space="preserve">建设，依托忻阜、忻保、灵河高速公路，加强与呼包鄂榆城市群、京津冀城市群、中原城市群、关中城市群的沟通连接。优化高速路网布局，积极推进朔州至宁武至静乐、朔州至神池、河曲禹庙至平鲁、静乐至兴县、繁峙至五台等高速公路建设，推动高速公路拥挤路段扩容改造，促进高速公路成环成网。提升通达能力，推进普通省道扩容、城镇过境段改造和县乡公路提级工程，加强与城乡干道衔接，构建广泛覆盖的基础交通网络。（市交通运输局、市发改委、原平车务段按职责分工负责，各县（市、区）人民政府落实。以下均需各（市、区）人民政府落实，不再列出）</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（四）加快综合货运枢纽建设。</w:t>
      </w:r>
      <w:r>
        <w:rPr>
          <w:rFonts w:eastAsia="仿宋_GB2312"/>
          <w:sz w:val="32"/>
          <w:szCs w:val="32"/>
        </w:rPr>
        <w:t xml:space="preserve">紧抓财政部、交通运输部联合支持</w:t>
      </w:r>
      <w:r>
        <w:rPr>
          <w:rFonts w:eastAsia="仿宋_GB2312"/>
          <w:sz w:val="32"/>
          <w:szCs w:val="32"/>
        </w:rPr>
        <w:t xml:space="preserve">2022—2024</w:t>
      </w:r>
      <w:r>
        <w:rPr>
          <w:rFonts w:eastAsia="仿宋_GB2312"/>
          <w:sz w:val="32"/>
          <w:szCs w:val="32"/>
        </w:rPr>
        <w:t xml:space="preserve">年国家综合货运枢纽补链强链的政策契机，推进多种运输方式深度融合发展和各类货运枢纽联网补网强链。针对忻州产业结构，聚焦国家煤炭能源和矿石等大宗物资公转铁，着力打造衔接顺畅、绿色低碳的联运枢纽，进一步促进重点物资高效转运、绿色发展，有效保障国家能源安全和产业链、供应链稳定。围绕</w:t>
      </w:r>
      <w:r>
        <w:rPr>
          <w:rFonts w:eastAsia="仿宋_GB2312"/>
          <w:sz w:val="32"/>
          <w:szCs w:val="32"/>
        </w:rPr>
        <w:t xml:space="preserve">“</w:t>
      </w:r>
      <w:r>
        <w:rPr>
          <w:rFonts w:eastAsia="仿宋_GB2312"/>
          <w:sz w:val="32"/>
          <w:szCs w:val="32"/>
        </w:rPr>
        <w:t xml:space="preserve">一带一路</w:t>
      </w:r>
      <w:r>
        <w:rPr>
          <w:rFonts w:eastAsia="仿宋_GB2312"/>
          <w:sz w:val="32"/>
          <w:szCs w:val="32"/>
        </w:rPr>
        <w:t xml:space="preserve">”</w:t>
      </w:r>
      <w:r>
        <w:rPr>
          <w:rFonts w:eastAsia="仿宋_GB2312"/>
          <w:sz w:val="32"/>
          <w:szCs w:val="32"/>
        </w:rPr>
        <w:t xml:space="preserve">建设、京津冀协同发展等重大战略实施，完善功能布局，提</w:t>
      </w:r>
      <w:r>
        <w:rPr>
          <w:rFonts w:eastAsia="仿宋_GB2312"/>
          <w:sz w:val="32"/>
          <w:szCs w:val="32"/>
        </w:rPr>
        <w:t xml:space="preserve">升对外联通和辐射能力，打造内陆地区对外开放新高地，聚焦国内国际双循环和消费升级、民生服务，深入推进忻定原多元产业物流核心圈、繁代矿业冶炼物流集群、宁静煤电化物流集群、神五岢偏现代农业物流集群、河保煤电铝化物流集群建设，培育形成一批资源整合能力强、运营模式先进的枢纽运营企业，拓展生物医药、电子信息、生鲜冷链、跨境电商等高附加值产品陆空联运市场，积极对接和融入京津冀等周边区域，加快高端产业要素集聚，努力促进枢纽经济发展。（市交通运输局、市发改委、市财政局、原平车务段牵头，市工信局、忻州海关、市邮政管理局等配合）</w:t>
      </w:r>
      <w:r>
        <w:rPr>
          <w:rFonts w:eastAsia="仿宋_GB2312"/>
          <w:sz w:val="32"/>
          <w:szCs w:val="32"/>
        </w:rPr>
      </w:r>
    </w:p>
    <w:p>
      <w:pPr>
        <w:pBdr/>
        <w:spacing w:line="560" w:lineRule="exact"/>
        <w:ind w:firstLine="640"/>
        <w:rPr>
          <w:rFonts w:ascii="黑体" w:hAnsi="黑体" w:eastAsia="黑体"/>
          <w:color w:val="000000"/>
          <w:sz w:val="32"/>
          <w:szCs w:val="32"/>
        </w:rPr>
      </w:pPr>
      <w:r>
        <w:rPr>
          <w:rFonts w:ascii="黑体" w:hAnsi="黑体" w:eastAsia="黑体"/>
          <w:color w:val="000000"/>
          <w:sz w:val="32"/>
          <w:szCs w:val="32"/>
        </w:rPr>
        <w:t xml:space="preserve">三、深入推进运输结构调整</w:t>
      </w:r>
      <w:r>
        <w:rPr>
          <w:rFonts w:ascii="黑体" w:hAnsi="黑体" w:eastAsia="黑体"/>
          <w:color w:val="000000"/>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（五）推动大宗物资“公转铁”。</w:t>
      </w:r>
      <w:r>
        <w:rPr>
          <w:rFonts w:eastAsia="仿宋_GB2312"/>
          <w:sz w:val="32"/>
          <w:szCs w:val="32"/>
        </w:rPr>
        <w:t xml:space="preserve">鼓励工矿企业等实施大宗货物</w:t>
      </w:r>
      <w:r>
        <w:rPr>
          <w:rFonts w:eastAsia="仿宋_GB2312"/>
          <w:sz w:val="32"/>
          <w:szCs w:val="32"/>
        </w:rPr>
        <w:t xml:space="preserve">“</w:t>
      </w:r>
      <w:r>
        <w:rPr>
          <w:rFonts w:eastAsia="仿宋_GB2312"/>
          <w:sz w:val="32"/>
          <w:szCs w:val="32"/>
        </w:rPr>
        <w:t xml:space="preserve">公转铁</w:t>
      </w:r>
      <w:r>
        <w:rPr>
          <w:rFonts w:eastAsia="仿宋_GB2312"/>
          <w:sz w:val="32"/>
          <w:szCs w:val="32"/>
        </w:rPr>
        <w:t xml:space="preserve">”“</w:t>
      </w:r>
      <w:r>
        <w:rPr>
          <w:rFonts w:eastAsia="仿宋_GB2312"/>
          <w:sz w:val="32"/>
          <w:szCs w:val="32"/>
        </w:rPr>
        <w:t xml:space="preserve">散改集</w:t>
      </w:r>
      <w:r>
        <w:rPr>
          <w:rFonts w:eastAsia="仿宋_GB2312"/>
          <w:sz w:val="32"/>
          <w:szCs w:val="32"/>
        </w:rPr>
        <w:t xml:space="preserve">”</w:t>
      </w:r>
      <w:r>
        <w:rPr>
          <w:rFonts w:eastAsia="仿宋_GB2312"/>
          <w:sz w:val="32"/>
          <w:szCs w:val="32"/>
        </w:rPr>
        <w:t xml:space="preserve">中长距离运输时主要采用铁路运输，短距离运输时优先采用封闭式皮带廊道或新能源车。全面推进煤炭、电力、有色、钢铁、焦炭、水泥等大型工矿区企业以及大型物流园区、交易集散基地新建或改扩建铁路专用线，进一步强化</w:t>
      </w:r>
      <w:r>
        <w:rPr>
          <w:rFonts w:eastAsia="仿宋_GB2312"/>
          <w:sz w:val="32"/>
          <w:szCs w:val="32"/>
        </w:rPr>
        <w:t xml:space="preserve">与铁路干线路网的衔接。全市大宗货物年货运量</w:t>
      </w:r>
      <w:r>
        <w:rPr>
          <w:rFonts w:eastAsia="仿宋_GB2312"/>
          <w:sz w:val="32"/>
          <w:szCs w:val="32"/>
        </w:rPr>
        <w:t xml:space="preserve">150</w:t>
      </w:r>
      <w:r>
        <w:rPr>
          <w:rFonts w:eastAsia="仿宋_GB2312"/>
          <w:sz w:val="32"/>
          <w:szCs w:val="32"/>
        </w:rPr>
        <w:t xml:space="preserve">万吨以上的大型工矿企业和新建物流园区，原则上全部修建铁路专用线。新、改、扩建涉及大宗物料运输的建设项目，原则上不得采用公路运输。具有铁路专用线的大型工矿企业和新建物流园区，大宗货物铁路运输比例达到</w:t>
      </w:r>
      <w:r>
        <w:rPr>
          <w:rFonts w:eastAsia="仿宋_GB2312"/>
          <w:sz w:val="32"/>
          <w:szCs w:val="32"/>
        </w:rPr>
        <w:t xml:space="preserve">80%</w:t>
      </w:r>
      <w:r>
        <w:rPr>
          <w:rFonts w:eastAsia="仿宋_GB2312"/>
          <w:sz w:val="32"/>
          <w:szCs w:val="32"/>
        </w:rPr>
        <w:t xml:space="preserve">以上。完善铁路专用线共建共用机制，创新投融资模式，吸引社会资本投入。（市交通运输局、原平车务段牵头，市发改委、市工信局、市公安局、市财政局、市自然资源局、市生态环境局、市市场监管局等配合）</w:t>
      </w:r>
      <w:r>
        <w:rPr>
          <w:rFonts w:eastAsia="仿宋_GB2312"/>
          <w:sz w:val="32"/>
          <w:szCs w:val="32"/>
        </w:rPr>
        <w:t xml:space="preserve"> </w:t>
      </w:r>
      <w:r>
        <w:rPr>
          <w:rFonts w:eastAsia="仿宋_GB2312"/>
          <w:sz w:val="32"/>
          <w:szCs w:val="32"/>
        </w:rPr>
      </w:r>
    </w:p>
    <w:p>
      <w:pPr>
        <w:pBdr/>
        <w:spacing w:line="560" w:lineRule="exact"/>
        <w:ind w:firstLine="640"/>
        <w:rPr>
          <w:rFonts w:ascii="黑体" w:hAnsi="黑体" w:eastAsia="黑体"/>
          <w:color w:val="000000"/>
          <w:sz w:val="32"/>
          <w:szCs w:val="32"/>
        </w:rPr>
      </w:pPr>
      <w:r>
        <w:rPr>
          <w:rFonts w:ascii="黑体" w:hAnsi="黑体" w:eastAsia="黑体"/>
          <w:color w:val="000000"/>
          <w:sz w:val="32"/>
          <w:szCs w:val="32"/>
        </w:rPr>
        <w:t xml:space="preserve">四、创新多式联运组织模式</w:t>
      </w:r>
      <w:r>
        <w:rPr>
          <w:rFonts w:ascii="黑体" w:hAnsi="黑体" w:eastAsia="黑体"/>
          <w:color w:val="000000"/>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（六）推动多式联运市场主体倍增。</w:t>
      </w:r>
      <w:r>
        <w:rPr>
          <w:rFonts w:eastAsia="仿宋_GB2312"/>
          <w:sz w:val="32"/>
          <w:szCs w:val="32"/>
        </w:rPr>
        <w:t xml:space="preserve">鼓励更多物流企业申报国家级多式联运示范工程，深入实施多式联运示范工程建设。积极引导</w:t>
      </w:r>
      <w:r>
        <w:rPr>
          <w:rFonts w:eastAsia="仿宋_GB2312"/>
          <w:sz w:val="32"/>
          <w:szCs w:val="32"/>
          <w:lang w:eastAsia="zh-CN"/>
        </w:rPr>
        <w:t xml:space="preserve">骨干运输企业向多式联运经营人、综合物流服务商转变，加快引入有实力的多式联运物流企业，开展规模化、专业化多式联运服务。以依托铁路、</w:t>
      </w:r>
      <w:r>
        <w:rPr>
          <w:rFonts w:eastAsia="仿宋_GB2312"/>
          <w:sz w:val="32"/>
          <w:szCs w:val="32"/>
        </w:rPr>
        <w:t xml:space="preserve">公路</w:t>
      </w:r>
      <w:r>
        <w:rPr>
          <w:rFonts w:eastAsia="仿宋_GB2312"/>
          <w:sz w:val="32"/>
          <w:szCs w:val="32"/>
          <w:lang w:eastAsia="zh-CN"/>
        </w:rPr>
        <w:t xml:space="preserve">等交通便利，多式联运条件较好的物流园区为试点，开展多式联运示范工程</w:t>
      </w:r>
      <w:r>
        <w:rPr>
          <w:rFonts w:eastAsia="仿宋_GB2312"/>
          <w:sz w:val="32"/>
          <w:szCs w:val="32"/>
        </w:rPr>
        <w:t xml:space="preserve">建设</w:t>
      </w:r>
      <w:r>
        <w:rPr>
          <w:rFonts w:eastAsia="仿宋_GB2312"/>
          <w:sz w:val="32"/>
          <w:szCs w:val="32"/>
          <w:lang w:eastAsia="zh-CN"/>
        </w:rPr>
        <w:t xml:space="preserve">。</w:t>
      </w:r>
      <w:r>
        <w:rPr>
          <w:rFonts w:eastAsia="仿宋_GB2312"/>
          <w:sz w:val="32"/>
          <w:szCs w:val="32"/>
        </w:rPr>
        <w:t xml:space="preserve">鼓励不同运输方式企业以资产重组、资源共享、网络共建、利益共享、风险共担的方式组成多式联运经营主体，重点支持公路、水路运输、港口经营企业与铁路物流企业深化铁公水联运合作，鼓励多式联运市场经营主体以联运线路、物流链为纽带组建企业联盟。到</w:t>
      </w:r>
      <w:r>
        <w:rPr>
          <w:rFonts w:eastAsia="仿宋_GB2312"/>
          <w:sz w:val="32"/>
          <w:szCs w:val="32"/>
        </w:rPr>
        <w:t xml:space="preserve">2025</w:t>
      </w:r>
      <w:r>
        <w:rPr>
          <w:rFonts w:eastAsia="仿宋_GB2312"/>
          <w:sz w:val="32"/>
          <w:szCs w:val="32"/>
        </w:rPr>
        <w:t xml:space="preserve">年，示范工程运营线路基本覆盖我市综合立体交通网主骨架。（市交通运输局、市发改委牵头，市邮政管理局、原平车务段配合）</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（七）探索多式联运“一单制”服务模式。</w:t>
      </w:r>
      <w:r>
        <w:rPr>
          <w:rFonts w:eastAsia="仿宋_GB2312"/>
          <w:sz w:val="32"/>
          <w:szCs w:val="32"/>
        </w:rPr>
        <w:t xml:space="preserve">深入推进多式</w:t>
      </w:r>
      <w:r>
        <w:rPr>
          <w:rFonts w:eastAsia="仿宋_GB2312"/>
          <w:sz w:val="32"/>
          <w:szCs w:val="32"/>
        </w:rPr>
        <w:t xml:space="preserve">联运</w:t>
      </w:r>
      <w:r>
        <w:rPr>
          <w:rFonts w:eastAsia="仿宋_GB2312"/>
          <w:sz w:val="32"/>
          <w:szCs w:val="32"/>
        </w:rPr>
        <w:t xml:space="preserve">“</w:t>
      </w:r>
      <w:r>
        <w:rPr>
          <w:rFonts w:eastAsia="仿宋_GB2312"/>
          <w:sz w:val="32"/>
          <w:szCs w:val="32"/>
        </w:rPr>
        <w:t xml:space="preserve">一单制</w:t>
      </w:r>
      <w:r>
        <w:rPr>
          <w:rFonts w:eastAsia="仿宋_GB2312"/>
          <w:sz w:val="32"/>
          <w:szCs w:val="32"/>
        </w:rPr>
        <w:t xml:space="preserve">”</w:t>
      </w:r>
      <w:r>
        <w:rPr>
          <w:rFonts w:eastAsia="仿宋_GB2312"/>
          <w:sz w:val="32"/>
          <w:szCs w:val="32"/>
        </w:rPr>
        <w:t xml:space="preserve">研究，探索应用集装箱多式联运运单，推动各类单证电子化，稳步扩大在</w:t>
      </w:r>
      <w:r>
        <w:rPr>
          <w:rFonts w:eastAsia="仿宋_GB2312"/>
          <w:sz w:val="32"/>
          <w:szCs w:val="32"/>
        </w:rPr>
        <w:t xml:space="preserve">“</w:t>
      </w:r>
      <w:r>
        <w:rPr>
          <w:rFonts w:eastAsia="仿宋_GB2312"/>
          <w:sz w:val="32"/>
          <w:szCs w:val="32"/>
        </w:rPr>
        <w:t xml:space="preserve">一带一路</w:t>
      </w:r>
      <w:r>
        <w:rPr>
          <w:rFonts w:eastAsia="仿宋_GB2312"/>
          <w:sz w:val="32"/>
          <w:szCs w:val="32"/>
        </w:rPr>
        <w:t xml:space="preserve">”</w:t>
      </w:r>
      <w:r>
        <w:rPr>
          <w:rFonts w:eastAsia="仿宋_GB2312"/>
          <w:sz w:val="32"/>
          <w:szCs w:val="32"/>
        </w:rPr>
        <w:t xml:space="preserve">运输贸易中的应用范围。选择市内合适的集运站作为场景，协同市内物流企业、地方铁路部门、水运企业等，着力实现铁路</w:t>
      </w:r>
      <w:r>
        <w:rPr>
          <w:rFonts w:eastAsia="仿宋_GB2312"/>
          <w:sz w:val="32"/>
          <w:szCs w:val="32"/>
        </w:rPr>
        <w:t xml:space="preserve">35</w:t>
      </w:r>
      <w:r>
        <w:rPr>
          <w:rFonts w:eastAsia="仿宋_GB2312"/>
          <w:sz w:val="32"/>
          <w:szCs w:val="32"/>
        </w:rPr>
        <w:t xml:space="preserve">吨敞顶箱</w:t>
      </w:r>
      <w:r>
        <w:rPr>
          <w:rFonts w:eastAsia="仿宋_GB2312"/>
          <w:sz w:val="32"/>
          <w:szCs w:val="32"/>
        </w:rPr>
        <w:t xml:space="preserve">“</w:t>
      </w:r>
      <w:r>
        <w:rPr>
          <w:rFonts w:eastAsia="仿宋_GB2312"/>
          <w:sz w:val="32"/>
          <w:szCs w:val="32"/>
        </w:rPr>
        <w:t xml:space="preserve">一箱到底</w:t>
      </w:r>
      <w:r>
        <w:rPr>
          <w:rFonts w:eastAsia="仿宋_GB2312"/>
          <w:sz w:val="32"/>
          <w:szCs w:val="32"/>
        </w:rPr>
        <w:t xml:space="preserve">”</w:t>
      </w:r>
      <w:r>
        <w:rPr>
          <w:rFonts w:eastAsia="仿宋_GB2312"/>
          <w:sz w:val="32"/>
          <w:szCs w:val="32"/>
        </w:rPr>
        <w:t xml:space="preserve">的实际应用。（市交通运输局、原平车务段牵头，市商务局、市邮政管理局等配合）</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（八）促进多式联运装备标准化。</w:t>
      </w:r>
      <w:r>
        <w:rPr>
          <w:rFonts w:eastAsia="仿宋_GB2312"/>
          <w:sz w:val="32"/>
          <w:szCs w:val="32"/>
        </w:rPr>
        <w:t xml:space="preserve">加快铁路快运、空铁（公）联运标准集装器（板）等物流技术装备研发应用。加大</w:t>
      </w:r>
      <w:r>
        <w:rPr>
          <w:rFonts w:eastAsia="仿宋_GB2312"/>
          <w:sz w:val="32"/>
          <w:szCs w:val="32"/>
        </w:rPr>
        <w:t xml:space="preserve">35</w:t>
      </w:r>
      <w:r>
        <w:rPr>
          <w:rFonts w:eastAsia="仿宋_GB2312"/>
          <w:sz w:val="32"/>
          <w:szCs w:val="32"/>
        </w:rPr>
        <w:t xml:space="preserve">吨敞顶箱使用力度，探索建立以</w:t>
      </w:r>
      <w:r>
        <w:rPr>
          <w:rFonts w:eastAsia="仿宋_GB2312"/>
          <w:sz w:val="32"/>
          <w:szCs w:val="32"/>
        </w:rPr>
        <w:t xml:space="preserve">45</w:t>
      </w:r>
      <w:r>
        <w:rPr>
          <w:rFonts w:eastAsia="仿宋_GB2312"/>
          <w:sz w:val="32"/>
          <w:szCs w:val="32"/>
        </w:rPr>
        <w:t xml:space="preserve">英尺内陆标准箱为载体的内贸多式联运体系。大力发展铁路快运，推动冷链、危化品、国内邮件快件等专业化联运发展。精简货运车型规格数量，严查严处货车非法改装企业。开展超长平板半挂车、超长集装箱半挂车等非标货运车辆治理工作。加快淘汰存量非标货运车辆和鼓励应用中置轴厢式货车等标准厢式货运车辆。推广</w:t>
      </w:r>
      <w:r>
        <w:rPr>
          <w:rFonts w:eastAsia="仿宋_GB2312"/>
          <w:sz w:val="32"/>
          <w:szCs w:val="32"/>
        </w:rPr>
        <w:t xml:space="preserve">1200mm×1000mm</w:t>
      </w:r>
      <w:r>
        <w:rPr>
          <w:rFonts w:eastAsia="仿宋_GB2312"/>
          <w:sz w:val="32"/>
          <w:szCs w:val="32"/>
        </w:rPr>
        <w:t xml:space="preserve">标准托盘包装基础模数以及在集装箱运输和多式联运中的应用。加快培育集装箱、半挂车、托盘等专业化租赁市场。促进包装箱、托盘、周转箱、集装箱、厢式半挂车等上下游设施设备的标准化，推动标准装卸单元器具的循环共用，做好与相关运输工具的衔接，实现装卸、转运无缝衔接。（市交通运输局、原平车务段牵头，市发改委、市生态环境局、市邮政管理局等配合）</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（九）强化技术装备研发应用。</w:t>
      </w:r>
      <w:r>
        <w:rPr>
          <w:rFonts w:eastAsia="仿宋_GB2312"/>
          <w:sz w:val="32"/>
          <w:szCs w:val="32"/>
        </w:rPr>
        <w:t xml:space="preserve">研究适应内陆集装箱发展的道路自卸卡车等设施设备。鼓励研发推广冷链、危化品等专</w:t>
      </w:r>
      <w:r>
        <w:rPr>
          <w:rFonts w:eastAsia="仿宋_GB2312"/>
          <w:sz w:val="32"/>
          <w:szCs w:val="32"/>
        </w:rPr>
        <w:t xml:space="preserve">用运输车辆。推动新型模块化运载工具、快速转运和智能口岸查验等设备研发和产业化应用。推进</w:t>
      </w:r>
      <w:r>
        <w:rPr>
          <w:rFonts w:eastAsia="仿宋_GB2312"/>
          <w:sz w:val="32"/>
          <w:szCs w:val="32"/>
        </w:rPr>
        <w:t xml:space="preserve">X5</w:t>
      </w:r>
      <w:r>
        <w:rPr>
          <w:rFonts w:eastAsia="仿宋_GB2312"/>
          <w:sz w:val="32"/>
          <w:szCs w:val="32"/>
        </w:rPr>
        <w:t xml:space="preserve">型多式联运专用车在特货多式联运方向的应用。选择市内集运站开展中铁联运开发的高效多式联运（</w:t>
      </w:r>
      <w:r>
        <w:rPr>
          <w:rFonts w:eastAsia="仿宋_GB2312"/>
          <w:sz w:val="32"/>
          <w:szCs w:val="32"/>
        </w:rPr>
        <w:t xml:space="preserve">CRMT</w:t>
      </w:r>
      <w:r>
        <w:rPr>
          <w:rFonts w:eastAsia="仿宋_GB2312"/>
          <w:sz w:val="32"/>
          <w:szCs w:val="32"/>
        </w:rPr>
        <w:t xml:space="preserve">）系统</w:t>
      </w:r>
      <w:r>
        <w:rPr>
          <w:rFonts w:eastAsia="仿宋_GB2312"/>
          <w:sz w:val="32"/>
          <w:szCs w:val="32"/>
        </w:rPr>
        <w:t xml:space="preserve">X5</w:t>
      </w:r>
      <w:r>
        <w:rPr>
          <w:rFonts w:eastAsia="仿宋_GB2312"/>
          <w:sz w:val="32"/>
          <w:szCs w:val="32"/>
        </w:rPr>
        <w:t xml:space="preserve">型多式联运专用车试运行，实现市内甲醇产品及成品油产品的双重运输，打造全省特货多式联运示范项目。（原平车务段、市科技局牵头，市工信局、市交通运输局、忻州海关等配合）</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（十）提高技术装备绿色化水平。</w:t>
      </w:r>
      <w:r>
        <w:rPr>
          <w:rFonts w:eastAsia="仿宋_GB2312"/>
          <w:sz w:val="32"/>
          <w:szCs w:val="32"/>
        </w:rPr>
        <w:t xml:space="preserve">积极推动新能源和清洁能源车辆应用，推动在高速公路服务区和站场枢纽规划建设充换电、加气等配套设施。鼓励企业发展大宗货物</w:t>
      </w:r>
      <w:r>
        <w:rPr>
          <w:rFonts w:eastAsia="仿宋_GB2312"/>
          <w:sz w:val="32"/>
          <w:szCs w:val="32"/>
        </w:rPr>
        <w:t xml:space="preserve">“</w:t>
      </w:r>
      <w:r>
        <w:rPr>
          <w:rFonts w:eastAsia="仿宋_GB2312"/>
          <w:sz w:val="32"/>
          <w:szCs w:val="32"/>
        </w:rPr>
        <w:t xml:space="preserve">铁路干线十新能源重卡接驳</w:t>
      </w:r>
      <w:r>
        <w:rPr>
          <w:rFonts w:eastAsia="仿宋_GB2312"/>
          <w:sz w:val="32"/>
          <w:szCs w:val="32"/>
        </w:rPr>
        <w:t xml:space="preserve">”</w:t>
      </w:r>
      <w:r>
        <w:rPr>
          <w:rFonts w:eastAsia="仿宋_GB2312"/>
          <w:sz w:val="32"/>
          <w:szCs w:val="32"/>
        </w:rPr>
        <w:t xml:space="preserve">联运组织模式。在场区短途运输和固定线路运输等场景示范应用新能源重型卡车及汽车列车。加快推进枢纽场站绿色化、智能化改造和设施设备改造。（市交通局、市工信局、市发改委、市住建局、市生态环境局、市能源局、原平车务段按职责分工负责）</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（十一）加大信息资源共享力度。</w:t>
      </w:r>
      <w:r>
        <w:rPr>
          <w:rFonts w:eastAsia="仿宋_GB2312"/>
          <w:sz w:val="32"/>
          <w:szCs w:val="32"/>
        </w:rPr>
        <w:t xml:space="preserve">加强铁路、民航等企业信息系统对接和数据共享，开放列车到发时刻、货物装卸等信息。加快推进北斗系统在营运车辆上的应用，推动企业间物流信息交换安全、高效、顺畅，提供公正、权威的物流相关公共信息服务，有效促进物流产业链各环节信息互通与资源共享，到</w:t>
      </w:r>
      <w:r>
        <w:rPr>
          <w:rFonts w:eastAsia="仿宋_GB2312"/>
          <w:sz w:val="32"/>
          <w:szCs w:val="32"/>
        </w:rPr>
        <w:t xml:space="preserve">2025</w:t>
      </w:r>
      <w:r>
        <w:rPr>
          <w:rFonts w:eastAsia="仿宋_GB2312"/>
          <w:sz w:val="32"/>
          <w:szCs w:val="32"/>
        </w:rPr>
        <w:t xml:space="preserve">年基本实现运输全程可监测、可追溯。加强公路运输方式和铁路运输方式的信息共享和业务系统顺畅衔接。（市交通局、原平车务段牵头，市工信局、市邮政管理局等配合）</w:t>
      </w:r>
      <w:r>
        <w:rPr>
          <w:rFonts w:eastAsia="仿宋_GB2312"/>
          <w:sz w:val="32"/>
          <w:szCs w:val="32"/>
        </w:rPr>
      </w:r>
    </w:p>
    <w:p>
      <w:pPr>
        <w:pBdr/>
        <w:spacing w:line="560" w:lineRule="exact"/>
        <w:ind w:firstLine="640"/>
        <w:rPr>
          <w:rFonts w:ascii="黑体" w:hAnsi="黑体" w:eastAsia="黑体"/>
          <w:color w:val="000000"/>
          <w:sz w:val="32"/>
          <w:szCs w:val="32"/>
        </w:rPr>
      </w:pPr>
      <w:r>
        <w:rPr>
          <w:rFonts w:ascii="黑体" w:hAnsi="黑体" w:eastAsia="黑体"/>
          <w:color w:val="000000"/>
          <w:sz w:val="32"/>
          <w:szCs w:val="32"/>
        </w:rPr>
        <w:t xml:space="preserve">五、优化运输市场环境</w:t>
      </w:r>
      <w:r>
        <w:rPr>
          <w:rFonts w:ascii="黑体" w:hAnsi="黑体" w:eastAsia="黑体"/>
          <w:color w:val="000000"/>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（十二）深化重点领域改革。</w:t>
      </w:r>
      <w:r>
        <w:rPr>
          <w:rFonts w:eastAsia="仿宋_GB2312"/>
          <w:sz w:val="32"/>
          <w:szCs w:val="32"/>
        </w:rPr>
        <w:t xml:space="preserve">深化</w:t>
      </w:r>
      <w:r>
        <w:rPr>
          <w:rFonts w:eastAsia="仿宋_GB2312"/>
          <w:sz w:val="32"/>
          <w:szCs w:val="32"/>
        </w:rPr>
        <w:t xml:space="preserve">“</w:t>
      </w:r>
      <w:r>
        <w:rPr>
          <w:rFonts w:eastAsia="仿宋_GB2312"/>
          <w:sz w:val="32"/>
          <w:szCs w:val="32"/>
        </w:rPr>
        <w:t xml:space="preserve">放管服</w:t>
      </w:r>
      <w:r>
        <w:rPr>
          <w:rFonts w:eastAsia="仿宋_GB2312"/>
          <w:sz w:val="32"/>
          <w:szCs w:val="32"/>
        </w:rPr>
        <w:t xml:space="preserve">”</w:t>
      </w:r>
      <w:r>
        <w:rPr>
          <w:rFonts w:eastAsia="仿宋_GB2312"/>
          <w:sz w:val="32"/>
          <w:szCs w:val="32"/>
        </w:rPr>
        <w:t xml:space="preserve">改革，加快构建以信用为基础的新型监管机制，推动多式联运政务数据安全有序开放。以多式联运各类市场经营主体、从业人员信用管理为基础，在安全管控、价格自律、责任担保、风险防范等方面加强评价监管，逐步建立多式联运经营信用评价体系。深化铁路市场化改革，促进铁路运输市场主体多元化，规范道路货运平台企业经营，建立统一开放、竞争有序的运输服务市场。（市发改委、市交通运输局、市市场监管局、市行政审批局、市邮政管理局、原平车务段按职责分工负责）</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（十三）规范重点领域和环节收费。</w:t>
      </w:r>
      <w:r>
        <w:rPr>
          <w:rFonts w:eastAsia="仿宋_GB2312"/>
          <w:sz w:val="32"/>
          <w:szCs w:val="32"/>
        </w:rPr>
        <w:t xml:space="preserve">完善铁路运价灵活调整机制，积极引导辖区内铁路运输企业与煤炭、矿石、钢铁等大型企业采用</w:t>
      </w:r>
      <w:r>
        <w:rPr>
          <w:rFonts w:eastAsia="仿宋_GB2312"/>
          <w:sz w:val="32"/>
          <w:szCs w:val="32"/>
        </w:rPr>
        <w:t xml:space="preserve">“</w:t>
      </w:r>
      <w:r>
        <w:rPr>
          <w:rFonts w:eastAsia="仿宋_GB2312"/>
          <w:sz w:val="32"/>
          <w:szCs w:val="32"/>
        </w:rPr>
        <w:t xml:space="preserve">量价互保</w:t>
      </w:r>
      <w:r>
        <w:rPr>
          <w:rFonts w:eastAsia="仿宋_GB2312"/>
          <w:sz w:val="32"/>
          <w:szCs w:val="32"/>
        </w:rPr>
        <w:t xml:space="preserve">”</w:t>
      </w:r>
      <w:r>
        <w:rPr>
          <w:rFonts w:eastAsia="仿宋_GB2312"/>
          <w:sz w:val="32"/>
          <w:szCs w:val="32"/>
        </w:rPr>
        <w:t xml:space="preserve">等模式。鼓励辖区内铁路运输企业与场站、物流园区、大型工矿企业等开展合作，采取</w:t>
      </w:r>
      <w:r>
        <w:rPr>
          <w:rFonts w:eastAsia="仿宋_GB2312"/>
          <w:sz w:val="32"/>
          <w:szCs w:val="32"/>
        </w:rPr>
        <w:t xml:space="preserve">“</w:t>
      </w:r>
      <w:r>
        <w:rPr>
          <w:rFonts w:eastAsia="仿宋_GB2312"/>
          <w:sz w:val="32"/>
          <w:szCs w:val="32"/>
        </w:rPr>
        <w:t xml:space="preserve">让一点、担一点</w:t>
      </w:r>
      <w:r>
        <w:rPr>
          <w:rFonts w:eastAsia="仿宋_GB2312"/>
          <w:sz w:val="32"/>
          <w:szCs w:val="32"/>
        </w:rPr>
        <w:t xml:space="preserve">”</w:t>
      </w:r>
      <w:r>
        <w:rPr>
          <w:rFonts w:eastAsia="仿宋_GB2312"/>
          <w:sz w:val="32"/>
          <w:szCs w:val="32"/>
        </w:rPr>
        <w:t xml:space="preserve">的共赢方式，建立合理的</w:t>
      </w:r>
      <w:r>
        <w:rPr>
          <w:rFonts w:eastAsia="仿宋_GB2312"/>
          <w:sz w:val="32"/>
          <w:szCs w:val="32"/>
        </w:rPr>
        <w:t xml:space="preserve">“</w:t>
      </w:r>
      <w:r>
        <w:rPr>
          <w:rFonts w:eastAsia="仿宋_GB2312"/>
          <w:sz w:val="32"/>
          <w:szCs w:val="32"/>
        </w:rPr>
        <w:t xml:space="preserve">公转铁</w:t>
      </w:r>
      <w:r>
        <w:rPr>
          <w:rFonts w:eastAsia="仿宋_GB2312"/>
          <w:sz w:val="32"/>
          <w:szCs w:val="32"/>
        </w:rPr>
        <w:t xml:space="preserve">”</w:t>
      </w:r>
      <w:r>
        <w:rPr>
          <w:rFonts w:eastAsia="仿宋_GB2312"/>
          <w:sz w:val="32"/>
          <w:szCs w:val="32"/>
        </w:rPr>
        <w:t xml:space="preserve">价格机制。规范地方铁路、专用铁路、铁路专用线收费，明确线路使用、管理维护、运输服务等收费规则，进一步降低使用成本。（市发改委、市交通运输局、原平车务段按职责分工负责）</w:t>
      </w:r>
      <w:r>
        <w:rPr>
          <w:rFonts w:eastAsia="仿宋_GB2312"/>
          <w:sz w:val="32"/>
          <w:szCs w:val="32"/>
        </w:rPr>
      </w:r>
    </w:p>
    <w:p>
      <w:pPr>
        <w:pBdr/>
        <w:spacing w:line="560" w:lineRule="exact"/>
        <w:ind w:firstLine="640"/>
        <w:rPr>
          <w:rFonts w:ascii="黑体" w:hAnsi="黑体" w:eastAsia="黑体"/>
          <w:color w:val="000000"/>
          <w:sz w:val="32"/>
          <w:szCs w:val="32"/>
        </w:rPr>
      </w:pPr>
      <w:r>
        <w:rPr>
          <w:rFonts w:ascii="黑体" w:hAnsi="黑体" w:eastAsia="黑体"/>
          <w:color w:val="000000"/>
          <w:sz w:val="32"/>
          <w:szCs w:val="32"/>
        </w:rPr>
        <w:t xml:space="preserve">六、健全政策保障体系</w:t>
      </w:r>
      <w:r>
        <w:rPr>
          <w:rFonts w:ascii="黑体" w:hAnsi="黑体" w:eastAsia="黑体"/>
          <w:color w:val="000000"/>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（十四）加大政策支持力度。</w:t>
      </w:r>
      <w:r>
        <w:rPr>
          <w:rFonts w:eastAsia="仿宋_GB2312"/>
          <w:sz w:val="32"/>
          <w:szCs w:val="32"/>
        </w:rPr>
        <w:t xml:space="preserve">积极争取中央预算内投资、车购税资金以及成品油税费改革资金、城市交通发展奖励等资金，对多式联运发展和运输结构调整的支持力度。创新政府和社会资本合作模式，鼓励社会资本牵头设立多式联运产业基金，</w:t>
      </w:r>
      <w:r>
        <w:rPr>
          <w:rFonts w:eastAsia="仿宋_GB2312"/>
          <w:sz w:val="32"/>
          <w:szCs w:val="32"/>
        </w:rPr>
        <w:t xml:space="preserve">按照市场化方式运作管理。鼓励各县（市、区）根据实际进一步加大资金投入力度，通过设立多式联运产业基金，对多式联运经营人在建设、通行、运营、创新等多个方面进行政策扶持。鼓励金融机构通过运单</w:t>
      </w:r>
      <w:r>
        <w:rPr>
          <w:rFonts w:eastAsia="仿宋_GB2312"/>
          <w:sz w:val="32"/>
          <w:szCs w:val="32"/>
        </w:rPr>
        <w:t xml:space="preserve">/</w:t>
      </w:r>
      <w:r>
        <w:rPr>
          <w:rFonts w:eastAsia="仿宋_GB2312"/>
          <w:sz w:val="32"/>
          <w:szCs w:val="32"/>
        </w:rPr>
        <w:t xml:space="preserve">提单</w:t>
      </w:r>
      <w:r>
        <w:rPr>
          <w:rFonts w:eastAsia="仿宋_GB2312"/>
          <w:sz w:val="32"/>
          <w:szCs w:val="32"/>
        </w:rPr>
        <w:t xml:space="preserve">+</w:t>
      </w:r>
      <w:r>
        <w:rPr>
          <w:rFonts w:eastAsia="仿宋_GB2312"/>
          <w:sz w:val="32"/>
          <w:szCs w:val="32"/>
        </w:rPr>
        <w:t xml:space="preserve">货物质押</w:t>
      </w:r>
      <w:r>
        <w:rPr>
          <w:rFonts w:eastAsia="仿宋_GB2312"/>
          <w:sz w:val="32"/>
          <w:szCs w:val="32"/>
        </w:rPr>
        <w:t xml:space="preserve">/</w:t>
      </w:r>
      <w:r>
        <w:rPr>
          <w:rFonts w:eastAsia="仿宋_GB2312"/>
          <w:sz w:val="32"/>
          <w:szCs w:val="32"/>
        </w:rPr>
        <w:t xml:space="preserve">保函</w:t>
      </w:r>
      <w:r>
        <w:rPr>
          <w:rFonts w:eastAsia="仿宋_GB2312"/>
          <w:sz w:val="32"/>
          <w:szCs w:val="32"/>
        </w:rPr>
        <w:t xml:space="preserve">/</w:t>
      </w:r>
      <w:r>
        <w:rPr>
          <w:rFonts w:eastAsia="仿宋_GB2312"/>
          <w:sz w:val="32"/>
          <w:szCs w:val="32"/>
        </w:rPr>
        <w:t xml:space="preserve">应收账款等方式增信，支持区域物流企业解决物权属性问题，减少企业融资难度，提升金融贸易效率，促进行业降本增效。（市财政局、市发改委、市交通运输局、原平车务段按职责分工负责）</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（十五）加强重点项目资源保障。</w:t>
      </w:r>
      <w:r>
        <w:rPr>
          <w:rFonts w:eastAsia="仿宋_GB2312"/>
          <w:sz w:val="32"/>
          <w:szCs w:val="32"/>
        </w:rPr>
        <w:t xml:space="preserve">依托</w:t>
      </w:r>
      <w:r>
        <w:rPr>
          <w:rFonts w:eastAsia="仿宋_GB2312"/>
          <w:sz w:val="32"/>
          <w:szCs w:val="32"/>
        </w:rPr>
        <w:t xml:space="preserve">“</w:t>
      </w:r>
      <w:r>
        <w:rPr>
          <w:rFonts w:eastAsia="仿宋_GB2312"/>
          <w:sz w:val="32"/>
          <w:szCs w:val="32"/>
        </w:rPr>
        <w:t xml:space="preserve">太忻一体化经济区</w:t>
      </w:r>
      <w:r>
        <w:rPr>
          <w:rFonts w:eastAsia="仿宋_GB2312"/>
          <w:sz w:val="32"/>
          <w:szCs w:val="32"/>
        </w:rPr>
        <w:t xml:space="preserve">”</w:t>
      </w:r>
      <w:r>
        <w:rPr>
          <w:rFonts w:eastAsia="仿宋_GB2312"/>
          <w:sz w:val="32"/>
          <w:szCs w:val="32"/>
        </w:rPr>
        <w:t xml:space="preserve">，先行培育打造以物流园区为依托的物</w:t>
      </w:r>
      <w:r>
        <w:rPr>
          <w:rFonts w:eastAsia="仿宋_GB2312"/>
          <w:sz w:val="32"/>
          <w:szCs w:val="32"/>
        </w:rPr>
        <w:t xml:space="preserve">流中心，力争建设一批综合实力强、发展前景好、带动作用明显的物流园区，积极申建国家级示范物流园区，加大对国家物流枢纽、综合货运枢纽、中转分拨基地、铁路专用线、封闭式皮带廊道等项目用地的支持力度，优先安排新增建设用地指标，提高用地复合程度，盘活闲置交通用地资源。对支撑多式联运发展、运输结构调整的规划和重点建设项目，且项目选址、选线、布局符合主体功能区划、区域、流域、环境保护等规划或要求的，开辟环评绿色通道，依法依规加快环评审查、审批。（市发改委、市自然资源局、市生态环境局、市住建局、市交通运输局按职责分工负责）</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（十六）完善交通运输绿色发展政策。</w:t>
      </w:r>
      <w:r>
        <w:rPr>
          <w:rFonts w:eastAsia="仿宋_GB2312"/>
          <w:sz w:val="32"/>
          <w:szCs w:val="32"/>
        </w:rPr>
        <w:t xml:space="preserve">认真贯彻落实推动多式联运发展和运输结构调整的碳减排政策，研究探索支持多式运输方式协同、提高综合运输效率、便利新能源和新能源车船通行等方面政策。鼓励创新推广绿色低碳运输组织模式，积极推广城市绿色货运配送示范建设工程，守住自然生态安全边</w:t>
      </w:r>
      <w:r>
        <w:rPr>
          <w:rFonts w:eastAsia="仿宋_GB2312"/>
          <w:sz w:val="32"/>
          <w:szCs w:val="32"/>
        </w:rPr>
        <w:t xml:space="preserve">界。（市发改委、市公安局、市财政局、市交通运输局等按职责分工负责）</w:t>
      </w:r>
      <w:r>
        <w:rPr>
          <w:rFonts w:eastAsia="仿宋_GB2312"/>
          <w:sz w:val="32"/>
          <w:szCs w:val="32"/>
        </w:rPr>
      </w:r>
    </w:p>
    <w:p>
      <w:pPr>
        <w:pBdr/>
        <w:spacing w:line="560" w:lineRule="exact"/>
        <w:ind w:firstLine="640"/>
        <w:rPr>
          <w:rFonts w:eastAsia="仿宋_GB2312"/>
          <w:sz w:val="32"/>
          <w:szCs w:val="32"/>
        </w:rPr>
      </w:pPr>
      <w:r>
        <w:rPr>
          <w:rFonts w:hint="eastAsia" w:ascii="楷体_GB2312" w:eastAsia="楷体_GB2312"/>
          <w:sz w:val="32"/>
          <w:szCs w:val="32"/>
        </w:rPr>
        <w:t xml:space="preserve">（十七）强化组织实施。</w:t>
      </w:r>
      <w:r>
        <w:rPr>
          <w:rFonts w:eastAsia="仿宋_GB2312"/>
          <w:sz w:val="32"/>
          <w:szCs w:val="32"/>
        </w:rPr>
        <w:t xml:space="preserve">各县（市、区）人民政府，五台山管委会和各相关部门及单位要将发展多式联运和调整运输结构作为</w:t>
      </w:r>
      <w:r>
        <w:rPr>
          <w:rFonts w:eastAsia="仿宋_GB2312"/>
          <w:sz w:val="32"/>
          <w:szCs w:val="32"/>
        </w:rPr>
        <w:t xml:space="preserve">“</w:t>
      </w:r>
      <w:r>
        <w:rPr>
          <w:rFonts w:eastAsia="仿宋_GB2312"/>
          <w:sz w:val="32"/>
          <w:szCs w:val="32"/>
        </w:rPr>
        <w:t xml:space="preserve">十四五</w:t>
      </w:r>
      <w:r>
        <w:rPr>
          <w:rFonts w:eastAsia="仿宋_GB2312"/>
          <w:sz w:val="32"/>
          <w:szCs w:val="32"/>
        </w:rPr>
        <w:t xml:space="preserve">”</w:t>
      </w:r>
      <w:r>
        <w:rPr>
          <w:rFonts w:eastAsia="仿宋_GB2312"/>
          <w:sz w:val="32"/>
          <w:szCs w:val="32"/>
        </w:rPr>
        <w:t xml:space="preserve">交通运输领域的重点事项，加强统筹协调和部门联动，协商解决项目规划、建设方案、资金筹措等问题。要督促工矿企业、铁路企业等落实责任，在推进过程中，要统筹好发展和安全的关系，切实保障煤炭等重点物资运输安全，改善道路货运，邮政快递等从业环境。要进一步规范交通运输综合行政执法，畅通</w:t>
      </w:r>
      <w:r>
        <w:rPr>
          <w:rFonts w:eastAsia="仿宋_GB2312"/>
          <w:sz w:val="32"/>
          <w:szCs w:val="32"/>
        </w:rPr>
        <w:t xml:space="preserve">“12328”</w:t>
      </w:r>
      <w:r>
        <w:rPr>
          <w:rFonts w:eastAsia="仿宋_GB2312"/>
          <w:sz w:val="32"/>
          <w:szCs w:val="32"/>
        </w:rPr>
        <w:t xml:space="preserve">热线等交通运输服务监督渠道，做好政策宣传和舆论引导，切实维护经济社会发展稳定大局。（市交通运输局、市发改委、原平车务段牵头，各有关部门和单位配合）</w:t>
      </w:r>
      <w:r>
        <w:rPr>
          <w:rFonts w:eastAsia="仿宋_GB2312"/>
          <w:sz w:val="32"/>
          <w:szCs w:val="32"/>
        </w:rPr>
      </w:r>
    </w:p>
    <w:p>
      <w:pPr>
        <w:pBdr/>
        <w:spacing w:line="580" w:lineRule="exact"/>
        <w:ind w:firstLine="640"/>
        <w:rPr>
          <w:rFonts w:ascii="CESI仿宋-GB2312" w:hAnsi="CESI仿宋-GB2312" w:eastAsia="CESI仿宋-GB2312" w:cs="CESI仿宋-GB2312"/>
          <w:sz w:val="32"/>
          <w:szCs w:val="32"/>
        </w:rPr>
      </w:pPr>
      <w:r>
        <w:rPr>
          <w:rFonts w:ascii="CESI仿宋-GB2312" w:hAnsi="CESI仿宋-GB2312" w:eastAsia="CESI仿宋-GB2312" w:cs="CESI仿宋-GB2312"/>
          <w:sz w:val="32"/>
          <w:szCs w:val="32"/>
        </w:rPr>
      </w:r>
      <w:r>
        <w:rPr>
          <w:rFonts w:ascii="CESI仿宋-GB2312" w:hAnsi="CESI仿宋-GB2312" w:eastAsia="CESI仿宋-GB2312" w:cs="CESI仿宋-GB2312"/>
          <w:sz w:val="32"/>
          <w:szCs w:val="32"/>
        </w:rPr>
      </w:r>
    </w:p>
    <w:p>
      <w:pPr>
        <w:pBdr/>
        <w:spacing w:line="58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r>
      <w:r>
        <w:rPr>
          <w:rFonts w:hint="eastAsia" w:ascii="CESI仿宋-GB2312" w:hAnsi="CESI仿宋-GB2312" w:eastAsia="CESI仿宋-GB2312" w:cs="CESI仿宋-GB2312"/>
          <w:sz w:val="32"/>
          <w:szCs w:val="32"/>
        </w:rPr>
      </w:r>
    </w:p>
    <w:p>
      <w:pPr>
        <w:pBdr/>
        <w:spacing w:line="600" w:lineRule="exact"/>
        <w:ind/>
        <w:rPr>
          <w:rFonts w:eastAsia="方正仿宋_GBK"/>
        </w:rPr>
      </w:pPr>
      <w:r>
        <w:rPr>
          <w:rFonts w:eastAsia="方正仿宋_GBK"/>
        </w:rPr>
      </w:r>
      <w:r>
        <w:rPr>
          <w:rFonts w:eastAsia="方正仿宋_GBK"/>
        </w:rPr>
      </w:r>
    </w:p>
    <w:p>
      <w:pPr>
        <w:pBdr/>
        <w:spacing w:line="600" w:lineRule="exact"/>
        <w:ind/>
        <w:rPr>
          <w:rFonts w:eastAsia="方正仿宋_GBK"/>
        </w:rPr>
      </w:pPr>
      <w:r>
        <w:rPr>
          <w:rFonts w:eastAsia="方正仿宋_GBK"/>
        </w:rPr>
      </w:r>
      <w:r>
        <w:rPr>
          <w:rFonts w:eastAsia="方正仿宋_GBK"/>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int="eastAsia" w:hAnsi="仿宋_GB2312" w:eastAsia="仿宋_GB2312"/>
          <w:sz w:val="32"/>
          <w:szCs w:val="32"/>
        </w:rPr>
      </w:pPr>
      <w:r>
        <w:rPr>
          <w:rFonts w:hint="eastAsia" w:hAnsi="仿宋_GB2312" w:eastAsia="仿宋_GB2312"/>
          <w:sz w:val="32"/>
          <w:szCs w:val="32"/>
        </w:rPr>
      </w:r>
      <w:r>
        <w:rPr>
          <w:rFonts w:hint="eastAsia"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2"/>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2336;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7"/>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0288;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3</w:t>
      </w:r>
      <w:r>
        <w:rPr>
          <w:rFonts w:eastAsia="仿宋_GB2312"/>
          <w:color w:val="000000"/>
          <w:sz w:val="28"/>
          <w:szCs w:val="28"/>
        </w:rPr>
        <w:t xml:space="preserve">月</w:t>
      </w:r>
      <w:r>
        <w:rPr>
          <w:rFonts w:hint="eastAsia" w:eastAsia="仿宋_GB2312"/>
          <w:color w:val="000000"/>
          <w:sz w:val="28"/>
          <w:szCs w:val="28"/>
        </w:rPr>
        <w:t xml:space="preserve">2</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column">
                  <wp:posOffset>3575355</wp:posOffset>
                </wp:positionH>
                <wp:positionV relativeFrom="paragraph">
                  <wp:posOffset>293167</wp:posOffset>
                </wp:positionV>
                <wp:extent cx="2234031" cy="826617"/>
                <wp:effectExtent l="19050" t="0" r="0" b="0"/>
                <wp:wrapNone/>
                <wp:docPr id="3" name="图片 1" descr="2023030309420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03094209_00001.jpg"/>
                        <pic:cNvPicPr>
                          <a:picLocks noChangeAspect="1"/>
                        </pic:cNvPicPr>
                        <pic:nvPr/>
                      </pic:nvPicPr>
                      <pic:blipFill>
                        <a:blip r:embed="rId14"/>
                        <a:stretch/>
                      </pic:blipFill>
                      <pic:spPr bwMode="auto">
                        <a:xfrm>
                          <a:off x="0" y="0"/>
                          <a:ext cx="2234031" cy="826617"/>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3360;o:allowoverlap:true;o:allowincell:true;mso-position-horizontal-relative:text;margin-left:281.52pt;mso-position-horizontal:absolute;mso-position-vertical-relative:text;margin-top:23.08pt;mso-position-vertical:absolute;width:175.91pt;height:65.09pt;mso-wrap-distance-left:9.00pt;mso-wrap-distance-top:0.00pt;mso-wrap-distance-right:9.00pt;mso-wrap-distance-bottom:0.00pt;z-index:1;" stroked="false">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1312;mso-wrap-distance-left:9.00pt;mso-wrap-distance-top:0.00pt;mso-wrap-distance-right:9.00pt;mso-wrap-distance-bottom:0.00pt;visibility:visible;" from="0.0pt,3.2pt" to="441.0pt,3.2pt" fillcolor="#FFFFFF" strokecolor="#000000" strokeweight="0.95pt"/>
            </w:pict>
          </mc:Fallback>
        </mc:AlternateContent>
      </w:r>
      <w:r>
        <w:rPr>
          <w:rFonts w:hint="eastAsia"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hint="eastAsia"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楷体">
    <w:panose1 w:val="02010600040101010101"/>
  </w:font>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CESI仿宋-GB2312">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Verdana">
    <w:panose1 w:val="020B0604030504040204"/>
  </w:font>
  <w:font w:name="Cambria">
    <w:panose1 w:val="02040503050406030204"/>
  </w:font>
  <w:font w:name="方正小标宋_GBK">
    <w:panose1 w:val="020B060402020202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4"/>
      <w:pBdr/>
      <w:spacing/>
      <w:ind/>
      <w:jc w:val="right"/>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 xml:space="preserve">-</w:t>
    </w:r>
    <w:r>
      <w:rPr>
        <w:rFonts w:ascii="宋体" w:hAnsi="宋体"/>
        <w:sz w:val="24"/>
      </w:rPr>
      <w:t xml:space="preserve"> 3 -</w:t>
    </w:r>
    <w:r>
      <w:rPr>
        <w:rFonts w:ascii="宋体" w:hAnsi="宋体"/>
        <w:sz w:val="24"/>
      </w:rPr>
      <w:fldChar w:fldCharType="end"/>
    </w:r>
    <w:r/>
  </w:p>
  <w:p>
    <w:pPr>
      <w:pStyle w:val="734"/>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735462"/>
      <w:docPartObj>
        <w:docPartGallery w:val="Page Numbers (Bottom of Page)"/>
        <w:docPartUnique w:val="true"/>
      </w:docPartObj>
      <w:rPr/>
    </w:sdtPr>
    <w:sdtContent>
      <w:p>
        <w:pPr>
          <w:pStyle w:val="734"/>
          <w:pBdr/>
          <w:spacing/>
          <w:ind/>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2 -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34"/>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4"/>
      <w:pBdr/>
      <w:spacing/>
      <w:ind/>
      <w:jc w:val="right"/>
      <w:rPr/>
    </w:pPr>
    <w:r/>
    <w:r/>
  </w:p>
  <w:p>
    <w:pPr>
      <w:pStyle w:val="734"/>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19"/>
    <w:link w:val="714"/>
    <w:uiPriority w:val="9"/>
    <w:pPr>
      <w:pBdr/>
      <w:spacing/>
      <w:ind/>
    </w:pPr>
    <w:rPr>
      <w:rFonts w:ascii="等线" w:hAnsi="等线" w:eastAsia="等线" w:cs="等线"/>
      <w:sz w:val="40"/>
      <w:szCs w:val="40"/>
    </w:rPr>
  </w:style>
  <w:style w:type="character" w:styleId="16">
    <w:name w:val="Heading 2 Char"/>
    <w:basedOn w:val="719"/>
    <w:link w:val="715"/>
    <w:uiPriority w:val="9"/>
    <w:pPr>
      <w:pBdr/>
      <w:spacing/>
      <w:ind/>
    </w:pPr>
    <w:rPr>
      <w:rFonts w:ascii="等线" w:hAnsi="等线" w:eastAsia="等线" w:cs="等线"/>
      <w:sz w:val="34"/>
    </w:rPr>
  </w:style>
  <w:style w:type="character" w:styleId="18">
    <w:name w:val="Heading 3 Char"/>
    <w:basedOn w:val="719"/>
    <w:link w:val="716"/>
    <w:uiPriority w:val="9"/>
    <w:pPr>
      <w:pBdr/>
      <w:spacing/>
      <w:ind/>
    </w:pPr>
    <w:rPr>
      <w:rFonts w:ascii="等线" w:hAnsi="等线" w:eastAsia="等线" w:cs="等线"/>
      <w:sz w:val="30"/>
      <w:szCs w:val="30"/>
    </w:rPr>
  </w:style>
  <w:style w:type="character" w:styleId="20">
    <w:name w:val="Heading 4 Char"/>
    <w:basedOn w:val="719"/>
    <w:link w:val="717"/>
    <w:uiPriority w:val="9"/>
    <w:pPr>
      <w:pBdr/>
      <w:spacing/>
      <w:ind/>
    </w:pPr>
    <w:rPr>
      <w:rFonts w:ascii="等线" w:hAnsi="等线" w:eastAsia="等线" w:cs="等线"/>
      <w:b/>
      <w:bCs/>
      <w:sz w:val="26"/>
      <w:szCs w:val="26"/>
    </w:rPr>
  </w:style>
  <w:style w:type="character" w:styleId="22">
    <w:name w:val="Heading 5 Char"/>
    <w:basedOn w:val="719"/>
    <w:link w:val="832"/>
    <w:uiPriority w:val="9"/>
    <w:pPr>
      <w:pBdr/>
      <w:spacing/>
      <w:ind/>
    </w:pPr>
    <w:rPr>
      <w:rFonts w:ascii="等线" w:hAnsi="等线" w:eastAsia="等线" w:cs="等线"/>
      <w:b/>
      <w:bCs/>
      <w:sz w:val="24"/>
      <w:szCs w:val="24"/>
    </w:rPr>
  </w:style>
  <w:style w:type="paragraph" w:styleId="23">
    <w:name w:val="Heading 6"/>
    <w:basedOn w:val="713"/>
    <w:next w:val="713"/>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19"/>
    <w:link w:val="23"/>
    <w:uiPriority w:val="9"/>
    <w:pPr>
      <w:pBdr/>
      <w:spacing/>
      <w:ind/>
    </w:pPr>
    <w:rPr>
      <w:rFonts w:ascii="等线" w:hAnsi="等线" w:eastAsia="等线" w:cs="等线"/>
      <w:b/>
      <w:bCs/>
      <w:sz w:val="22"/>
      <w:szCs w:val="22"/>
    </w:rPr>
  </w:style>
  <w:style w:type="paragraph" w:styleId="25">
    <w:name w:val="Heading 7"/>
    <w:basedOn w:val="713"/>
    <w:next w:val="713"/>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19"/>
    <w:link w:val="25"/>
    <w:uiPriority w:val="9"/>
    <w:pPr>
      <w:pBdr/>
      <w:spacing/>
      <w:ind/>
    </w:pPr>
    <w:rPr>
      <w:rFonts w:ascii="等线" w:hAnsi="等线" w:eastAsia="等线" w:cs="等线"/>
      <w:b/>
      <w:bCs/>
      <w:i/>
      <w:iCs/>
      <w:sz w:val="22"/>
      <w:szCs w:val="22"/>
    </w:rPr>
  </w:style>
  <w:style w:type="paragraph" w:styleId="27">
    <w:name w:val="Heading 8"/>
    <w:basedOn w:val="713"/>
    <w:next w:val="713"/>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19"/>
    <w:link w:val="27"/>
    <w:uiPriority w:val="9"/>
    <w:pPr>
      <w:pBdr/>
      <w:spacing/>
      <w:ind/>
    </w:pPr>
    <w:rPr>
      <w:rFonts w:ascii="等线" w:hAnsi="等线" w:eastAsia="等线" w:cs="等线"/>
      <w:i/>
      <w:iCs/>
      <w:sz w:val="22"/>
      <w:szCs w:val="22"/>
    </w:rPr>
  </w:style>
  <w:style w:type="paragraph" w:styleId="29">
    <w:name w:val="Heading 9"/>
    <w:basedOn w:val="713"/>
    <w:next w:val="713"/>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19"/>
    <w:link w:val="29"/>
    <w:uiPriority w:val="9"/>
    <w:pPr>
      <w:pBdr/>
      <w:spacing/>
      <w:ind/>
    </w:pPr>
    <w:rPr>
      <w:rFonts w:ascii="等线" w:hAnsi="等线" w:eastAsia="等线" w:cs="等线"/>
      <w:i/>
      <w:iCs/>
      <w:sz w:val="21"/>
      <w:szCs w:val="21"/>
    </w:rPr>
  </w:style>
  <w:style w:type="character" w:styleId="35">
    <w:name w:val="Title Char"/>
    <w:basedOn w:val="719"/>
    <w:link w:val="744"/>
    <w:uiPriority w:val="10"/>
    <w:pPr>
      <w:pBdr/>
      <w:spacing/>
      <w:ind/>
    </w:pPr>
    <w:rPr>
      <w:sz w:val="48"/>
      <w:szCs w:val="48"/>
    </w:rPr>
  </w:style>
  <w:style w:type="character" w:styleId="37">
    <w:name w:val="Subtitle Char"/>
    <w:basedOn w:val="719"/>
    <w:link w:val="737"/>
    <w:uiPriority w:val="11"/>
    <w:pPr>
      <w:pBdr/>
      <w:spacing/>
      <w:ind/>
    </w:pPr>
    <w:rPr>
      <w:sz w:val="24"/>
      <w:szCs w:val="24"/>
    </w:rPr>
  </w:style>
  <w:style w:type="paragraph" w:styleId="38">
    <w:name w:val="Quote"/>
    <w:basedOn w:val="713"/>
    <w:next w:val="713"/>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13"/>
    <w:next w:val="713"/>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13"/>
    <w:next w:val="713"/>
    <w:uiPriority w:val="35"/>
    <w:semiHidden/>
    <w:unhideWhenUsed/>
    <w:qFormat/>
    <w:pPr>
      <w:pBdr/>
      <w:spacing w:line="276" w:lineRule="auto"/>
      <w:ind/>
    </w:pPr>
    <w:rPr>
      <w:b/>
      <w:bCs/>
      <w:color w:val="4f81bd" w:themeColor="accent1"/>
      <w:sz w:val="18"/>
      <w:szCs w:val="18"/>
    </w:rPr>
  </w:style>
  <w:style w:type="character" w:styleId="47">
    <w:name w:val="Caption Char"/>
    <w:basedOn w:val="46"/>
    <w:link w:val="734"/>
    <w:uiPriority w:val="99"/>
    <w:pPr>
      <w:pBdr/>
      <w:spacing/>
      <w:ind/>
    </w:pPr>
  </w:style>
  <w:style w:type="table" w:styleId="49">
    <w:name w:val="Table Grid Light"/>
    <w:basedOn w:val="72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2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2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2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2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2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2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2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2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2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2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2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2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2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2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2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2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2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2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2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2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2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2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2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2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2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2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2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2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2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2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2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2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2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2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2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2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2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2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2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2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2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2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2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2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2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2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2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2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2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2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2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2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2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2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2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2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2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2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2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2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2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2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2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2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2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2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2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2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2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2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2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2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2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2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2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2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2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2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2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2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2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2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2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2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2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2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2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2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2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2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2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2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2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2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2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2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2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2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2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2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2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2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2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2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2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2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38"/>
    <w:uiPriority w:val="99"/>
    <w:pPr>
      <w:pBdr/>
      <w:spacing/>
      <w:ind/>
    </w:pPr>
    <w:rPr>
      <w:sz w:val="18"/>
    </w:rPr>
  </w:style>
  <w:style w:type="character" w:styleId="177">
    <w:name w:val="footnote reference"/>
    <w:basedOn w:val="719"/>
    <w:uiPriority w:val="99"/>
    <w:unhideWhenUsed/>
    <w:pPr>
      <w:pBdr/>
      <w:spacing/>
      <w:ind/>
    </w:pPr>
    <w:rPr>
      <w:vertAlign w:val="superscript"/>
    </w:rPr>
  </w:style>
  <w:style w:type="paragraph" w:styleId="178">
    <w:name w:val="endnote text"/>
    <w:basedOn w:val="713"/>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19"/>
    <w:uiPriority w:val="99"/>
    <w:semiHidden/>
    <w:unhideWhenUsed/>
    <w:pPr>
      <w:pBdr/>
      <w:spacing/>
      <w:ind/>
    </w:pPr>
    <w:rPr>
      <w:vertAlign w:val="superscript"/>
    </w:rPr>
  </w:style>
  <w:style w:type="paragraph" w:styleId="184">
    <w:name w:val="toc 4"/>
    <w:basedOn w:val="713"/>
    <w:next w:val="713"/>
    <w:uiPriority w:val="39"/>
    <w:unhideWhenUsed/>
    <w:pPr>
      <w:pBdr/>
      <w:spacing w:after="57"/>
      <w:ind w:right="0" w:firstLine="0" w:left="850"/>
    </w:pPr>
  </w:style>
  <w:style w:type="paragraph" w:styleId="185">
    <w:name w:val="toc 5"/>
    <w:basedOn w:val="713"/>
    <w:next w:val="713"/>
    <w:uiPriority w:val="39"/>
    <w:unhideWhenUsed/>
    <w:pPr>
      <w:pBdr/>
      <w:spacing w:after="57"/>
      <w:ind w:right="0" w:firstLine="0" w:left="1134"/>
    </w:pPr>
  </w:style>
  <w:style w:type="paragraph" w:styleId="186">
    <w:name w:val="toc 6"/>
    <w:basedOn w:val="713"/>
    <w:next w:val="713"/>
    <w:uiPriority w:val="39"/>
    <w:unhideWhenUsed/>
    <w:pPr>
      <w:pBdr/>
      <w:spacing w:after="57"/>
      <w:ind w:right="0" w:firstLine="0" w:left="1417"/>
    </w:pPr>
  </w:style>
  <w:style w:type="paragraph" w:styleId="187">
    <w:name w:val="toc 7"/>
    <w:basedOn w:val="713"/>
    <w:next w:val="713"/>
    <w:uiPriority w:val="39"/>
    <w:unhideWhenUsed/>
    <w:pPr>
      <w:pBdr/>
      <w:spacing w:after="57"/>
      <w:ind w:right="0" w:firstLine="0" w:left="1701"/>
    </w:pPr>
  </w:style>
  <w:style w:type="paragraph" w:styleId="188">
    <w:name w:val="toc 8"/>
    <w:basedOn w:val="713"/>
    <w:next w:val="713"/>
    <w:uiPriority w:val="39"/>
    <w:unhideWhenUsed/>
    <w:pPr>
      <w:pBdr/>
      <w:spacing w:after="57"/>
      <w:ind w:right="0" w:firstLine="0" w:left="1984"/>
    </w:pPr>
  </w:style>
  <w:style w:type="paragraph" w:styleId="189">
    <w:name w:val="toc 9"/>
    <w:basedOn w:val="713"/>
    <w:next w:val="713"/>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13"/>
    <w:next w:val="713"/>
    <w:uiPriority w:val="99"/>
    <w:unhideWhenUsed/>
    <w:pPr>
      <w:pBdr/>
      <w:spacing w:after="0" w:afterAutospacing="0"/>
      <w:ind/>
    </w:pPr>
  </w:style>
  <w:style w:type="paragraph" w:styleId="713" w:default="1">
    <w:name w:val="Normal"/>
    <w:qFormat/>
    <w:pPr>
      <w:widowControl w:val="false"/>
      <w:pBdr/>
      <w:spacing/>
      <w:ind/>
      <w:jc w:val="both"/>
    </w:pPr>
    <w:rPr>
      <w:sz w:val="21"/>
      <w:szCs w:val="24"/>
    </w:rPr>
  </w:style>
  <w:style w:type="paragraph" w:styleId="714">
    <w:name w:val="Heading 1"/>
    <w:basedOn w:val="713"/>
    <w:next w:val="713"/>
    <w:link w:val="751"/>
    <w:qFormat/>
    <w:pPr>
      <w:keepNext w:val="true"/>
      <w:keepLines w:val="true"/>
      <w:pBdr/>
      <w:spacing w:after="330" w:before="340" w:line="578" w:lineRule="auto"/>
      <w:ind/>
      <w:outlineLvl w:val="0"/>
    </w:pPr>
    <w:rPr>
      <w:b/>
      <w:bCs/>
      <w:sz w:val="44"/>
      <w:szCs w:val="44"/>
    </w:rPr>
  </w:style>
  <w:style w:type="paragraph" w:styleId="715">
    <w:name w:val="Heading 2"/>
    <w:basedOn w:val="713"/>
    <w:next w:val="713"/>
    <w:link w:val="752"/>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16">
    <w:name w:val="Heading 3"/>
    <w:basedOn w:val="713"/>
    <w:next w:val="713"/>
    <w:link w:val="753"/>
    <w:qFormat/>
    <w:pPr>
      <w:keepNext w:val="true"/>
      <w:keepLines w:val="true"/>
      <w:pBdr/>
      <w:spacing w:after="260" w:before="260" w:line="416" w:lineRule="auto"/>
      <w:ind/>
      <w:outlineLvl w:val="2"/>
    </w:pPr>
    <w:rPr>
      <w:b/>
      <w:bCs/>
      <w:sz w:val="32"/>
      <w:szCs w:val="32"/>
    </w:rPr>
  </w:style>
  <w:style w:type="paragraph" w:styleId="717">
    <w:name w:val="Heading 4"/>
    <w:basedOn w:val="713"/>
    <w:next w:val="713"/>
    <w:link w:val="825"/>
    <w:qFormat/>
    <w:pPr>
      <w:keepNext w:val="true"/>
      <w:keepLines w:val="true"/>
      <w:pBdr/>
      <w:spacing w:after="290" w:before="280" w:line="376" w:lineRule="auto"/>
      <w:ind/>
      <w:outlineLvl w:val="3"/>
    </w:pPr>
    <w:rPr>
      <w:rFonts w:ascii="Cambria" w:hAnsi="Cambria"/>
      <w:b/>
      <w:bCs/>
      <w:sz w:val="28"/>
      <w:szCs w:val="28"/>
    </w:rPr>
  </w:style>
  <w:style w:type="paragraph" w:styleId="718">
    <w:name w:val="Heading 5"/>
    <w:basedOn w:val="713"/>
    <w:next w:val="713"/>
    <w:link w:val="830"/>
    <w:uiPriority w:val="9"/>
    <w:unhideWhenUsed/>
    <w:qFormat/>
    <w:pPr>
      <w:keepNext w:val="true"/>
      <w:keepLines w:val="true"/>
      <w:pBdr/>
      <w:spacing w:after="290" w:before="280" w:line="376" w:lineRule="auto"/>
      <w:ind/>
      <w:outlineLvl w:val="4"/>
    </w:pPr>
    <w:rPr>
      <w:b/>
      <w:bCs/>
      <w:sz w:val="28"/>
      <w:szCs w:val="28"/>
    </w:rPr>
  </w:style>
  <w:style w:type="character" w:styleId="719" w:default="1">
    <w:name w:val="Default Paragraph Font"/>
    <w:uiPriority w:val="1"/>
    <w:semiHidden/>
    <w:unhideWhenUsed/>
    <w:pPr>
      <w:pBdr/>
      <w:spacing/>
      <w:ind/>
    </w:pPr>
  </w:style>
  <w:style w:type="table" w:styleId="720"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21" w:default="1">
    <w:name w:val="No List"/>
    <w:uiPriority w:val="99"/>
    <w:semiHidden/>
    <w:unhideWhenUsed/>
    <w:pPr>
      <w:pBdr/>
      <w:spacing/>
      <w:ind/>
    </w:pPr>
  </w:style>
  <w:style w:type="paragraph" w:styleId="722">
    <w:name w:val="table of authorities"/>
    <w:basedOn w:val="713"/>
    <w:next w:val="713"/>
    <w:unhideWhenUsed/>
    <w:qFormat/>
    <w:pPr>
      <w:pBdr/>
      <w:spacing w:after="100" w:afterAutospacing="1" w:before="100" w:beforeAutospacing="1"/>
      <w:ind w:left="420"/>
    </w:pPr>
    <w:rPr>
      <w:rFonts w:ascii="Calibri" w:hAnsi="Calibri" w:cs="Calibri"/>
      <w:sz w:val="32"/>
      <w:szCs w:val="32"/>
    </w:rPr>
  </w:style>
  <w:style w:type="paragraph" w:styleId="723">
    <w:name w:val="Document Map"/>
    <w:basedOn w:val="713"/>
    <w:link w:val="809"/>
    <w:uiPriority w:val="99"/>
    <w:qFormat/>
    <w:pPr>
      <w:pBdr/>
      <w:spacing/>
      <w:ind/>
    </w:pPr>
    <w:rPr>
      <w:rFonts w:ascii="宋体"/>
      <w:sz w:val="18"/>
      <w:szCs w:val="18"/>
    </w:rPr>
  </w:style>
  <w:style w:type="paragraph" w:styleId="724">
    <w:name w:val="toa heading"/>
    <w:basedOn w:val="713"/>
    <w:next w:val="713"/>
    <w:uiPriority w:val="99"/>
    <w:qFormat/>
    <w:pPr>
      <w:pBdr/>
      <w:spacing w:before="120"/>
      <w:ind/>
    </w:pPr>
    <w:rPr>
      <w:rFonts w:ascii="Calibri Light" w:hAnsi="Calibri Light"/>
      <w:sz w:val="24"/>
    </w:rPr>
  </w:style>
  <w:style w:type="paragraph" w:styleId="725">
    <w:name w:val="annotation text"/>
    <w:basedOn w:val="713"/>
    <w:link w:val="783"/>
    <w:qFormat/>
    <w:pPr>
      <w:pBdr/>
      <w:spacing/>
      <w:ind/>
      <w:jc w:val="left"/>
    </w:pPr>
    <w:rPr>
      <w:szCs w:val="20"/>
    </w:rPr>
  </w:style>
  <w:style w:type="paragraph" w:styleId="726">
    <w:name w:val="Body Text 3"/>
    <w:basedOn w:val="713"/>
    <w:link w:val="787"/>
    <w:uiPriority w:val="99"/>
    <w:qFormat/>
    <w:pPr>
      <w:pBdr/>
      <w:spacing w:after="120"/>
      <w:ind/>
    </w:pPr>
    <w:rPr>
      <w:sz w:val="16"/>
      <w:szCs w:val="16"/>
    </w:rPr>
  </w:style>
  <w:style w:type="paragraph" w:styleId="727">
    <w:name w:val="Body Text"/>
    <w:basedOn w:val="713"/>
    <w:link w:val="842"/>
    <w:uiPriority w:val="99"/>
    <w:qFormat/>
    <w:pPr>
      <w:pBdr/>
      <w:spacing w:after="120"/>
      <w:ind/>
    </w:pPr>
  </w:style>
  <w:style w:type="paragraph" w:styleId="728">
    <w:name w:val="Body Text Indent"/>
    <w:basedOn w:val="713"/>
    <w:link w:val="817"/>
    <w:uiPriority w:val="99"/>
    <w:qFormat/>
    <w:pPr>
      <w:pBdr/>
      <w:spacing/>
      <w:ind w:firstLine="435"/>
    </w:pPr>
    <w:rPr>
      <w:rFonts w:eastAsia="仿宋_GB2312"/>
      <w:sz w:val="32"/>
    </w:rPr>
  </w:style>
  <w:style w:type="paragraph" w:styleId="729">
    <w:name w:val="toc 3"/>
    <w:basedOn w:val="713"/>
    <w:next w:val="713"/>
    <w:uiPriority w:val="39"/>
    <w:unhideWhenUsed/>
    <w:qFormat/>
    <w:pPr>
      <w:pBdr/>
      <w:spacing/>
      <w:ind w:left="840"/>
    </w:pPr>
  </w:style>
  <w:style w:type="paragraph" w:styleId="730">
    <w:name w:val="Plain Text"/>
    <w:basedOn w:val="713"/>
    <w:link w:val="822"/>
    <w:uiPriority w:val="99"/>
    <w:qFormat/>
    <w:pPr>
      <w:pBdr/>
      <w:spacing/>
      <w:ind/>
    </w:pPr>
    <w:rPr>
      <w:rFonts w:ascii="宋体" w:hAnsi="Courier New"/>
    </w:rPr>
  </w:style>
  <w:style w:type="paragraph" w:styleId="731">
    <w:name w:val="Date"/>
    <w:basedOn w:val="713"/>
    <w:next w:val="713"/>
    <w:link w:val="845"/>
    <w:qFormat/>
    <w:pPr>
      <w:pBdr/>
      <w:spacing/>
      <w:ind w:left="100"/>
    </w:pPr>
  </w:style>
  <w:style w:type="paragraph" w:styleId="732">
    <w:name w:val="Body Text Indent 2"/>
    <w:basedOn w:val="713"/>
    <w:link w:val="846"/>
    <w:uiPriority w:val="99"/>
    <w:qFormat/>
    <w:pPr>
      <w:pBdr/>
      <w:spacing w:after="120" w:line="480" w:lineRule="auto"/>
      <w:ind w:left="420"/>
    </w:pPr>
  </w:style>
  <w:style w:type="paragraph" w:styleId="733">
    <w:name w:val="Balloon Text"/>
    <w:basedOn w:val="713"/>
    <w:link w:val="847"/>
    <w:qFormat/>
    <w:pPr>
      <w:pBdr/>
      <w:spacing/>
      <w:ind/>
    </w:pPr>
    <w:rPr>
      <w:sz w:val="18"/>
      <w:szCs w:val="18"/>
    </w:rPr>
  </w:style>
  <w:style w:type="paragraph" w:styleId="734">
    <w:name w:val="Footer"/>
    <w:basedOn w:val="713"/>
    <w:link w:val="765"/>
    <w:uiPriority w:val="99"/>
    <w:qFormat/>
    <w:pPr>
      <w:pBdr/>
      <w:tabs>
        <w:tab w:val="center" w:leader="none" w:pos="4153"/>
        <w:tab w:val="right" w:leader="none" w:pos="8306"/>
      </w:tabs>
      <w:spacing/>
      <w:ind/>
      <w:jc w:val="left"/>
    </w:pPr>
    <w:rPr>
      <w:sz w:val="18"/>
    </w:rPr>
  </w:style>
  <w:style w:type="paragraph" w:styleId="735">
    <w:name w:val="Header"/>
    <w:basedOn w:val="713"/>
    <w:link w:val="762"/>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36">
    <w:name w:val="toc 1"/>
    <w:basedOn w:val="713"/>
    <w:next w:val="713"/>
    <w:unhideWhenUsed/>
    <w:qFormat/>
    <w:pPr>
      <w:pBdr/>
      <w:spacing/>
      <w:ind/>
    </w:pPr>
  </w:style>
  <w:style w:type="paragraph" w:styleId="737">
    <w:name w:val="Subtitle"/>
    <w:basedOn w:val="713"/>
    <w:next w:val="713"/>
    <w:link w:val="805"/>
    <w:uiPriority w:val="99"/>
    <w:qFormat/>
    <w:pPr>
      <w:pBdr/>
      <w:spacing w:after="60" w:before="240" w:line="312" w:lineRule="auto"/>
      <w:ind/>
      <w:jc w:val="center"/>
      <w:outlineLvl w:val="1"/>
    </w:pPr>
    <w:rPr>
      <w:rFonts w:ascii="Cambria" w:hAnsi="Cambria"/>
      <w:b/>
      <w:bCs/>
      <w:sz w:val="32"/>
      <w:szCs w:val="32"/>
    </w:rPr>
  </w:style>
  <w:style w:type="paragraph" w:styleId="738">
    <w:name w:val="footnote text"/>
    <w:basedOn w:val="713"/>
    <w:link w:val="812"/>
    <w:uiPriority w:val="99"/>
    <w:unhideWhenUsed/>
    <w:qFormat/>
    <w:pPr>
      <w:pBdr/>
      <w:spacing/>
      <w:ind/>
      <w:jc w:val="left"/>
    </w:pPr>
    <w:rPr>
      <w:rFonts w:ascii="等线" w:hAnsi="等线" w:eastAsia="等线" w:cs="黑体"/>
      <w:sz w:val="18"/>
      <w:szCs w:val="18"/>
    </w:rPr>
  </w:style>
  <w:style w:type="paragraph" w:styleId="739">
    <w:name w:val="Body Text Indent 3"/>
    <w:basedOn w:val="713"/>
    <w:link w:val="848"/>
    <w:uiPriority w:val="99"/>
    <w:qFormat/>
    <w:pPr>
      <w:pBdr/>
      <w:spacing w:after="120"/>
      <w:ind w:left="420"/>
    </w:pPr>
    <w:rPr>
      <w:sz w:val="16"/>
      <w:szCs w:val="16"/>
    </w:rPr>
  </w:style>
  <w:style w:type="paragraph" w:styleId="740">
    <w:name w:val="toc 2"/>
    <w:basedOn w:val="713"/>
    <w:next w:val="713"/>
    <w:qFormat/>
    <w:pPr>
      <w:pBdr/>
      <w:spacing/>
      <w:ind w:left="420"/>
      <w:jc w:val="center"/>
    </w:pPr>
    <w:rPr>
      <w:rFonts w:ascii="楷体_GB2312" w:eastAsia="楷体_GB2312"/>
      <w:sz w:val="32"/>
    </w:rPr>
  </w:style>
  <w:style w:type="paragraph" w:styleId="741">
    <w:name w:val="Body Text 2"/>
    <w:basedOn w:val="713"/>
    <w:link w:val="801"/>
    <w:uiPriority w:val="99"/>
    <w:qFormat/>
    <w:pPr>
      <w:pBdr/>
      <w:spacing w:after="120" w:line="480" w:lineRule="auto"/>
      <w:ind/>
    </w:pPr>
  </w:style>
  <w:style w:type="paragraph" w:styleId="742">
    <w:name w:val="HTML Preformatted"/>
    <w:basedOn w:val="713"/>
    <w:link w:val="819"/>
    <w:uiPriority w:val="4"/>
    <w:unhideWhenUsed/>
    <w:qFormat/>
    <w:pPr>
      <w:widowControl w:val="true"/>
      <w:pBdr/>
      <w:spacing/>
      <w:ind/>
      <w:jc w:val="left"/>
    </w:pPr>
    <w:rPr>
      <w:rFonts w:ascii="宋体" w:hAnsi="宋体" w:cs="宋体"/>
      <w:sz w:val="24"/>
    </w:rPr>
  </w:style>
  <w:style w:type="paragraph" w:styleId="743">
    <w:name w:val="Normal (Web)"/>
    <w:basedOn w:val="713"/>
    <w:qFormat/>
    <w:pPr>
      <w:widowControl w:val="true"/>
      <w:pBdr/>
      <w:spacing w:after="100" w:afterAutospacing="1" w:before="100" w:beforeAutospacing="1"/>
      <w:ind/>
      <w:jc w:val="left"/>
    </w:pPr>
    <w:rPr>
      <w:rFonts w:ascii="宋体" w:hAnsi="宋体"/>
      <w:sz w:val="24"/>
    </w:rPr>
  </w:style>
  <w:style w:type="paragraph" w:styleId="744">
    <w:name w:val="Title"/>
    <w:basedOn w:val="713"/>
    <w:next w:val="713"/>
    <w:link w:val="816"/>
    <w:qFormat/>
    <w:pPr>
      <w:pBdr/>
      <w:spacing w:after="60" w:before="240"/>
      <w:ind/>
      <w:jc w:val="center"/>
      <w:outlineLvl w:val="0"/>
    </w:pPr>
    <w:rPr>
      <w:rFonts w:ascii="Arial" w:hAnsi="Arial"/>
      <w:b/>
      <w:sz w:val="32"/>
    </w:rPr>
  </w:style>
  <w:style w:type="paragraph" w:styleId="745">
    <w:name w:val="Body Text First Indent 2"/>
    <w:basedOn w:val="728"/>
    <w:link w:val="818"/>
    <w:unhideWhenUsed/>
    <w:qFormat/>
    <w:pPr>
      <w:pBdr/>
      <w:spacing w:after="120"/>
      <w:ind w:firstLine="420" w:left="420"/>
    </w:pPr>
    <w:rPr>
      <w:rFonts w:ascii="Calibri" w:hAnsi="Calibri" w:eastAsia="宋体"/>
      <w:sz w:val="21"/>
    </w:rPr>
  </w:style>
  <w:style w:type="table" w:styleId="746">
    <w:name w:val="Table Grid"/>
    <w:basedOn w:val="720"/>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47">
    <w:name w:val="Strong"/>
    <w:basedOn w:val="719"/>
    <w:qFormat/>
    <w:pPr>
      <w:pBdr/>
      <w:spacing/>
      <w:ind/>
    </w:pPr>
    <w:rPr>
      <w:b/>
      <w:bCs/>
    </w:rPr>
  </w:style>
  <w:style w:type="character" w:styleId="748">
    <w:name w:val="page number"/>
    <w:basedOn w:val="719"/>
    <w:qFormat/>
    <w:pPr>
      <w:pBdr/>
      <w:spacing/>
      <w:ind/>
    </w:pPr>
  </w:style>
  <w:style w:type="character" w:styleId="749">
    <w:name w:val="Emphasis"/>
    <w:basedOn w:val="719"/>
    <w:qFormat/>
    <w:pPr>
      <w:pBdr/>
      <w:spacing/>
      <w:ind/>
    </w:pPr>
    <w:rPr>
      <w:i/>
      <w:iCs/>
    </w:rPr>
  </w:style>
  <w:style w:type="character" w:styleId="750">
    <w:name w:val="Hyperlink"/>
    <w:basedOn w:val="719"/>
    <w:uiPriority w:val="99"/>
    <w:qFormat/>
    <w:pPr>
      <w:pBdr/>
      <w:spacing/>
      <w:ind/>
    </w:pPr>
    <w:rPr>
      <w:color w:val="0000ff"/>
      <w:u w:val="single"/>
    </w:rPr>
  </w:style>
  <w:style w:type="character" w:styleId="751" w:customStyle="1">
    <w:name w:val="标题 1 Char"/>
    <w:basedOn w:val="719"/>
    <w:link w:val="714"/>
    <w:qFormat/>
    <w:pPr>
      <w:pBdr/>
      <w:spacing/>
      <w:ind/>
    </w:pPr>
    <w:rPr>
      <w:rFonts w:eastAsia="宋体"/>
      <w:b/>
      <w:bCs/>
      <w:sz w:val="44"/>
      <w:szCs w:val="44"/>
      <w:lang w:val="en-US" w:eastAsia="zh-CN" w:bidi="ar-SA"/>
    </w:rPr>
  </w:style>
  <w:style w:type="character" w:styleId="752" w:customStyle="1">
    <w:name w:val="标题 2 Char"/>
    <w:basedOn w:val="719"/>
    <w:link w:val="715"/>
    <w:uiPriority w:val="9"/>
    <w:qFormat/>
    <w:pPr>
      <w:pBdr/>
      <w:spacing/>
      <w:ind/>
    </w:pPr>
    <w:rPr>
      <w:rFonts w:ascii="Arial" w:hAnsi="Arial" w:eastAsia="黑体"/>
      <w:b/>
      <w:bCs/>
      <w:sz w:val="32"/>
      <w:szCs w:val="32"/>
      <w:lang w:val="en-US" w:eastAsia="zh-CN" w:bidi="ar-SA"/>
    </w:rPr>
  </w:style>
  <w:style w:type="character" w:styleId="753" w:customStyle="1">
    <w:name w:val="标题 3 Char"/>
    <w:basedOn w:val="719"/>
    <w:link w:val="716"/>
    <w:qFormat/>
    <w:pPr>
      <w:pBdr/>
      <w:spacing/>
      <w:ind/>
    </w:pPr>
    <w:rPr>
      <w:rFonts w:eastAsia="宋体"/>
      <w:b/>
      <w:bCs/>
      <w:sz w:val="32"/>
      <w:szCs w:val="32"/>
      <w:lang w:val="en-US" w:eastAsia="zh-CN" w:bidi="ar-SA"/>
    </w:rPr>
  </w:style>
  <w:style w:type="paragraph" w:styleId="754" w:customStyle="1">
    <w:name w:val="_Style 5"/>
    <w:basedOn w:val="713"/>
    <w:qFormat/>
    <w:pPr>
      <w:pBdr/>
      <w:spacing/>
      <w:ind/>
    </w:pPr>
  </w:style>
  <w:style w:type="character" w:styleId="755" w:customStyle="1">
    <w:name w:val="ca-3"/>
    <w:basedOn w:val="719"/>
    <w:qFormat/>
    <w:pPr>
      <w:pBdr/>
      <w:spacing/>
      <w:ind/>
    </w:pPr>
  </w:style>
  <w:style w:type="character" w:styleId="756" w:customStyle="1">
    <w:name w:val="16"/>
    <w:basedOn w:val="719"/>
    <w:qFormat/>
    <w:pPr>
      <w:pBdr/>
      <w:spacing/>
      <w:ind/>
    </w:pPr>
  </w:style>
  <w:style w:type="character" w:styleId="757" w:customStyle="1">
    <w:name w:val="biaoti-61"/>
    <w:basedOn w:val="719"/>
    <w:qFormat/>
    <w:pPr>
      <w:pBdr/>
      <w:spacing/>
      <w:ind/>
    </w:pPr>
    <w:rPr>
      <w:b/>
      <w:bCs/>
      <w:color w:val="000066"/>
      <w:sz w:val="30"/>
      <w:szCs w:val="30"/>
    </w:rPr>
  </w:style>
  <w:style w:type="character" w:styleId="758" w:customStyle="1">
    <w:name w:val="scayt-misspell"/>
    <w:basedOn w:val="719"/>
    <w:qFormat/>
    <w:pPr>
      <w:pBdr/>
      <w:spacing/>
      <w:ind/>
    </w:pPr>
  </w:style>
  <w:style w:type="character" w:styleId="759" w:customStyle="1">
    <w:name w:val="ht1"/>
    <w:basedOn w:val="719"/>
    <w:qFormat/>
    <w:pPr>
      <w:pBdr/>
      <w:spacing/>
      <w:ind/>
    </w:pPr>
  </w:style>
  <w:style w:type="character" w:styleId="760" w:customStyle="1">
    <w:name w:val="我的正文 Char Char"/>
    <w:basedOn w:val="719"/>
    <w:link w:val="761"/>
    <w:qFormat/>
    <w:pPr>
      <w:pBdr/>
      <w:spacing/>
      <w:ind/>
    </w:pPr>
    <w:rPr>
      <w:rFonts w:ascii="楷体_GB2312" w:hAnsi="Arial" w:eastAsia="楷体_GB2312" w:cs="Arial"/>
      <w:sz w:val="28"/>
      <w:szCs w:val="30"/>
      <w:lang w:val="en-US" w:eastAsia="zh-CN" w:bidi="ar-SA"/>
    </w:rPr>
  </w:style>
  <w:style w:type="paragraph" w:styleId="761" w:customStyle="1">
    <w:name w:val="我的正文"/>
    <w:basedOn w:val="713"/>
    <w:link w:val="760"/>
    <w:qFormat/>
    <w:pPr>
      <w:pBdr/>
      <w:spacing w:line="360" w:lineRule="auto"/>
      <w:ind w:firstLine="200"/>
    </w:pPr>
    <w:rPr>
      <w:rFonts w:ascii="楷体_GB2312" w:hAnsi="Arial" w:eastAsia="楷体_GB2312" w:cs="Arial"/>
      <w:sz w:val="28"/>
      <w:szCs w:val="30"/>
    </w:rPr>
  </w:style>
  <w:style w:type="character" w:styleId="762" w:customStyle="1">
    <w:name w:val="页眉 Char"/>
    <w:basedOn w:val="719"/>
    <w:link w:val="735"/>
    <w:qFormat/>
    <w:pPr>
      <w:pBdr/>
      <w:spacing/>
      <w:ind/>
    </w:pPr>
    <w:rPr>
      <w:rFonts w:eastAsia="宋体"/>
      <w:sz w:val="18"/>
      <w:szCs w:val="24"/>
      <w:lang w:val="en-US" w:eastAsia="zh-CN" w:bidi="ar-SA"/>
    </w:rPr>
  </w:style>
  <w:style w:type="paragraph" w:styleId="763" w:customStyle="1">
    <w:name w:val="Char"/>
    <w:basedOn w:val="713"/>
    <w:qFormat/>
    <w:pPr>
      <w:widowControl w:val="true"/>
      <w:pBdr/>
      <w:spacing w:after="160" w:line="240" w:lineRule="exact"/>
      <w:ind/>
      <w:jc w:val="left"/>
    </w:pPr>
  </w:style>
  <w:style w:type="paragraph" w:styleId="764" w:customStyle="1">
    <w:name w:val="Char1"/>
    <w:basedOn w:val="713"/>
    <w:qFormat/>
    <w:pPr>
      <w:widowControl w:val="true"/>
      <w:pBdr/>
      <w:spacing w:after="160" w:line="240" w:lineRule="exact"/>
      <w:ind/>
      <w:jc w:val="left"/>
    </w:pPr>
  </w:style>
  <w:style w:type="character" w:styleId="765" w:customStyle="1">
    <w:name w:val="页脚 Char"/>
    <w:basedOn w:val="719"/>
    <w:link w:val="734"/>
    <w:uiPriority w:val="99"/>
    <w:qFormat/>
    <w:pPr>
      <w:pBdr/>
      <w:spacing/>
      <w:ind/>
    </w:pPr>
    <w:rPr>
      <w:rFonts w:eastAsia="宋体"/>
      <w:sz w:val="18"/>
      <w:szCs w:val="24"/>
      <w:lang w:val="en-US" w:eastAsia="zh-CN" w:bidi="ar-SA"/>
    </w:rPr>
  </w:style>
  <w:style w:type="paragraph" w:styleId="766" w:customStyle="1">
    <w:name w:val="普通(网站)1"/>
    <w:basedOn w:val="713"/>
    <w:qFormat/>
    <w:pPr>
      <w:widowControl w:val="true"/>
      <w:pBdr/>
      <w:spacing w:after="100" w:afterAutospacing="1" w:before="100" w:beforeAutospacing="1"/>
      <w:ind/>
      <w:jc w:val="left"/>
    </w:pPr>
    <w:rPr>
      <w:rFonts w:ascii="宋体" w:hAnsi="宋体" w:cs="宋体"/>
      <w:sz w:val="24"/>
    </w:rPr>
  </w:style>
  <w:style w:type="paragraph" w:styleId="767" w:customStyle="1">
    <w:name w:val="报告正文1"/>
    <w:basedOn w:val="713"/>
    <w:qFormat/>
    <w:pPr>
      <w:pBdr/>
      <w:spacing w:line="580" w:lineRule="exact"/>
      <w:ind w:firstLine="200"/>
    </w:pPr>
    <w:rPr>
      <w:rFonts w:eastAsia="方正仿宋_GBK" w:cs="宋体"/>
      <w:szCs w:val="20"/>
    </w:rPr>
  </w:style>
  <w:style w:type="paragraph" w:styleId="768" w:customStyle="1">
    <w:name w:val="Char Char Char1 Char Char Char Char Char Char Char Char Char Char Char Char Char Char Char Char Char Char Char"/>
    <w:basedOn w:val="713"/>
    <w:next w:val="713"/>
    <w:qFormat/>
    <w:pPr>
      <w:pBdr/>
      <w:spacing w:line="360" w:lineRule="auto"/>
      <w:ind w:firstLine="200"/>
    </w:pPr>
    <w:rPr>
      <w:rFonts w:ascii="宋体" w:hAnsi="宋体" w:cs="宋体"/>
      <w:sz w:val="24"/>
    </w:rPr>
  </w:style>
  <w:style w:type="paragraph" w:styleId="769" w:customStyle="1">
    <w:name w:val="Char Char Char1 Char"/>
    <w:basedOn w:val="713"/>
    <w:qFormat/>
    <w:pPr>
      <w:widowControl w:val="true"/>
      <w:pBdr/>
      <w:spacing w:after="160" w:line="240" w:lineRule="exact"/>
      <w:ind/>
      <w:jc w:val="left"/>
    </w:pPr>
  </w:style>
  <w:style w:type="paragraph" w:styleId="770" w:customStyle="1">
    <w:name w:val="标题5"/>
    <w:basedOn w:val="713"/>
    <w:next w:val="713"/>
    <w:qFormat/>
    <w:pPr>
      <w:keepNext w:val="true"/>
      <w:widowControl w:val="true"/>
      <w:pBdr/>
      <w:spacing w:after="100" w:afterAutospacing="1" w:before="100" w:beforeAutospacing="1" w:line="240" w:lineRule="exact"/>
      <w:ind w:firstLine="360"/>
      <w:jc w:val="left"/>
    </w:pPr>
  </w:style>
  <w:style w:type="paragraph" w:styleId="771" w:customStyle="1">
    <w:name w:val="p0"/>
    <w:basedOn w:val="713"/>
    <w:qFormat/>
    <w:pPr>
      <w:widowControl w:val="true"/>
      <w:pBdr/>
      <w:spacing w:line="365" w:lineRule="atLeast"/>
      <w:ind w:left="1"/>
    </w:pPr>
    <w:rPr>
      <w:sz w:val="20"/>
    </w:rPr>
  </w:style>
  <w:style w:type="paragraph" w:styleId="772" w:customStyle="1">
    <w:name w:val="p15"/>
    <w:basedOn w:val="713"/>
    <w:uiPriority w:val="3"/>
    <w:qFormat/>
    <w:pPr>
      <w:widowControl w:val="true"/>
      <w:pBdr/>
      <w:spacing/>
      <w:ind/>
    </w:pPr>
    <w:rPr>
      <w:szCs w:val="21"/>
    </w:rPr>
  </w:style>
  <w:style w:type="paragraph" w:styleId="773" w:customStyle="1">
    <w:name w:val="列出段落1"/>
    <w:basedOn w:val="713"/>
    <w:qFormat/>
    <w:pPr>
      <w:pBdr/>
      <w:spacing/>
      <w:ind w:firstLine="420"/>
    </w:pPr>
  </w:style>
  <w:style w:type="paragraph" w:styleId="774" w:customStyle="1">
    <w:name w:val="Char1 Char Char Char"/>
    <w:basedOn w:val="713"/>
    <w:qFormat/>
    <w:pPr>
      <w:pBdr/>
      <w:spacing w:line="360" w:lineRule="auto"/>
      <w:ind/>
    </w:pPr>
  </w:style>
  <w:style w:type="paragraph" w:styleId="775" w:customStyle="1">
    <w:name w:val="w1"/>
    <w:basedOn w:val="713"/>
    <w:qFormat/>
    <w:pPr>
      <w:pBdr/>
      <w:spacing w:line="360" w:lineRule="exact"/>
      <w:ind w:firstLine="551"/>
    </w:pPr>
    <w:rPr>
      <w:rFonts w:ascii="仿宋_GB2312" w:hAnsi="宋体" w:eastAsia="仿宋_GB2312" w:cs="宋体"/>
      <w:b/>
      <w:sz w:val="28"/>
      <w:szCs w:val="28"/>
    </w:rPr>
  </w:style>
  <w:style w:type="paragraph" w:styleId="776" w:customStyle="1">
    <w:name w:val="reader-word-layer reader-word-s1-14"/>
    <w:basedOn w:val="713"/>
    <w:qFormat/>
    <w:pPr>
      <w:widowControl w:val="true"/>
      <w:pBdr/>
      <w:spacing w:after="100" w:afterAutospacing="1" w:before="100" w:beforeAutospacing="1"/>
      <w:ind/>
      <w:jc w:val="left"/>
    </w:pPr>
    <w:rPr>
      <w:rFonts w:ascii="宋体" w:hAnsi="宋体" w:cs="宋体"/>
      <w:sz w:val="24"/>
    </w:rPr>
  </w:style>
  <w:style w:type="paragraph" w:styleId="777" w:customStyle="1">
    <w:name w:val="reader-word-layer reader-word-s1-9"/>
    <w:basedOn w:val="713"/>
    <w:qFormat/>
    <w:pPr>
      <w:widowControl w:val="true"/>
      <w:pBdr/>
      <w:spacing w:after="100" w:afterAutospacing="1" w:before="100" w:beforeAutospacing="1"/>
      <w:ind/>
      <w:jc w:val="left"/>
    </w:pPr>
    <w:rPr>
      <w:rFonts w:ascii="宋体" w:hAnsi="宋体" w:cs="宋体"/>
      <w:sz w:val="24"/>
    </w:rPr>
  </w:style>
  <w:style w:type="paragraph" w:styleId="778" w:customStyle="1">
    <w:name w:val="reader-word-layer reader-word-s1-12"/>
    <w:basedOn w:val="713"/>
    <w:qFormat/>
    <w:pPr>
      <w:widowControl w:val="true"/>
      <w:pBdr/>
      <w:spacing w:after="100" w:afterAutospacing="1" w:before="100" w:beforeAutospacing="1"/>
      <w:ind/>
      <w:jc w:val="left"/>
    </w:pPr>
    <w:rPr>
      <w:rFonts w:ascii="宋体" w:hAnsi="宋体" w:cs="宋体"/>
      <w:sz w:val="24"/>
    </w:rPr>
  </w:style>
  <w:style w:type="paragraph" w:styleId="779" w:customStyle="1">
    <w:name w:val="reader-word-layer reader-word-s2-7"/>
    <w:basedOn w:val="713"/>
    <w:qFormat/>
    <w:pPr>
      <w:widowControl w:val="true"/>
      <w:pBdr/>
      <w:spacing w:after="100" w:afterAutospacing="1" w:before="100" w:beforeAutospacing="1"/>
      <w:ind/>
      <w:jc w:val="left"/>
    </w:pPr>
    <w:rPr>
      <w:rFonts w:ascii="宋体" w:hAnsi="宋体" w:cs="宋体"/>
      <w:sz w:val="24"/>
    </w:rPr>
  </w:style>
  <w:style w:type="paragraph" w:styleId="780" w:customStyle="1">
    <w:name w:val="reader-word-layer reader-word-s2-1"/>
    <w:basedOn w:val="713"/>
    <w:qFormat/>
    <w:pPr>
      <w:widowControl w:val="true"/>
      <w:pBdr/>
      <w:spacing w:after="100" w:afterAutospacing="1" w:before="100" w:beforeAutospacing="1"/>
      <w:ind/>
      <w:jc w:val="left"/>
    </w:pPr>
    <w:rPr>
      <w:rFonts w:ascii="宋体" w:hAnsi="宋体" w:cs="宋体"/>
      <w:sz w:val="24"/>
    </w:rPr>
  </w:style>
  <w:style w:type="paragraph" w:styleId="781" w:customStyle="1">
    <w:name w:val="msonormalcxspmiddle"/>
    <w:basedOn w:val="713"/>
    <w:qFormat/>
    <w:pPr>
      <w:widowControl w:val="true"/>
      <w:pBdr/>
      <w:spacing w:after="100" w:afterAutospacing="1" w:before="100" w:beforeAutospacing="1"/>
      <w:ind/>
      <w:jc w:val="left"/>
    </w:pPr>
    <w:rPr>
      <w:rFonts w:ascii="宋体" w:hAnsi="宋体" w:cs="宋体"/>
      <w:sz w:val="24"/>
    </w:rPr>
  </w:style>
  <w:style w:type="paragraph" w:styleId="782" w:customStyle="1">
    <w:name w:val="默认段落字体 Para Char Char Char Char"/>
    <w:basedOn w:val="713"/>
    <w:qFormat/>
    <w:pPr>
      <w:pBdr/>
      <w:spacing/>
      <w:ind/>
    </w:pPr>
  </w:style>
  <w:style w:type="character" w:styleId="783" w:customStyle="1">
    <w:name w:val="批注文字 Char"/>
    <w:basedOn w:val="719"/>
    <w:link w:val="725"/>
    <w:qFormat/>
    <w:pPr>
      <w:pBdr/>
      <w:spacing/>
      <w:ind/>
    </w:pPr>
    <w:rPr>
      <w:sz w:val="21"/>
    </w:rPr>
  </w:style>
  <w:style w:type="character" w:styleId="784" w:customStyle="1">
    <w:name w:val="font121"/>
    <w:basedOn w:val="719"/>
    <w:qFormat/>
    <w:pPr>
      <w:pBdr/>
      <w:spacing/>
      <w:ind/>
    </w:pPr>
    <w:rPr>
      <w:sz w:val="18"/>
      <w:szCs w:val="18"/>
    </w:rPr>
  </w:style>
  <w:style w:type="paragraph" w:styleId="785" w:customStyle="1">
    <w:name w:val="p16"/>
    <w:basedOn w:val="713"/>
    <w:qFormat/>
    <w:pPr>
      <w:widowControl w:val="true"/>
      <w:pBdr/>
      <w:spacing/>
      <w:ind/>
    </w:pPr>
    <w:rPr>
      <w:rFonts w:ascii="宋体" w:hAnsi="宋体" w:cs="宋体"/>
      <w:szCs w:val="21"/>
    </w:rPr>
  </w:style>
  <w:style w:type="paragraph" w:styleId="786" w:customStyle="1">
    <w:name w:val="p17"/>
    <w:basedOn w:val="713"/>
    <w:qFormat/>
    <w:pPr>
      <w:widowControl w:val="true"/>
      <w:pBdr/>
      <w:spacing/>
      <w:ind/>
      <w:jc w:val="left"/>
    </w:pPr>
    <w:rPr>
      <w:rFonts w:ascii="宋体" w:hAnsi="宋体" w:cs="宋体"/>
      <w:sz w:val="24"/>
    </w:rPr>
  </w:style>
  <w:style w:type="character" w:styleId="787" w:customStyle="1">
    <w:name w:val="正文文本 3 Char"/>
    <w:basedOn w:val="719"/>
    <w:link w:val="726"/>
    <w:uiPriority w:val="99"/>
    <w:qFormat/>
    <w:pPr>
      <w:pBdr/>
      <w:spacing/>
      <w:ind/>
    </w:pPr>
    <w:rPr>
      <w:rFonts w:eastAsia="宋体"/>
      <w:sz w:val="16"/>
      <w:szCs w:val="16"/>
      <w:lang w:val="en-US" w:eastAsia="zh-CN" w:bidi="ar-SA"/>
    </w:rPr>
  </w:style>
  <w:style w:type="paragraph" w:styleId="788" w:customStyle="1">
    <w:name w:val="正文 New New New"/>
    <w:qFormat/>
    <w:pPr>
      <w:widowControl w:val="false"/>
      <w:pBdr/>
      <w:spacing/>
      <w:ind/>
      <w:jc w:val="both"/>
    </w:pPr>
    <w:rPr>
      <w:sz w:val="21"/>
      <w:szCs w:val="24"/>
    </w:rPr>
  </w:style>
  <w:style w:type="paragraph" w:styleId="789" w:customStyle="1">
    <w:name w:val="Char Char Char Char Char Char Char Char Char Char Char Char Char"/>
    <w:basedOn w:val="713"/>
    <w:qFormat/>
    <w:pPr>
      <w:pBdr/>
      <w:spacing w:line="360" w:lineRule="auto"/>
      <w:ind w:firstLine="200"/>
    </w:pPr>
  </w:style>
  <w:style w:type="paragraph" w:styleId="790" w:customStyle="1">
    <w:name w:val="style1"/>
    <w:basedOn w:val="713"/>
    <w:qFormat/>
    <w:pPr>
      <w:widowControl w:val="true"/>
      <w:pBdr/>
      <w:spacing w:after="100" w:afterAutospacing="1" w:before="100" w:beforeAutospacing="1"/>
      <w:ind/>
      <w:jc w:val="left"/>
    </w:pPr>
    <w:rPr>
      <w:rFonts w:ascii="宋体" w:hAnsi="宋体"/>
      <w:sz w:val="18"/>
    </w:rPr>
  </w:style>
  <w:style w:type="paragraph" w:styleId="791" w:customStyle="1">
    <w:name w:val="Char Char Char Char"/>
    <w:basedOn w:val="713"/>
    <w:qFormat/>
    <w:pPr>
      <w:pBdr/>
      <w:spacing/>
      <w:ind/>
    </w:pPr>
  </w:style>
  <w:style w:type="character" w:styleId="792" w:customStyle="1">
    <w:name w:val="15"/>
    <w:basedOn w:val="719"/>
    <w:qFormat/>
    <w:pPr>
      <w:pBdr/>
      <w:spacing/>
      <w:ind/>
    </w:pPr>
    <w:rPr>
      <w:rFonts w:hint="default" w:ascii="Times New Roman" w:hAnsi="Times New Roman" w:cs="Times New Roman"/>
      <w:b/>
      <w:bCs/>
      <w:sz w:val="20"/>
      <w:szCs w:val="20"/>
    </w:rPr>
  </w:style>
  <w:style w:type="character" w:styleId="793" w:customStyle="1">
    <w:name w:val="Character Style 2"/>
    <w:qFormat/>
    <w:pPr>
      <w:pBdr/>
      <w:spacing/>
      <w:ind/>
    </w:pPr>
    <w:rPr>
      <w:rFonts w:cs="Times New Roman"/>
    </w:rPr>
  </w:style>
  <w:style w:type="paragraph" w:styleId="794" w:customStyle="1">
    <w:name w:val="Style 1"/>
    <w:qFormat/>
    <w:pPr>
      <w:widowControl w:val="false"/>
      <w:pBdr/>
      <w:spacing/>
      <w:ind/>
    </w:pPr>
    <w:rPr>
      <w:sz w:val="24"/>
      <w:szCs w:val="24"/>
      <w:lang w:bidi="hi-IN"/>
    </w:rPr>
  </w:style>
  <w:style w:type="character" w:styleId="795" w:customStyle="1">
    <w:name w:val="apple-converted-space"/>
    <w:basedOn w:val="719"/>
    <w:qFormat/>
    <w:pPr>
      <w:pBdr/>
      <w:spacing/>
      <w:ind/>
    </w:pPr>
  </w:style>
  <w:style w:type="paragraph" w:styleId="796" w:customStyle="1">
    <w:name w:val="列出段落11"/>
    <w:basedOn w:val="713"/>
    <w:uiPriority w:val="34"/>
    <w:qFormat/>
    <w:pPr>
      <w:pBdr/>
      <w:spacing/>
      <w:ind w:firstLine="420"/>
    </w:pPr>
    <w:rPr>
      <w:rFonts w:ascii="Calibri" w:hAnsi="Calibri" w:cs="黑体"/>
      <w:szCs w:val="22"/>
    </w:rPr>
  </w:style>
  <w:style w:type="character" w:styleId="797" w:customStyle="1">
    <w:name w:val="Header Char"/>
    <w:basedOn w:val="719"/>
    <w:semiHidden/>
    <w:qFormat/>
    <w:pPr>
      <w:pBdr/>
      <w:spacing/>
      <w:ind/>
    </w:pPr>
    <w:rPr>
      <w:rFonts w:eastAsia="宋体"/>
      <w:sz w:val="18"/>
      <w:szCs w:val="18"/>
      <w:lang w:val="en-US" w:eastAsia="zh-CN" w:bidi="ar-SA"/>
    </w:rPr>
  </w:style>
  <w:style w:type="character" w:styleId="798" w:customStyle="1">
    <w:name w:val="Footer Char"/>
    <w:basedOn w:val="719"/>
    <w:semiHidden/>
    <w:qFormat/>
    <w:pPr>
      <w:pBdr/>
      <w:spacing/>
      <w:ind/>
    </w:pPr>
    <w:rPr>
      <w:rFonts w:eastAsia="宋体"/>
      <w:sz w:val="18"/>
      <w:szCs w:val="18"/>
      <w:lang w:val="en-US" w:eastAsia="zh-CN" w:bidi="ar-SA"/>
    </w:rPr>
  </w:style>
  <w:style w:type="paragraph" w:styleId="799" w:customStyle="1">
    <w:name w:val="p18"/>
    <w:basedOn w:val="713"/>
    <w:qFormat/>
    <w:pPr>
      <w:widowControl w:val="true"/>
      <w:pBdr/>
      <w:spacing/>
      <w:ind/>
    </w:pPr>
    <w:rPr>
      <w:szCs w:val="21"/>
    </w:rPr>
  </w:style>
  <w:style w:type="paragraph" w:styleId="800">
    <w:name w:val="List Paragraph"/>
    <w:basedOn w:val="713"/>
    <w:uiPriority w:val="34"/>
    <w:qFormat/>
    <w:pPr>
      <w:pBdr/>
      <w:spacing/>
      <w:ind w:firstLine="420"/>
    </w:pPr>
    <w:rPr>
      <w:rFonts w:ascii="Calibri" w:hAnsi="Calibri"/>
      <w:szCs w:val="22"/>
    </w:rPr>
  </w:style>
  <w:style w:type="character" w:styleId="801" w:customStyle="1">
    <w:name w:val="正文文本 2 Char"/>
    <w:basedOn w:val="719"/>
    <w:link w:val="741"/>
    <w:uiPriority w:val="99"/>
    <w:qFormat/>
    <w:pPr>
      <w:pBdr/>
      <w:spacing/>
      <w:ind/>
    </w:pPr>
    <w:rPr>
      <w:sz w:val="21"/>
      <w:szCs w:val="24"/>
    </w:rPr>
  </w:style>
  <w:style w:type="character" w:styleId="802" w:customStyle="1">
    <w:name w:val="副标题 Char"/>
    <w:basedOn w:val="719"/>
    <w:link w:val="737"/>
    <w:uiPriority w:val="99"/>
    <w:qFormat/>
    <w:pPr>
      <w:pBdr/>
      <w:spacing/>
      <w:ind/>
    </w:pPr>
    <w:rPr>
      <w:rFonts w:ascii="Cambria" w:hAnsi="Cambria"/>
      <w:b/>
      <w:bCs/>
      <w:sz w:val="32"/>
      <w:szCs w:val="32"/>
    </w:rPr>
  </w:style>
  <w:style w:type="character" w:styleId="803" w:customStyle="1">
    <w:name w:val="Char Char"/>
    <w:basedOn w:val="719"/>
    <w:qFormat/>
    <w:pPr>
      <w:pBdr/>
      <w:spacing/>
      <w:ind/>
    </w:pPr>
    <w:rPr>
      <w:rFonts w:ascii="Cambria" w:hAnsi="Cambria" w:cs="Times New Roman"/>
      <w:b/>
      <w:bCs/>
      <w:sz w:val="32"/>
      <w:szCs w:val="32"/>
    </w:rPr>
  </w:style>
  <w:style w:type="paragraph" w:styleId="804" w:customStyle="1">
    <w:name w:val="Char Char Char Char Char Char Char Char Char Char Char Char Char Char Char Char Char Char Char Char Char"/>
    <w:basedOn w:val="713"/>
    <w:qFormat/>
    <w:pPr>
      <w:widowControl w:val="true"/>
      <w:pBdr/>
      <w:spacing w:after="160" w:line="240" w:lineRule="exact"/>
      <w:ind/>
      <w:jc w:val="left"/>
    </w:pPr>
  </w:style>
  <w:style w:type="character" w:styleId="805" w:customStyle="1">
    <w:name w:val="副标题 Char1"/>
    <w:basedOn w:val="719"/>
    <w:link w:val="737"/>
    <w:uiPriority w:val="99"/>
    <w:qFormat/>
    <w:pPr>
      <w:pBdr/>
      <w:spacing/>
      <w:ind/>
    </w:pPr>
    <w:rPr>
      <w:rFonts w:ascii="Cambria" w:hAnsi="Cambria" w:cs="Times New Roman"/>
      <w:b/>
      <w:bCs/>
      <w:sz w:val="32"/>
      <w:szCs w:val="32"/>
    </w:rPr>
  </w:style>
  <w:style w:type="paragraph" w:styleId="806">
    <w:name w:val="No Spacing"/>
    <w:link w:val="807"/>
    <w:uiPriority w:val="99"/>
    <w:qFormat/>
    <w:pPr>
      <w:widowControl w:val="false"/>
      <w:pBdr/>
      <w:spacing/>
      <w:ind/>
      <w:jc w:val="both"/>
    </w:pPr>
    <w:rPr>
      <w:sz w:val="21"/>
      <w:szCs w:val="24"/>
    </w:rPr>
  </w:style>
  <w:style w:type="character" w:styleId="807" w:customStyle="1">
    <w:name w:val="无间隔 Char"/>
    <w:basedOn w:val="719"/>
    <w:link w:val="806"/>
    <w:uiPriority w:val="1"/>
    <w:qFormat/>
    <w:pPr>
      <w:pBdr/>
      <w:spacing/>
      <w:ind/>
    </w:pPr>
    <w:rPr>
      <w:sz w:val="21"/>
      <w:szCs w:val="24"/>
      <w:lang w:val="en-US" w:eastAsia="zh-CN" w:bidi="ar-SA"/>
    </w:rPr>
  </w:style>
  <w:style w:type="paragraph" w:styleId="808" w:customStyle="1">
    <w:name w:val="正文 New New"/>
    <w:qFormat/>
    <w:pPr>
      <w:widowControl w:val="false"/>
      <w:pBdr/>
      <w:spacing/>
      <w:ind/>
      <w:jc w:val="both"/>
    </w:pPr>
    <w:rPr>
      <w:sz w:val="21"/>
    </w:rPr>
  </w:style>
  <w:style w:type="character" w:styleId="809" w:customStyle="1">
    <w:name w:val="文档结构图 Char"/>
    <w:basedOn w:val="719"/>
    <w:link w:val="723"/>
    <w:uiPriority w:val="99"/>
    <w:qFormat/>
    <w:pPr>
      <w:pBdr/>
      <w:spacing/>
      <w:ind/>
    </w:pPr>
    <w:rPr>
      <w:rFonts w:ascii="宋体"/>
      <w:sz w:val="18"/>
      <w:szCs w:val="18"/>
    </w:rPr>
  </w:style>
  <w:style w:type="paragraph" w:styleId="810" w:customStyle="1">
    <w:name w:val="样式 标题 1 + 两端对齐 首行缩进:  2 字符"/>
    <w:basedOn w:val="714"/>
    <w:qFormat/>
    <w:pPr>
      <w:pBdr/>
      <w:spacing w:line="240" w:lineRule="auto"/>
      <w:ind/>
    </w:pPr>
    <w:rPr>
      <w:rFonts w:eastAsia="方正大标宋简体" w:cs="宋体"/>
      <w:szCs w:val="20"/>
    </w:rPr>
  </w:style>
  <w:style w:type="paragraph" w:styleId="811" w:customStyle="1">
    <w:name w:val="样式 标题 1 + 首行缩进:  2 字符"/>
    <w:basedOn w:val="714"/>
    <w:qFormat/>
    <w:pPr>
      <w:pBdr/>
      <w:spacing w:line="240" w:lineRule="auto"/>
      <w:ind/>
      <w:jc w:val="center"/>
    </w:pPr>
    <w:rPr>
      <w:rFonts w:eastAsia="方正大标宋简体" w:cs="宋体"/>
      <w:szCs w:val="20"/>
    </w:rPr>
  </w:style>
  <w:style w:type="character" w:styleId="812" w:customStyle="1">
    <w:name w:val="脚注文本 Char"/>
    <w:basedOn w:val="719"/>
    <w:link w:val="738"/>
    <w:uiPriority w:val="99"/>
    <w:qFormat/>
    <w:pPr>
      <w:pBdr/>
      <w:spacing/>
      <w:ind/>
    </w:pPr>
    <w:rPr>
      <w:rFonts w:ascii="等线" w:hAnsi="等线" w:eastAsia="等线" w:cs="黑体"/>
      <w:sz w:val="18"/>
      <w:szCs w:val="18"/>
    </w:rPr>
  </w:style>
  <w:style w:type="character" w:styleId="813" w:customStyle="1">
    <w:name w:val="NormalCharacter"/>
    <w:qFormat/>
    <w:pPr>
      <w:pBdr/>
      <w:spacing/>
      <w:ind/>
    </w:pPr>
  </w:style>
  <w:style w:type="paragraph" w:styleId="814" w:customStyle="1">
    <w:name w:val="正文首行缩进 21"/>
    <w:basedOn w:val="713"/>
    <w:next w:val="743"/>
    <w:qFormat/>
    <w:pPr>
      <w:widowControl w:val="true"/>
      <w:pBdr/>
      <w:spacing/>
      <w:ind w:firstLine="200" w:left="200"/>
      <w:jc w:val="left"/>
    </w:pPr>
    <w:rPr>
      <w:rFonts w:ascii="Calibri" w:hAnsi="Calibri" w:eastAsia="仿宋_GB2312" w:cs="Calibri"/>
      <w:sz w:val="24"/>
    </w:rPr>
  </w:style>
  <w:style w:type="paragraph" w:styleId="815" w:customStyle="1">
    <w:name w:val="普通(网站)11"/>
    <w:basedOn w:val="713"/>
    <w:qFormat/>
    <w:pPr>
      <w:widowControl w:val="true"/>
      <w:pBdr/>
      <w:spacing w:after="100" w:afterAutospacing="1" w:before="100" w:beforeAutospacing="1"/>
      <w:ind/>
      <w:jc w:val="left"/>
    </w:pPr>
    <w:rPr>
      <w:rFonts w:ascii="宋体" w:hAnsi="宋体" w:cs="宋体"/>
      <w:sz w:val="24"/>
    </w:rPr>
  </w:style>
  <w:style w:type="character" w:styleId="816" w:customStyle="1">
    <w:name w:val="标题 Char"/>
    <w:basedOn w:val="719"/>
    <w:link w:val="744"/>
    <w:qFormat/>
    <w:pPr>
      <w:pBdr/>
      <w:spacing/>
      <w:ind/>
    </w:pPr>
    <w:rPr>
      <w:rFonts w:ascii="Arial" w:hAnsi="Arial"/>
      <w:b/>
      <w:sz w:val="32"/>
      <w:szCs w:val="24"/>
    </w:rPr>
  </w:style>
  <w:style w:type="character" w:styleId="817" w:customStyle="1">
    <w:name w:val="正文文本缩进 Char"/>
    <w:basedOn w:val="719"/>
    <w:link w:val="728"/>
    <w:uiPriority w:val="99"/>
    <w:qFormat/>
    <w:pPr>
      <w:pBdr/>
      <w:spacing/>
      <w:ind/>
    </w:pPr>
    <w:rPr>
      <w:rFonts w:eastAsia="仿宋_GB2312"/>
      <w:sz w:val="32"/>
      <w:szCs w:val="24"/>
    </w:rPr>
  </w:style>
  <w:style w:type="character" w:styleId="818" w:customStyle="1">
    <w:name w:val="正文首行缩进 2 Char"/>
    <w:basedOn w:val="817"/>
    <w:link w:val="745"/>
    <w:qFormat/>
    <w:pPr>
      <w:pBdr/>
      <w:spacing/>
      <w:ind/>
    </w:pPr>
    <w:rPr>
      <w:rFonts w:ascii="Calibri" w:hAnsi="Calibri"/>
      <w:sz w:val="21"/>
    </w:rPr>
  </w:style>
  <w:style w:type="character" w:styleId="819" w:customStyle="1">
    <w:name w:val="HTML 预设格式 Char"/>
    <w:basedOn w:val="719"/>
    <w:link w:val="742"/>
    <w:uiPriority w:val="4"/>
    <w:qFormat/>
    <w:pPr>
      <w:pBdr/>
      <w:spacing/>
      <w:ind/>
    </w:pPr>
    <w:rPr>
      <w:rFonts w:ascii="宋体" w:hAnsi="宋体" w:cs="宋体"/>
      <w:sz w:val="24"/>
      <w:szCs w:val="24"/>
    </w:rPr>
  </w:style>
  <w:style w:type="paragraph" w:styleId="820" w:customStyle="1">
    <w:name w:val="List Paragraph1"/>
    <w:basedOn w:val="713"/>
    <w:qFormat/>
    <w:pPr>
      <w:widowControl w:val="true"/>
      <w:pBdr/>
      <w:spacing/>
      <w:ind w:firstLine="420"/>
    </w:pPr>
    <w:rPr>
      <w:rFonts w:ascii="Calibri" w:hAnsi="Calibri" w:cs="Calibri"/>
      <w:szCs w:val="21"/>
    </w:rPr>
  </w:style>
  <w:style w:type="paragraph" w:styleId="821" w:customStyle="1">
    <w:name w:val="列出段落2"/>
    <w:basedOn w:val="713"/>
    <w:uiPriority w:val="99"/>
    <w:unhideWhenUsed/>
    <w:qFormat/>
    <w:pPr>
      <w:widowControl w:val="true"/>
      <w:pBdr/>
      <w:spacing w:after="200"/>
      <w:ind w:firstLine="420"/>
      <w:jc w:val="left"/>
    </w:pPr>
    <w:rPr>
      <w:rFonts w:ascii="Tahoma" w:hAnsi="Tahoma" w:eastAsia="微软雅黑"/>
      <w:sz w:val="22"/>
      <w:szCs w:val="22"/>
    </w:rPr>
  </w:style>
  <w:style w:type="character" w:styleId="822" w:customStyle="1">
    <w:name w:val="纯文本 Char"/>
    <w:basedOn w:val="719"/>
    <w:link w:val="730"/>
    <w:uiPriority w:val="99"/>
    <w:qFormat/>
    <w:pPr>
      <w:pBdr/>
      <w:spacing/>
      <w:ind/>
    </w:pPr>
    <w:rPr>
      <w:rFonts w:ascii="宋体" w:hAnsi="Courier New"/>
      <w:sz w:val="21"/>
      <w:szCs w:val="24"/>
    </w:rPr>
  </w:style>
  <w:style w:type="character" w:styleId="823" w:customStyle="1">
    <w:name w:val="font51"/>
    <w:basedOn w:val="719"/>
    <w:qFormat/>
    <w:pPr>
      <w:pBdr/>
      <w:spacing/>
      <w:ind/>
    </w:pPr>
    <w:rPr>
      <w:rFonts w:hint="eastAsia" w:ascii="仿宋" w:hAnsi="仿宋" w:eastAsia="仿宋" w:cs="仿宋"/>
      <w:color w:val="000000"/>
      <w:sz w:val="32"/>
      <w:szCs w:val="32"/>
      <w:u w:val="none"/>
    </w:rPr>
  </w:style>
  <w:style w:type="character" w:styleId="824" w:customStyle="1">
    <w:name w:val="font41"/>
    <w:basedOn w:val="719"/>
    <w:qFormat/>
    <w:pPr>
      <w:pBdr/>
      <w:spacing/>
      <w:ind/>
    </w:pPr>
    <w:rPr>
      <w:rFonts w:hint="eastAsia" w:ascii="仿宋" w:hAnsi="仿宋" w:eastAsia="仿宋" w:cs="仿宋"/>
      <w:color w:val="0c0c0c"/>
      <w:sz w:val="32"/>
      <w:szCs w:val="32"/>
      <w:u w:val="none"/>
    </w:rPr>
  </w:style>
  <w:style w:type="character" w:styleId="825" w:customStyle="1">
    <w:name w:val="标题 4 Char"/>
    <w:basedOn w:val="719"/>
    <w:link w:val="717"/>
    <w:qFormat/>
    <w:pPr>
      <w:pBdr/>
      <w:spacing/>
      <w:ind/>
    </w:pPr>
    <w:rPr>
      <w:rFonts w:ascii="Cambria" w:hAnsi="Cambria"/>
      <w:b/>
      <w:bCs/>
      <w:sz w:val="28"/>
      <w:szCs w:val="28"/>
    </w:rPr>
  </w:style>
  <w:style w:type="character" w:styleId="826" w:customStyle="1">
    <w:name w:val="font31"/>
    <w:qFormat/>
    <w:pPr>
      <w:pBdr/>
      <w:spacing/>
      <w:ind/>
    </w:pPr>
    <w:rPr>
      <w:rFonts w:hint="eastAsia" w:ascii="黑体" w:hAnsi="宋体" w:eastAsia="黑体" w:cs="黑体"/>
      <w:b/>
      <w:color w:val="000000"/>
      <w:sz w:val="24"/>
      <w:szCs w:val="24"/>
      <w:u w:val="none"/>
    </w:rPr>
  </w:style>
  <w:style w:type="paragraph" w:styleId="827" w:customStyle="1">
    <w:name w:val="Body text (2)"/>
    <w:basedOn w:val="713"/>
    <w:qFormat/>
    <w:pPr>
      <w:pBdr/>
      <w:shd w:val="clear" w:color="auto" w:fill="ffffff"/>
      <w:spacing w:line="533" w:lineRule="exact"/>
      <w:ind/>
      <w:jc w:val="both"/>
    </w:pPr>
    <w:rPr>
      <w:rFonts w:ascii="PMingLiU" w:hAnsi="PMingLiU" w:eastAsia="PMingLiU" w:cs="PMingLiU"/>
      <w:sz w:val="28"/>
      <w:szCs w:val="28"/>
    </w:rPr>
  </w:style>
  <w:style w:type="paragraph" w:styleId="828" w:customStyle="1">
    <w:name w:val="引文目录1"/>
    <w:qFormat/>
    <w:pPr>
      <w:pBdr/>
      <w:spacing/>
      <w:ind w:left="420"/>
    </w:pPr>
    <w:rPr>
      <w:sz w:val="32"/>
      <w:szCs w:val="32"/>
    </w:rPr>
  </w:style>
  <w:style w:type="paragraph" w:styleId="829" w:customStyle="1">
    <w:name w:val="普通(网站)2"/>
    <w:basedOn w:val="713"/>
    <w:qFormat/>
    <w:pPr>
      <w:widowControl w:val="true"/>
      <w:pBdr/>
      <w:spacing w:after="100" w:afterAutospacing="1" w:before="100" w:beforeAutospacing="1"/>
      <w:ind/>
      <w:jc w:val="left"/>
    </w:pPr>
    <w:rPr>
      <w:rFonts w:ascii="宋体" w:hAnsi="宋体" w:cs="宋体"/>
      <w:sz w:val="24"/>
    </w:rPr>
  </w:style>
  <w:style w:type="character" w:styleId="830" w:customStyle="1">
    <w:name w:val="标题 5 Char"/>
    <w:basedOn w:val="719"/>
    <w:link w:val="718"/>
    <w:semiHidden/>
    <w:qFormat/>
    <w:pPr>
      <w:pBdr/>
      <w:spacing/>
      <w:ind/>
    </w:pPr>
    <w:rPr>
      <w:b/>
      <w:bCs/>
      <w:sz w:val="28"/>
      <w:szCs w:val="28"/>
    </w:rPr>
  </w:style>
  <w:style w:type="paragraph" w:styleId="831" w:customStyle="1">
    <w:name w:val="TableOfAuthoring"/>
    <w:basedOn w:val="713"/>
    <w:next w:val="713"/>
    <w:uiPriority w:val="99"/>
    <w:qFormat/>
    <w:pPr>
      <w:pBdr/>
      <w:spacing/>
      <w:ind w:left="420"/>
    </w:pPr>
  </w:style>
  <w:style w:type="paragraph" w:styleId="832" w:customStyle="1">
    <w:name w:val="Heading 5"/>
    <w:basedOn w:val="713"/>
    <w:next w:val="713"/>
    <w:qFormat/>
    <w:pPr>
      <w:pBdr/>
      <w:spacing w:line="360" w:lineRule="auto"/>
      <w:ind w:firstLine="200"/>
    </w:pPr>
    <w:rPr>
      <w:rFonts w:ascii="仿宋_GB2312" w:hAnsi="Calibri" w:eastAsia="仿宋_GB2312"/>
      <w:sz w:val="32"/>
      <w:szCs w:val="28"/>
    </w:rPr>
  </w:style>
  <w:style w:type="paragraph" w:styleId="833" w:customStyle="1">
    <w:name w:val="Body Text First Indent 21"/>
    <w:basedOn w:val="713"/>
    <w:qFormat/>
    <w:pPr>
      <w:pBdr/>
      <w:spacing w:after="120"/>
      <w:ind w:firstLine="420" w:left="420"/>
    </w:pPr>
  </w:style>
  <w:style w:type="paragraph" w:styleId="834"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35" w:customStyle="1">
    <w:name w:val="BodyText"/>
    <w:basedOn w:val="713"/>
    <w:qFormat/>
    <w:pPr>
      <w:pBdr/>
      <w:spacing w:after="120"/>
      <w:ind/>
    </w:pPr>
    <w:rPr>
      <w:szCs w:val="20"/>
    </w:rPr>
  </w:style>
  <w:style w:type="paragraph" w:styleId="836" w:customStyle="1">
    <w:name w:val="二级标题 Char Char Char"/>
    <w:basedOn w:val="713"/>
    <w:next w:val="713"/>
    <w:qFormat/>
    <w:pPr>
      <w:pBdr/>
      <w:spacing/>
      <w:ind w:firstLine="200"/>
    </w:pPr>
    <w:rPr>
      <w:rFonts w:eastAsia="Times New Roman"/>
      <w:sz w:val="20"/>
    </w:rPr>
  </w:style>
  <w:style w:type="paragraph" w:styleId="837" w:customStyle="1">
    <w:name w:val="文本"/>
    <w:basedOn w:val="713"/>
    <w:next w:val="713"/>
    <w:qFormat/>
    <w:pPr>
      <w:pBdr/>
      <w:spacing w:line="360" w:lineRule="auto"/>
      <w:ind/>
    </w:pPr>
    <w:rPr>
      <w:rFonts w:ascii="宋体"/>
      <w:spacing w:val="4"/>
      <w:sz w:val="24"/>
    </w:rPr>
  </w:style>
  <w:style w:type="paragraph" w:styleId="838" w:customStyle="1">
    <w:name w:val="TOAHeading"/>
    <w:basedOn w:val="713"/>
    <w:next w:val="713"/>
    <w:qFormat/>
    <w:pPr>
      <w:pBdr/>
      <w:spacing w:after="100" w:afterAutospacing="1" w:before="120"/>
      <w:ind/>
    </w:pPr>
    <w:rPr>
      <w:rFonts w:ascii="Arial" w:hAnsi="Arial" w:cs="Arial"/>
      <w:sz w:val="24"/>
    </w:rPr>
  </w:style>
  <w:style w:type="paragraph" w:styleId="839" w:customStyle="1">
    <w:name w:val="正文文本首行缩进 21"/>
    <w:basedOn w:val="713"/>
    <w:qFormat/>
    <w:pPr>
      <w:pBdr/>
      <w:spacing w:after="100" w:afterAutospacing="1" w:before="100" w:beforeAutospacing="1"/>
      <w:ind w:firstLine="420" w:left="200"/>
    </w:pPr>
    <w:rPr>
      <w:rFonts w:ascii="Calibri" w:hAnsi="Calibri"/>
      <w:szCs w:val="21"/>
    </w:rPr>
  </w:style>
  <w:style w:type="paragraph" w:styleId="840" w:customStyle="1">
    <w:name w:val="普通段落"/>
    <w:qFormat/>
    <w:pPr>
      <w:widowControl w:val="false"/>
      <w:pBdr/>
      <w:spacing w:line="560" w:lineRule="exact"/>
      <w:ind w:firstLine="420"/>
      <w:jc w:val="both"/>
    </w:pPr>
    <w:rPr>
      <w:rFonts w:ascii="宋体" w:hAnsi="宋体" w:eastAsia="仿宋_GB2312"/>
      <w:sz w:val="32"/>
    </w:rPr>
  </w:style>
  <w:style w:type="paragraph" w:styleId="841">
    <w:name w:val="Body Text First Indent"/>
    <w:basedOn w:val="727"/>
    <w:link w:val="843"/>
    <w:pPr>
      <w:pBdr/>
      <w:spacing/>
      <w:ind w:firstLine="420"/>
    </w:pPr>
  </w:style>
  <w:style w:type="character" w:styleId="842" w:customStyle="1">
    <w:name w:val="正文文本 Char"/>
    <w:basedOn w:val="719"/>
    <w:link w:val="727"/>
    <w:uiPriority w:val="99"/>
    <w:qFormat/>
    <w:pPr>
      <w:pBdr/>
      <w:spacing/>
      <w:ind/>
    </w:pPr>
    <w:rPr>
      <w:sz w:val="21"/>
      <w:szCs w:val="24"/>
    </w:rPr>
  </w:style>
  <w:style w:type="character" w:styleId="843" w:customStyle="1">
    <w:name w:val="正文首行缩进 Char"/>
    <w:basedOn w:val="842"/>
    <w:link w:val="841"/>
    <w:pPr>
      <w:pBdr/>
      <w:spacing/>
      <w:ind/>
    </w:pPr>
  </w:style>
  <w:style w:type="paragraph" w:styleId="844">
    <w:name w:val="Normal Indent"/>
    <w:basedOn w:val="713"/>
    <w:uiPriority w:val="99"/>
    <w:qFormat/>
    <w:pPr>
      <w:pBdr/>
      <w:spacing/>
      <w:ind w:firstLine="420"/>
    </w:pPr>
    <w:rPr>
      <w:rFonts w:eastAsia="仿宋"/>
      <w:sz w:val="32"/>
      <w:szCs w:val="32"/>
    </w:rPr>
  </w:style>
  <w:style w:type="character" w:styleId="845" w:customStyle="1">
    <w:name w:val="日期 Char"/>
    <w:basedOn w:val="719"/>
    <w:link w:val="731"/>
    <w:qFormat/>
    <w:pPr>
      <w:pBdr/>
      <w:spacing/>
      <w:ind/>
    </w:pPr>
    <w:rPr>
      <w:sz w:val="21"/>
      <w:szCs w:val="24"/>
    </w:rPr>
  </w:style>
  <w:style w:type="character" w:styleId="846" w:customStyle="1">
    <w:name w:val="正文文本缩进 2 Char"/>
    <w:basedOn w:val="719"/>
    <w:link w:val="732"/>
    <w:uiPriority w:val="99"/>
    <w:qFormat/>
    <w:pPr>
      <w:pBdr/>
      <w:spacing/>
      <w:ind/>
    </w:pPr>
    <w:rPr>
      <w:sz w:val="21"/>
      <w:szCs w:val="24"/>
    </w:rPr>
  </w:style>
  <w:style w:type="character" w:styleId="847" w:customStyle="1">
    <w:name w:val="批注框文本 Char"/>
    <w:basedOn w:val="719"/>
    <w:link w:val="733"/>
    <w:qFormat/>
    <w:pPr>
      <w:pBdr/>
      <w:spacing/>
      <w:ind/>
    </w:pPr>
    <w:rPr>
      <w:sz w:val="18"/>
      <w:szCs w:val="18"/>
    </w:rPr>
  </w:style>
  <w:style w:type="character" w:styleId="848" w:customStyle="1">
    <w:name w:val="正文文本缩进 3 Char"/>
    <w:basedOn w:val="719"/>
    <w:link w:val="739"/>
    <w:uiPriority w:val="99"/>
    <w:qFormat/>
    <w:pPr>
      <w:pBdr/>
      <w:spacing/>
      <w:ind/>
    </w:pPr>
    <w:rPr>
      <w:sz w:val="16"/>
      <w:szCs w:val="16"/>
    </w:rPr>
  </w:style>
  <w:style w:type="paragraph" w:styleId="849" w:customStyle="1">
    <w:name w:val="样式"/>
    <w:basedOn w:val="713"/>
    <w:qFormat/>
    <w:pPr>
      <w:widowControl w:val="true"/>
      <w:pBdr/>
      <w:spacing w:after="160" w:line="240" w:lineRule="exact"/>
      <w:ind/>
      <w:jc w:val="left"/>
    </w:pPr>
    <w:rPr>
      <w:rFonts w:ascii="Verdana" w:hAnsi="Verdana" w:eastAsia="仿宋_GB2312" w:cs="Verdana"/>
      <w:sz w:val="24"/>
      <w:lang w:eastAsia="en-US"/>
    </w:rPr>
  </w:style>
  <w:style w:type="character" w:styleId="850" w:customStyle="1">
    <w:name w:val="正文文本缩进 3 Char1"/>
    <w:basedOn w:val="719"/>
    <w:uiPriority w:val="99"/>
    <w:qFormat/>
    <w:pPr>
      <w:pBdr/>
      <w:spacing/>
      <w:ind/>
    </w:pPr>
    <w:rPr>
      <w:rFonts w:ascii="Calibri" w:hAnsi="Calibri" w:cs="宋体"/>
      <w:sz w:val="27"/>
      <w:szCs w:val="24"/>
    </w:rPr>
  </w:style>
  <w:style w:type="character" w:styleId="851" w:customStyle="1">
    <w:name w:val="正文文本 3 Char1"/>
    <w:basedOn w:val="719"/>
    <w:uiPriority w:val="99"/>
    <w:qFormat/>
    <w:pPr>
      <w:pBdr/>
      <w:spacing/>
      <w:ind/>
    </w:pPr>
    <w:rPr>
      <w:rFonts w:ascii="Calibri" w:hAnsi="Calibri" w:cs="宋体"/>
      <w:b/>
      <w:bCs/>
      <w:color w:val="ff6600"/>
      <w:sz w:val="24"/>
      <w:szCs w:val="32"/>
      <w:lang w:val="zh-CN"/>
    </w:rPr>
  </w:style>
  <w:style w:type="character" w:styleId="852" w:customStyle="1">
    <w:name w:val="正文文本 2 Char1"/>
    <w:basedOn w:val="719"/>
    <w:uiPriority w:val="99"/>
    <w:qFormat/>
    <w:pPr>
      <w:pBdr/>
      <w:spacing/>
      <w:ind/>
    </w:pPr>
    <w:rPr>
      <w:rFonts w:ascii="Calibri" w:hAnsi="Calibri" w:cs="宋体"/>
      <w:sz w:val="21"/>
      <w:szCs w:val="24"/>
    </w:rPr>
  </w:style>
  <w:style w:type="character" w:styleId="853" w:customStyle="1">
    <w:name w:val="正文文本缩进 2 Char1"/>
    <w:basedOn w:val="719"/>
    <w:uiPriority w:val="99"/>
    <w:qFormat/>
    <w:pPr>
      <w:pBdr/>
      <w:spacing/>
      <w:ind/>
    </w:pPr>
    <w:rPr>
      <w:rFonts w:ascii="Calibri" w:hAnsi="Calibri" w:cs="宋体"/>
      <w:sz w:val="27"/>
      <w:szCs w:val="24"/>
    </w:rPr>
  </w:style>
  <w:style w:type="character" w:styleId="854" w:customStyle="1">
    <w:name w:val="正文文本 Char1"/>
    <w:basedOn w:val="719"/>
    <w:uiPriority w:val="99"/>
    <w:qFormat/>
    <w:pPr>
      <w:pBdr/>
      <w:spacing/>
      <w:ind/>
    </w:pPr>
    <w:rPr>
      <w:rFonts w:ascii="宋体" w:hAnsi="宋体" w:cs="宋体"/>
      <w:sz w:val="28"/>
      <w:szCs w:val="24"/>
    </w:rPr>
  </w:style>
  <w:style w:type="character" w:styleId="855" w:customStyle="1">
    <w:name w:val="正文文本缩进 Char1"/>
    <w:basedOn w:val="719"/>
    <w:uiPriority w:val="99"/>
    <w:qFormat/>
    <w:pPr>
      <w:pBdr/>
      <w:spacing/>
      <w:ind/>
    </w:pPr>
    <w:rPr>
      <w:rFonts w:ascii="Calibri" w:hAnsi="Calibri" w:cs="宋体"/>
      <w:sz w:val="21"/>
      <w:szCs w:val="24"/>
    </w:rPr>
  </w:style>
  <w:style w:type="character" w:styleId="856" w:customStyle="1">
    <w:name w:val="文档结构图 Char1"/>
    <w:basedOn w:val="719"/>
    <w:uiPriority w:val="99"/>
    <w:qFormat/>
    <w:pPr>
      <w:pBdr/>
      <w:spacing/>
      <w:ind/>
    </w:pPr>
    <w:rPr>
      <w:rFonts w:ascii="Calibri" w:hAnsi="Calibri" w:cs="宋体"/>
      <w:sz w:val="21"/>
      <w:szCs w:val="24"/>
      <w:shd w:val="clear" w:color="auto" w:fill="000080"/>
    </w:rPr>
  </w:style>
  <w:style w:type="character" w:styleId="857" w:customStyle="1">
    <w:name w:val="font71"/>
    <w:basedOn w:val="719"/>
    <w:qFormat/>
    <w:pPr>
      <w:pBdr/>
      <w:spacing/>
      <w:ind/>
    </w:pPr>
    <w:rPr>
      <w:rFonts w:hint="eastAsia" w:ascii="仿宋" w:hAnsi="仿宋" w:eastAsia="仿宋"/>
      <w:color w:val="000000"/>
      <w:sz w:val="20"/>
      <w:szCs w:val="20"/>
      <w:u w:val="none"/>
    </w:rPr>
  </w:style>
  <w:style w:type="character" w:styleId="858" w:customStyle="1">
    <w:name w:val="HTML 预设格式 Char1"/>
    <w:basedOn w:val="719"/>
    <w:uiPriority w:val="4"/>
    <w:qFormat/>
    <w:pPr>
      <w:pBdr/>
      <w:spacing/>
      <w:ind/>
    </w:pPr>
    <w:rPr>
      <w:rFonts w:ascii="Arial" w:hAnsi="Arial" w:cs="宋体"/>
      <w:sz w:val="24"/>
      <w:szCs w:val="22"/>
    </w:rPr>
  </w:style>
  <w:style w:type="character" w:styleId="859" w:customStyle="1">
    <w:name w:val="font61"/>
    <w:basedOn w:val="719"/>
    <w:qFormat/>
    <w:pPr>
      <w:pBdr/>
      <w:spacing/>
      <w:ind/>
    </w:pPr>
    <w:rPr>
      <w:rFonts w:hint="eastAsia" w:ascii="仿宋_GB2312" w:eastAsia="仿宋_GB2312"/>
      <w:color w:val="000000"/>
      <w:sz w:val="18"/>
      <w:szCs w:val="18"/>
      <w:u w:val="none"/>
    </w:rPr>
  </w:style>
  <w:style w:type="character" w:styleId="860" w:customStyle="1">
    <w:name w:val="font21"/>
    <w:basedOn w:val="719"/>
    <w:qFormat/>
    <w:pPr>
      <w:pBdr/>
      <w:spacing/>
      <w:ind/>
    </w:pPr>
    <w:rPr>
      <w:rFonts w:hint="default" w:ascii="Times New Roman" w:hAnsi="Times New Roman" w:cs="Times New Roman"/>
      <w:color w:val="000000"/>
      <w:sz w:val="20"/>
      <w:szCs w:val="20"/>
      <w:u w:val="none"/>
    </w:rPr>
  </w:style>
  <w:style w:type="character" w:styleId="861" w:customStyle="1">
    <w:name w:val="font91"/>
    <w:basedOn w:val="719"/>
    <w:qFormat/>
    <w:pPr>
      <w:pBdr/>
      <w:spacing/>
      <w:ind/>
    </w:pPr>
    <w:rPr>
      <w:rFonts w:hint="eastAsia" w:ascii="宋体" w:hAnsi="宋体" w:eastAsia="宋体" w:cs="宋体"/>
      <w:color w:val="000000"/>
      <w:sz w:val="21"/>
      <w:szCs w:val="21"/>
      <w:u w:val="none"/>
    </w:rPr>
  </w:style>
  <w:style w:type="character" w:styleId="862" w:customStyle="1">
    <w:name w:val="font11"/>
    <w:basedOn w:val="719"/>
    <w:qFormat/>
    <w:pPr>
      <w:pBdr/>
      <w:spacing/>
      <w:ind/>
    </w:pPr>
    <w:rPr>
      <w:rFonts w:hint="eastAsia" w:ascii="仿宋_GB2312" w:eastAsia="仿宋_GB2312"/>
      <w:color w:val="000000"/>
      <w:sz w:val="20"/>
      <w:szCs w:val="20"/>
      <w:u w:val="none"/>
    </w:rPr>
  </w:style>
  <w:style w:type="character" w:styleId="863" w:customStyle="1">
    <w:name w:val="font01"/>
    <w:basedOn w:val="719"/>
    <w:qFormat/>
    <w:pPr>
      <w:pBdr/>
      <w:spacing/>
      <w:ind/>
    </w:pPr>
    <w:rPr>
      <w:rFonts w:hint="eastAsia" w:ascii="宋体" w:hAnsi="宋体" w:eastAsia="宋体"/>
      <w:color w:val="000000"/>
      <w:sz w:val="20"/>
      <w:szCs w:val="20"/>
      <w:u w:val="none"/>
    </w:rPr>
  </w:style>
  <w:style w:type="paragraph" w:styleId="864" w:customStyle="1">
    <w:name w:val="正文 New"/>
    <w:qFormat/>
    <w:pPr>
      <w:widowControl w:val="false"/>
      <w:pBdr/>
      <w:spacing/>
      <w:ind/>
      <w:jc w:val="both"/>
    </w:pPr>
    <w:rPr>
      <w:rFonts w:ascii="Calibri" w:hAnsi="Calibri"/>
      <w:sz w:val="21"/>
      <w:szCs w:val="24"/>
    </w:rPr>
  </w:style>
  <w:style w:type="paragraph" w:styleId="865" w:customStyle="1">
    <w:name w:val="_Style 9"/>
    <w:basedOn w:val="713"/>
    <w:qFormat/>
    <w:pPr>
      <w:pBdr/>
      <w:spacing w:line="360" w:lineRule="auto"/>
      <w:ind w:firstLine="200"/>
      <w:jc w:val="left"/>
    </w:pPr>
    <w:rPr>
      <w:rFonts w:eastAsia="仿宋_GB2312"/>
      <w:sz w:val="32"/>
      <w:szCs w:val="32"/>
    </w:rPr>
  </w:style>
  <w:style w:type="paragraph" w:styleId="866" w:customStyle="1">
    <w:name w:val="Default"/>
    <w:uiPriority w:val="99"/>
    <w:qFormat/>
    <w:pPr>
      <w:widowControl w:val="false"/>
      <w:pBdr/>
      <w:spacing/>
      <w:ind/>
    </w:pPr>
    <w:rPr>
      <w:rFonts w:hint="eastAsia" w:ascii="方正小标宋_GBK" w:hAnsi="方正小标宋_GBK" w:eastAsia="方正小标宋_GBK"/>
      <w:color w:val="000000"/>
      <w:sz w:val="24"/>
      <w:szCs w:val="22"/>
    </w:rPr>
  </w:style>
  <w:style w:type="paragraph" w:styleId="867" w:customStyle="1">
    <w:name w:val="leaidx"/>
    <w:basedOn w:val="713"/>
    <w:qFormat/>
    <w:pPr>
      <w:widowControl w:val="true"/>
      <w:pBdr/>
      <w:spacing w:after="100" w:afterAutospacing="1" w:before="100" w:beforeAutospacing="1"/>
      <w:ind/>
      <w:jc w:val="left"/>
    </w:pPr>
    <w:rPr>
      <w:rFonts w:ascii="宋体" w:hAnsi="宋体" w:cs="宋体"/>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24D7140A-3EF0-475A-BFAD-340808D2F3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10</cp:revision>
  <dcterms:created xsi:type="dcterms:W3CDTF">2023-03-03T01:34:00Z</dcterms:created>
  <dcterms:modified xsi:type="dcterms:W3CDTF">2024-06-06T02:04:34Z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