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附件： </w:t>
      </w:r>
    </w:p>
    <w:p>
      <w:pPr>
        <w:jc w:val="center"/>
        <w:rPr>
          <w:rFonts w:hint="eastAsia" w:ascii="方正大标宋简体" w:hAnsi="黑体" w:eastAsia="方正大标宋简体" w:cs="黑体"/>
          <w:sz w:val="44"/>
          <w:szCs w:val="44"/>
        </w:rPr>
      </w:pPr>
      <w:r>
        <w:rPr>
          <w:rFonts w:hint="eastAsia" w:ascii="方正大标宋简体" w:hAnsi="黑体" w:eastAsia="方正大标宋简体" w:cs="黑体"/>
          <w:sz w:val="44"/>
          <w:szCs w:val="44"/>
        </w:rPr>
        <w:t>规章、规范性文件及其他政策措施清理情况统计表</w:t>
      </w:r>
    </w:p>
    <w:p>
      <w:pPr>
        <w:jc w:val="left"/>
        <w:rPr>
          <w:rFonts w:eastAsia="仿宋_GB2312"/>
        </w:rPr>
      </w:pPr>
      <w:r>
        <w:rPr>
          <w:rFonts w:eastAsia="仿宋_GB2312"/>
          <w:sz w:val="28"/>
          <w:szCs w:val="28"/>
        </w:rPr>
        <w:t>单位：                联系人：             电话：                年 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3455"/>
        <w:gridCol w:w="1223"/>
        <w:gridCol w:w="3260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34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文号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类别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清理意见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清理理由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42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42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455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1.“类别”应选填规章、规范性文件、其他政策措施。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2.“清理意见”应填报废止、修订或因符合公平竞争审查制度例外规定继续保留。对部分条款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进行修订的，应列明具体条款内容及修订方案。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3.“清理理由”应填报具体属于四个方面清理重点的何种情形。符合例外规定继续保留的，应详细说明适用例外规定的具体理由和实施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  \* MERGEFORMAT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-</w:t>
    </w:r>
    <w:r>
      <w:rPr>
        <w:rFonts w:ascii="宋体" w:hAnsi="宋体"/>
        <w:sz w:val="24"/>
      </w:rPr>
      <w:t xml:space="preserve"> 7 -</w:t>
    </w:r>
    <w:r>
      <w:rPr>
        <w:rFonts w:ascii="宋体" w:hAnsi="宋体"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958CC"/>
    <w:rsid w:val="71C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2020-04-01T02:51:00Z</dcterms:created>
  <dc:creator>Administrator</dc:creator>
  <cp:lastModifiedBy>Administrator</cp:lastModifiedBy>
  <dcterms:modified xsi:type="dcterms:W3CDTF">2020-04-01T02:55:01Z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