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忻州市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人民政府外事办公室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type w:val="continuous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2024年政府信息公开工作年度报告</w:t>
      </w:r>
    </w:p>
    <w:p>
      <w:pPr>
        <w:spacing w:line="240" w:lineRule="auto"/>
        <w:jc w:val="both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本年度报告根据《中华人民共和国政府信息公开条例》和《山西省贯彻落实〈中华人民共和国政府信息公开条例〉实施方案》要求，由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忻州市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人民政府外事办公室编制。本年度政府信息公开报告的电子版可以在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忻州市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人民政府外事办公室网站（http://wsb.sxxz.gov.cn）上下载。本报告中所列数据的统计期限自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1月1日起至12月31日止。如对本年度报告有任何疑问，请联系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忻州市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人民政府外事办公室（地址：山西省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忻州市忻府区长征西街北巷6号</w:t>
      </w:r>
      <w:r>
        <w:rPr>
          <w:rFonts w:hint="eastAsia" w:ascii="仿宋_GB2312" w:hAnsi="仿宋_GB2312" w:eastAsia="仿宋_GB2312" w:cs="仿宋_GB2312"/>
          <w:sz w:val="32"/>
          <w:szCs w:val="32"/>
        </w:rPr>
        <w:t>；邮编：03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sz w:val="32"/>
          <w:szCs w:val="32"/>
        </w:rPr>
        <w:t>；电话：035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3021769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忻州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市外事办以习近平新时代中国特色社会主义思想为指导，全面贯彻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党的二十大精神和二十届二中、三中全会精神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，认真落实党中央、国务院及省委省政府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、市委市政府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关于全面推进政务公开工作的决策部署，进一步提升政务公开的质量和实效，充分保障人民群众的知情权、参与权和监督权，助力建设人民满意的服务型政府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政府信息公开工作严格按照《条例》和《方案》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要求依法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有序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全年度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运行正常。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（一）主动公开方面。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，市外事办利用“忻州市政府外事办公室”网站，在“政府信息公开”“国务院要闻”“省政府要闻”“市政府要闻”和“工作动态”“涉外资讯”等栏目发布信息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共计1799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（二）依申请公开方面。依法依规做好政府信息依申请公开工作，建立健全</w:t>
      </w:r>
      <w:bookmarkStart w:id="2" w:name="_GoBack"/>
      <w:bookmarkStart w:id="0" w:name="OLE_LINK2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政府信息公开</w:t>
      </w:r>
      <w:bookmarkEnd w:id="2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申请登记、受理、补正、征求意见、提出办理意见、做出决定、报批、送达等环节的制度规范，畅通依申请公开受理渠道。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，市外事办没有接到公民、法人和其他组织的政府信息依申请公开申请；也未接到公民、法人和其他组织就政府信息公开提出的任何复议、诉讼和举报申诉。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（三）政府信息管理方面。按照政务公开相关工作部署要求，进一步加强对政府信息公开工作的组织领导，</w:t>
      </w:r>
      <w:bookmarkStart w:id="1" w:name="OLE_LINK1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调整完善政府信息公开领导小组</w:t>
      </w:r>
      <w:bookmarkEnd w:id="1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，全面负责推进、指导、协调和监督政府信息公开工作。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（四）解读回应方面。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市外事办发布转载有关政策性解读文件信息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条。在舆情回应方面，收到主任信箱来信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封，均已办结且主动公开答复，全年未发生重大政务舆情事件，未收到政务舆情回应督办事项。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（五）监督保障方面。市外事办建立健全政府信息公开责任追究制度，对应公开而未公开、超范围公开、涉密敏感信息公开等不当行为，对相关责任人和责任单位给予通报批评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对情节严重的，或违反国家保密法等法律法规的，依法依规追究直接责任人员和单位负责人的责任。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全年未发生上述不当行为。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sz w:val="10"/>
          <w:szCs w:val="10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90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206"/>
        <w:gridCol w:w="2453"/>
        <w:gridCol w:w="1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仿宋_GB2312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9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9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5"/>
        <w:tblW w:w="90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943"/>
        <w:gridCol w:w="3220"/>
        <w:gridCol w:w="624"/>
        <w:gridCol w:w="624"/>
        <w:gridCol w:w="624"/>
        <w:gridCol w:w="624"/>
        <w:gridCol w:w="624"/>
        <w:gridCol w:w="624"/>
        <w:gridCol w:w="6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5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36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1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2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2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spacing w:line="600" w:lineRule="exact"/>
        <w:ind w:firstLine="6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919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397"/>
        <w:gridCol w:w="646"/>
        <w:gridCol w:w="646"/>
        <w:gridCol w:w="647"/>
        <w:gridCol w:w="647"/>
        <w:gridCol w:w="647"/>
        <w:gridCol w:w="648"/>
        <w:gridCol w:w="648"/>
        <w:gridCol w:w="648"/>
        <w:gridCol w:w="648"/>
        <w:gridCol w:w="3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19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9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我办政府信息公开工作主要存在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本领域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政策文件解读发布数量少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、开展政务公开工作能力有待进一步提升的问题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年，我办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将在上级政府信息公开主管部门的指导下，继续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外事无小事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和“外事为民”“外事惠企”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妥善处理好政务公开与保密的关系，规范信息公开各项工作，不断强化机制建设，提高政务服务水平，</w:t>
      </w:r>
      <w:r>
        <w:rPr>
          <w:rFonts w:hint="eastAsia" w:ascii="仿宋_GB2312" w:hAnsi="仿宋_GB2312" w:eastAsia="仿宋_GB2312" w:cs="仿宋_GB2312"/>
          <w:sz w:val="32"/>
          <w:szCs w:val="32"/>
        </w:rPr>
        <w:t>努力用政府信息的“公开指数”换取群众的“幸福指数”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一是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提高政治站位。坚持贯彻落实“党管外事”原则，办党组要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高度重视政府信息与政务公开工作，以公开促工作，以公开树形象，认真落实《条例》和相关工作要求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积极响应“数字政府”建设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严格落实主动公开工作制度、依申请公开工作制度、保密审查制度、责任追究制度、评议考核制度等政府信息公开的各项工作制度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是强化队伍建设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通过每周二学习例会等方式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深入学习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《政府信息公开条例》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内容与政府网站管理相关政策文件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及会议精神，切实增强做好政务公开工作的责任感和使命感。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组织政务公开工作相关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参加全市政府信息工作培训，学习掌握政府信息公开工作的规定要求和方式方法，不断提升政府信息公开工作水平。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三是规范工作机制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。围绕全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外事重点工作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将政务公开工作与其他业务工作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党建工作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有机结合，把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外事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信息公开与解决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本地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群众实际问题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服务我市经济社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相结合，创新政府信息公开方式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积极挖掘可主动公开的信息内容，加强与其他部门的信息共享，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相关政策的解读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和群众关切的回应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 其他需要报告的事项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无。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wordWrap w:val="0"/>
        <w:jc w:val="right"/>
        <w:rPr>
          <w:rFonts w:hint="default" w:eastAsia="仿宋_GB2312"/>
          <w:lang w:val="en-US" w:eastAsia="zh-CN"/>
        </w:rPr>
      </w:pPr>
      <w:r>
        <w:rPr>
          <w:rFonts w:hint="eastAsia"/>
        </w:rPr>
        <w:t>忻州市人民政府外事办公室</w:t>
      </w:r>
      <w:r>
        <w:rPr>
          <w:rFonts w:hint="eastAsia"/>
          <w:lang w:val="en-US" w:eastAsia="zh-CN"/>
        </w:rPr>
        <w:t xml:space="preserve">   </w:t>
      </w:r>
    </w:p>
    <w:p>
      <w:pPr>
        <w:wordWrap w:val="0"/>
        <w:jc w:val="right"/>
        <w:rPr>
          <w:rFonts w:hint="default" w:eastAsia="仿宋_GB2312"/>
          <w:lang w:val="en-US" w:eastAsia="zh-CN"/>
        </w:rPr>
      </w:pPr>
      <w:r>
        <w:rPr>
          <w:rFonts w:hint="eastAsia"/>
        </w:rPr>
        <w:t xml:space="preserve">                         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年1月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     </w:t>
      </w:r>
    </w:p>
    <w:sectPr>
      <w:type w:val="continuous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B8599D-4003-4D70-872C-0F487D242D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1B8F722-053B-46E5-9EA8-74B34A2FFA0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7FB5DF7-0119-4FFE-8C8C-57183D91BD8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20BE919-EACD-4390-AB2E-D4FDD348486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69112A5-0759-40CD-AB90-60215CCEA7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zZkNzEzNTg4ZTFkMGMyMDQwNDg1MmMzYTM0ZDYifQ=="/>
  </w:docVars>
  <w:rsids>
    <w:rsidRoot w:val="32794667"/>
    <w:rsid w:val="0276453C"/>
    <w:rsid w:val="04FF60C1"/>
    <w:rsid w:val="06163BD1"/>
    <w:rsid w:val="0A0124A3"/>
    <w:rsid w:val="112D704C"/>
    <w:rsid w:val="16AE7893"/>
    <w:rsid w:val="19D11E91"/>
    <w:rsid w:val="1A840CB2"/>
    <w:rsid w:val="1D263C41"/>
    <w:rsid w:val="202F5364"/>
    <w:rsid w:val="258477CA"/>
    <w:rsid w:val="28AF14CF"/>
    <w:rsid w:val="29452FA7"/>
    <w:rsid w:val="2E671AED"/>
    <w:rsid w:val="30405CB7"/>
    <w:rsid w:val="32794667"/>
    <w:rsid w:val="3DC3295A"/>
    <w:rsid w:val="3FDD483D"/>
    <w:rsid w:val="40844CB8"/>
    <w:rsid w:val="55B81033"/>
    <w:rsid w:val="5682007A"/>
    <w:rsid w:val="58C12AF6"/>
    <w:rsid w:val="5C04565F"/>
    <w:rsid w:val="628F3E07"/>
    <w:rsid w:val="63116428"/>
    <w:rsid w:val="65167EE9"/>
    <w:rsid w:val="656C5B97"/>
    <w:rsid w:val="676B15BB"/>
    <w:rsid w:val="6DC81DD9"/>
    <w:rsid w:val="7C66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公文格式"/>
    <w:basedOn w:val="1"/>
    <w:autoRedefine/>
    <w:qFormat/>
    <w:uiPriority w:val="0"/>
    <w:pPr>
      <w:jc w:val="center"/>
    </w:pPr>
    <w:rPr>
      <w:rFonts w:ascii="Times New Roman" w:hAnsi="Times New Roman" w:eastAsia="方正小标宋简体"/>
      <w:sz w:val="44"/>
    </w:rPr>
  </w:style>
  <w:style w:type="paragraph" w:customStyle="1" w:styleId="8">
    <w:name w:val="公文正文格式"/>
    <w:autoRedefine/>
    <w:qFormat/>
    <w:uiPriority w:val="0"/>
    <w:pPr>
      <w:jc w:val="both"/>
    </w:pPr>
    <w:rPr>
      <w:rFonts w:ascii="Calibri" w:hAnsi="Calibri" w:eastAsia="仿宋_GB2312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2022-01-18T09:10:00Z</dcterms:created>
  <dc:creator>温婧</dc:creator>
  <cp:lastModifiedBy>王小柿</cp:lastModifiedBy>
  <cp:lastPrinted>2025-01-21T01:47:00Z</cp:lastPrinted>
  <dcterms:modified xsi:type="dcterms:W3CDTF">2025-01-21T03:26:22Z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829E58CE580448DA8F6C1D85EF6678B5_13</vt:lpwstr>
  </property>
</Properties>
</file>