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忻州市人民政府外事办公室2021年度部门决算</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hint="eastAsia" w:ascii="仿宋_GB2312" w:hAnsi="仿宋_GB2312" w:eastAsia="仿宋_GB2312" w:cs="仿宋_GB2312"/>
          <w:kern w:val="2"/>
          <w:sz w:val="28"/>
          <w:szCs w:val="28"/>
          <w:lang w:val="en-US" w:eastAsia="zh-CN" w:bidi="ar-SA"/>
        </w:rPr>
        <w:id w:val="147455769"/>
        <w15:color w:val="DBDBDB"/>
        <w:docPartObj>
          <w:docPartGallery w:val="Table of Contents"/>
          <w:docPartUnique/>
        </w:docPartObj>
      </w:sdtPr>
      <w:sdtEndPr>
        <w:rPr>
          <w:rFonts w:hint="eastAsia" w:asciiTheme="minorHAnsi" w:hAnsiTheme="minorHAnsi" w:eastAsiaTheme="minorEastAsia" w:cstheme="minorBidi"/>
          <w:b/>
          <w:color w:val="333333"/>
          <w:kern w:val="0"/>
          <w:sz w:val="21"/>
          <w:szCs w:val="24"/>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目录</w:t>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shd w:val="clear" w:fill="FFFFFF"/>
              <w:lang w:val="en-US" w:eastAsia="zh-CN" w:bidi="ar"/>
            </w:rPr>
            <w:fldChar w:fldCharType="begin"/>
          </w:r>
          <w:r>
            <w:rPr>
              <w:rFonts w:hint="eastAsia" w:ascii="仿宋_GB2312" w:hAnsi="仿宋_GB2312" w:eastAsia="仿宋_GB2312" w:cs="仿宋_GB2312"/>
              <w:b/>
              <w:color w:val="333333"/>
              <w:kern w:val="0"/>
              <w:sz w:val="28"/>
              <w:szCs w:val="28"/>
              <w:shd w:val="clear" w:fill="FFFFFF"/>
              <w:lang w:val="en-US" w:eastAsia="zh-CN" w:bidi="ar"/>
            </w:rPr>
            <w:instrText xml:space="preserve">TOC \o "1-2" \h \u </w:instrText>
          </w:r>
          <w:r>
            <w:rPr>
              <w:rFonts w:hint="eastAsia" w:ascii="仿宋_GB2312" w:hAnsi="仿宋_GB2312" w:eastAsia="仿宋_GB2312" w:cs="仿宋_GB2312"/>
              <w:b/>
              <w:color w:val="333333"/>
              <w:kern w:val="0"/>
              <w:sz w:val="28"/>
              <w:szCs w:val="28"/>
              <w:shd w:val="clear" w:fill="FFFFFF"/>
              <w:lang w:val="en-US" w:eastAsia="zh-CN" w:bidi="ar"/>
            </w:rPr>
            <w:fldChar w:fldCharType="separate"/>
          </w: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_Toc21206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kern w:val="0"/>
              <w:sz w:val="28"/>
              <w:szCs w:val="28"/>
              <w:shd w:val="clear" w:fill="FFFFFF"/>
              <w:lang w:val="en-US" w:eastAsia="zh-CN" w:bidi="ar"/>
            </w:rPr>
            <w:t>第一部分  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_Toc9698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一、本部门职责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_Toc9698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_Toc28402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二、机构设置情况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_Toc17494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bCs/>
              <w:sz w:val="28"/>
              <w:szCs w:val="28"/>
              <w:shd w:val="clear" w:fill="FFFFFF"/>
              <w:lang w:val="en-US" w:eastAsia="zh-CN"/>
            </w:rPr>
            <w:t>第二部分 2021年部门决算表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_Toc17494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_Toc3295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一、 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_Toc2519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二、 收入决算表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_Toc15653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三、 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_Toc15653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_Toc23237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四、 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_Toc23237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_Toc30908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五、 一般公共预算财政拨款支出决算表（一）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_Toc8707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六、 一般公共预算财政拨款支出决算表（二）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_Toc8707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_Toc9622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七、 一般公共预算财政拨款“三公”经费支出决算表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_Toc9622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_Toc16854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八、 政府性基金预算财政拨款收入支出决算表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_Toc16854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_Toc18588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九、 国有资本经营预算财政拨款支出决算表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_Toc18588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_Toc28782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十、 部门决算公开相关信息表统计表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_Toc28782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_Toc6266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bCs/>
              <w:sz w:val="28"/>
              <w:szCs w:val="28"/>
              <w:shd w:val="clear" w:fill="FFFFFF"/>
              <w:lang w:val="en-US" w:eastAsia="zh-CN"/>
            </w:rPr>
            <w:t>第三部分  2021年度部门决算情况说明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_Toc6266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_Toc1533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一、收入支出决算总体情况说明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_Toc12364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二、收入决算情况说明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_Toc12364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_Toc21381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三、支出决算情况说明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_Toc21381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_Toc24619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_Toc10032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五、 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_Toc10032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_Toc15954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（一）财政拨款支出决算总体情况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_Toc15954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_Toc15370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（二）财政拨款支出决算结构情况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_Toc26116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（三）财政拨款支出决算具体情况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_Toc26116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_Toc31984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六、 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_Toc31984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_Toc10821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 xml:space="preserve">七、 </w:t>
          </w:r>
          <w:r>
            <w:rPr>
              <w:rFonts w:hint="eastAsia" w:ascii="仿宋_GB2312" w:hAnsi="仿宋_GB2312" w:eastAsia="仿宋_GB2312" w:cs="仿宋_GB2312"/>
              <w:sz w:val="28"/>
              <w:szCs w:val="28"/>
              <w:highlight w:val="none"/>
              <w:shd w:val="clear" w:fill="FFFFFF"/>
              <w:lang w:val="en-US" w:eastAsia="zh-CN"/>
            </w:rPr>
            <w:t>一般公共预算财政拨款“三公”经费支出决算情况说明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_Toc10821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_Toc27993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 xml:space="preserve">八、 </w:t>
          </w:r>
          <w:r>
            <w:rPr>
              <w:rFonts w:hint="eastAsia" w:ascii="仿宋_GB2312" w:hAnsi="仿宋_GB2312" w:eastAsia="仿宋_GB2312" w:cs="仿宋_GB2312"/>
              <w:sz w:val="28"/>
              <w:szCs w:val="28"/>
              <w:highlight w:val="none"/>
              <w:shd w:val="clear" w:fill="FFFFFF"/>
              <w:lang w:val="en-US" w:eastAsia="zh-CN"/>
            </w:rPr>
            <w:t>其他重要事项情况说明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_Toc27993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shd w:val="clear" w:fill="FFFFFF"/>
              <w:lang w:val="en-US" w:eastAsia="zh-CN" w:bidi="ar"/>
            </w:rPr>
            <w:fldChar w:fldCharType="begin"/>
          </w:r>
          <w:r>
            <w:rPr>
              <w:rFonts w:hint="eastAsia" w:ascii="仿宋_GB2312" w:hAnsi="仿宋_GB2312" w:eastAsia="仿宋_GB2312" w:cs="仿宋_GB2312"/>
              <w:kern w:val="0"/>
              <w:sz w:val="28"/>
              <w:szCs w:val="28"/>
              <w:shd w:val="clear" w:fill="FFFFFF"/>
              <w:lang w:val="en-US" w:eastAsia="zh-CN" w:bidi="ar"/>
            </w:rPr>
            <w:instrText xml:space="preserve"> HYPERLINK \l _Toc18091 </w:instrText>
          </w:r>
          <w:r>
            <w:rPr>
              <w:rFonts w:hint="eastAsia" w:ascii="仿宋_GB2312" w:hAnsi="仿宋_GB2312" w:eastAsia="仿宋_GB2312" w:cs="仿宋_GB2312"/>
              <w:kern w:val="0"/>
              <w:sz w:val="28"/>
              <w:szCs w:val="28"/>
              <w:shd w:val="clear" w:fill="FFFFFF"/>
              <w:lang w:val="en-US" w:eastAsia="zh-CN" w:bidi="ar"/>
            </w:rPr>
            <w:fldChar w:fldCharType="separate"/>
          </w:r>
          <w:r>
            <w:rPr>
              <w:rFonts w:hint="eastAsia" w:ascii="仿宋_GB2312" w:hAnsi="仿宋_GB2312" w:eastAsia="仿宋_GB2312" w:cs="仿宋_GB2312"/>
              <w:sz w:val="28"/>
              <w:szCs w:val="28"/>
              <w:shd w:val="clear" w:fill="FFFFFF"/>
              <w:lang w:val="en-US" w:eastAsia="zh-CN"/>
            </w:rPr>
            <w:t>第四部分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_Toc18091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kern w:val="0"/>
              <w:sz w:val="28"/>
              <w:szCs w:val="28"/>
              <w:shd w:val="clear" w:fill="FFFFFF"/>
              <w:lang w:val="en-US" w:eastAsia="zh-CN" w:bidi="ar"/>
            </w:rPr>
            <w:fldChar w:fldCharType="end"/>
          </w:r>
        </w:p>
        <w:p>
          <w:pPr>
            <w:pStyle w:val="3"/>
            <w:tabs>
              <w:tab w:val="right" w:leader="dot" w:pos="8845"/>
            </w:tabs>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13</w:t>
          </w: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r>
            <w:rPr>
              <w:rFonts w:hint="eastAsia" w:ascii="仿宋_GB2312" w:hAnsi="仿宋_GB2312" w:eastAsia="仿宋_GB2312" w:cs="仿宋_GB2312"/>
              <w:color w:val="333333"/>
              <w:kern w:val="0"/>
              <w:sz w:val="28"/>
              <w:szCs w:val="28"/>
              <w:shd w:val="clear" w:fill="FFFFFF"/>
              <w:lang w:val="en-US" w:eastAsia="zh-CN" w:bidi="ar"/>
            </w:rPr>
            <w:fldChar w:fldCharType="end"/>
          </w:r>
        </w:p>
      </w:sdtContent>
    </w:sdt>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hint="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b/>
          <w:color w:val="333333"/>
          <w:kern w:val="0"/>
          <w:sz w:val="32"/>
          <w:szCs w:val="32"/>
          <w:shd w:val="clear" w:fill="FFFFFF"/>
          <w:lang w:val="en-US" w:eastAsia="zh-CN" w:bidi="ar"/>
        </w:rPr>
      </w:pPr>
      <w:bookmarkStart w:id="0" w:name="_Toc21206"/>
      <w:r>
        <w:rPr>
          <w:rFonts w:hint="eastAsia" w:ascii="黑体" w:hAnsi="黑体" w:eastAsia="黑体" w:cs="黑体"/>
          <w:b/>
          <w:color w:val="333333"/>
          <w:kern w:val="0"/>
          <w:sz w:val="32"/>
          <w:szCs w:val="32"/>
          <w:shd w:val="clear" w:fill="FFFFFF"/>
          <w:lang w:val="en-US" w:eastAsia="zh-CN" w:bidi="ar"/>
        </w:rPr>
        <w:t>第一部分  概况</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1"/>
        <w:rPr>
          <w:rFonts w:hint="eastAsia" w:ascii="黑体" w:hAnsi="黑体" w:eastAsia="黑体" w:cs="黑体"/>
          <w:color w:val="333333"/>
          <w:sz w:val="32"/>
          <w:szCs w:val="32"/>
          <w:shd w:val="clear" w:fill="FFFFFF"/>
          <w:lang w:val="en-US" w:eastAsia="zh-CN"/>
        </w:rPr>
      </w:pPr>
      <w:bookmarkStart w:id="1" w:name="_Toc9698"/>
      <w:r>
        <w:rPr>
          <w:rFonts w:hint="eastAsia" w:ascii="黑体" w:hAnsi="黑体" w:eastAsia="黑体" w:cs="黑体"/>
          <w:color w:val="333333"/>
          <w:sz w:val="32"/>
          <w:szCs w:val="32"/>
          <w:shd w:val="clear" w:fill="FFFFFF"/>
          <w:lang w:val="en-US" w:eastAsia="zh-CN"/>
        </w:rPr>
        <w:t>一、本部门职责</w:t>
      </w:r>
      <w:bookmarkEnd w:id="1"/>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1"/>
        <w:rPr>
          <w:rFonts w:hint="eastAsia" w:ascii="黑体" w:hAnsi="黑体" w:eastAsia="黑体" w:cs="黑体"/>
          <w:color w:val="333333"/>
          <w:sz w:val="32"/>
          <w:szCs w:val="32"/>
          <w:shd w:val="clear" w:fill="FFFFFF"/>
          <w:lang w:val="en-US" w:eastAsia="zh-CN"/>
        </w:rPr>
      </w:pPr>
      <w:bookmarkStart w:id="2" w:name="_Toc28402"/>
      <w:r>
        <w:rPr>
          <w:rFonts w:hint="eastAsia" w:ascii="黑体" w:hAnsi="黑体" w:eastAsia="黑体" w:cs="黑体"/>
          <w:color w:val="333333"/>
          <w:sz w:val="32"/>
          <w:szCs w:val="32"/>
          <w:shd w:val="clear" w:fill="FFFFFF"/>
          <w:lang w:val="en-US" w:eastAsia="zh-CN"/>
        </w:rPr>
        <w:t>二、机构设置情况</w:t>
      </w:r>
      <w:bookmarkEnd w:id="2"/>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忻州市人民政府外事办公室为财政拨款行政单位，正处级建制。编制14人，在职人员14人。内设科室：外事（综合）科、秘书科、台港澳科；下属事业单位1个：涉外涉台港澳交流中心（财务不独立）。</w:t>
      </w:r>
    </w:p>
    <w:p>
      <w:pPr>
        <w:pStyle w:val="4"/>
        <w:keepNext w:val="0"/>
        <w:keepLines w:val="0"/>
        <w:widowControl/>
        <w:numPr>
          <w:ilvl w:val="0"/>
          <w:numId w:val="1"/>
        </w:numPr>
        <w:suppressLineNumbers w:val="0"/>
        <w:spacing w:before="0" w:beforeAutospacing="0" w:after="0" w:afterAutospacing="0" w:line="504" w:lineRule="auto"/>
        <w:ind w:left="0" w:right="0"/>
        <w:jc w:val="left"/>
        <w:outlineLvl w:val="0"/>
        <w:rPr>
          <w:rFonts w:hint="eastAsia" w:ascii="黑体" w:hAnsi="黑体" w:eastAsia="黑体" w:cs="黑体"/>
          <w:b/>
          <w:bCs/>
          <w:color w:val="333333"/>
          <w:sz w:val="32"/>
          <w:szCs w:val="32"/>
          <w:shd w:val="clear" w:fill="FFFFFF"/>
          <w:lang w:val="en-US" w:eastAsia="zh-CN"/>
        </w:rPr>
      </w:pPr>
      <w:r>
        <w:rPr>
          <w:rFonts w:hint="eastAsia" w:ascii="黑体" w:hAnsi="黑体" w:eastAsia="黑体" w:cs="黑体"/>
          <w:b/>
          <w:bCs/>
          <w:color w:val="333333"/>
          <w:sz w:val="32"/>
          <w:szCs w:val="32"/>
          <w:shd w:val="clear" w:fill="FFFFFF"/>
          <w:lang w:val="en-US" w:eastAsia="zh-CN"/>
        </w:rPr>
        <w:t xml:space="preserve"> </w:t>
      </w:r>
      <w:bookmarkStart w:id="3" w:name="_Toc17494"/>
      <w:r>
        <w:rPr>
          <w:rFonts w:hint="eastAsia" w:ascii="黑体" w:hAnsi="黑体" w:eastAsia="黑体" w:cs="黑体"/>
          <w:b/>
          <w:bCs/>
          <w:color w:val="333333"/>
          <w:sz w:val="32"/>
          <w:szCs w:val="32"/>
          <w:shd w:val="clear" w:fill="FFFFFF"/>
          <w:lang w:val="en-US" w:eastAsia="zh-CN"/>
        </w:rPr>
        <w:t>2021年部门决算表</w:t>
      </w:r>
      <w:bookmarkEnd w:id="3"/>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eastAsia" w:ascii="仿宋_GB2312" w:hAnsi="仿宋_GB2312" w:eastAsia="仿宋_GB2312" w:cs="仿宋_GB2312"/>
          <w:color w:val="333333"/>
          <w:sz w:val="32"/>
          <w:szCs w:val="32"/>
          <w:shd w:val="clear" w:fill="FFFFFF"/>
          <w:lang w:val="en-US" w:eastAsia="zh-CN"/>
        </w:rPr>
      </w:pPr>
      <w:bookmarkStart w:id="4" w:name="_Toc3295"/>
      <w:r>
        <w:rPr>
          <w:rFonts w:hint="eastAsia" w:ascii="仿宋_GB2312" w:hAnsi="仿宋_GB2312" w:eastAsia="仿宋_GB2312" w:cs="仿宋_GB2312"/>
          <w:color w:val="333333"/>
          <w:sz w:val="32"/>
          <w:szCs w:val="32"/>
          <w:shd w:val="clear" w:fill="FFFFFF"/>
          <w:lang w:val="en-US" w:eastAsia="zh-CN"/>
        </w:rPr>
        <w:t>收入支出决算总表</w:t>
      </w:r>
      <w:bookmarkEnd w:id="4"/>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5" w:name="_Toc2519"/>
      <w:r>
        <w:rPr>
          <w:rFonts w:hint="eastAsia" w:ascii="仿宋_GB2312" w:hAnsi="仿宋_GB2312" w:eastAsia="仿宋_GB2312" w:cs="仿宋_GB2312"/>
          <w:color w:val="333333"/>
          <w:sz w:val="32"/>
          <w:szCs w:val="32"/>
          <w:shd w:val="clear" w:fill="FFFFFF"/>
          <w:lang w:val="en-US" w:eastAsia="zh-CN"/>
        </w:rPr>
        <w:t>收入决算表</w:t>
      </w:r>
      <w:bookmarkEnd w:id="5"/>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6" w:name="_Toc15653"/>
      <w:r>
        <w:rPr>
          <w:rFonts w:hint="eastAsia" w:ascii="仿宋_GB2312" w:hAnsi="仿宋_GB2312" w:eastAsia="仿宋_GB2312" w:cs="仿宋_GB2312"/>
          <w:color w:val="333333"/>
          <w:sz w:val="32"/>
          <w:szCs w:val="32"/>
          <w:shd w:val="clear" w:fill="FFFFFF"/>
          <w:lang w:val="en-US" w:eastAsia="zh-CN"/>
        </w:rPr>
        <w:t>支出决算表</w:t>
      </w:r>
      <w:bookmarkEnd w:id="6"/>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7" w:name="_Toc23237"/>
      <w:r>
        <w:rPr>
          <w:rFonts w:hint="eastAsia" w:ascii="仿宋_GB2312" w:hAnsi="仿宋_GB2312" w:eastAsia="仿宋_GB2312" w:cs="仿宋_GB2312"/>
          <w:color w:val="333333"/>
          <w:sz w:val="32"/>
          <w:szCs w:val="32"/>
          <w:shd w:val="clear" w:fill="FFFFFF"/>
          <w:lang w:val="en-US" w:eastAsia="zh-CN"/>
        </w:rPr>
        <w:t>财政拨款收入支出决算表</w:t>
      </w:r>
      <w:bookmarkEnd w:id="7"/>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8" w:name="_Toc30908"/>
      <w:r>
        <w:rPr>
          <w:rFonts w:hint="eastAsia" w:ascii="仿宋_GB2312" w:hAnsi="仿宋_GB2312" w:eastAsia="仿宋_GB2312" w:cs="仿宋_GB2312"/>
          <w:color w:val="333333"/>
          <w:sz w:val="32"/>
          <w:szCs w:val="32"/>
          <w:shd w:val="clear" w:fill="FFFFFF"/>
          <w:lang w:val="en-US" w:eastAsia="zh-CN"/>
        </w:rPr>
        <w:t>一般公共预算财政拨款支出决算表（一）</w:t>
      </w:r>
      <w:bookmarkEnd w:id="8"/>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9" w:name="_Toc8707"/>
      <w:r>
        <w:rPr>
          <w:rFonts w:hint="eastAsia" w:ascii="仿宋_GB2312" w:hAnsi="仿宋_GB2312" w:eastAsia="仿宋_GB2312" w:cs="仿宋_GB2312"/>
          <w:color w:val="333333"/>
          <w:sz w:val="32"/>
          <w:szCs w:val="32"/>
          <w:shd w:val="clear" w:fill="FFFFFF"/>
          <w:lang w:val="en-US" w:eastAsia="zh-CN"/>
        </w:rPr>
        <w:t>一般公共预算财政拨款支出决算表（二）</w:t>
      </w:r>
      <w:bookmarkEnd w:id="9"/>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10" w:name="_Toc9622"/>
      <w:r>
        <w:rPr>
          <w:rFonts w:hint="eastAsia" w:ascii="仿宋_GB2312" w:hAnsi="仿宋_GB2312" w:eastAsia="仿宋_GB2312" w:cs="仿宋_GB2312"/>
          <w:color w:val="333333"/>
          <w:sz w:val="32"/>
          <w:szCs w:val="32"/>
          <w:shd w:val="clear" w:fill="FFFFFF"/>
          <w:lang w:val="en-US" w:eastAsia="zh-CN"/>
        </w:rPr>
        <w:t>一般公共预算财政拨款“三公”经费支出决算表</w:t>
      </w:r>
      <w:bookmarkEnd w:id="10"/>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11" w:name="_Toc16854"/>
      <w:r>
        <w:rPr>
          <w:rFonts w:hint="eastAsia" w:ascii="仿宋_GB2312" w:hAnsi="仿宋_GB2312" w:eastAsia="仿宋_GB2312" w:cs="仿宋_GB2312"/>
          <w:color w:val="333333"/>
          <w:sz w:val="32"/>
          <w:szCs w:val="32"/>
          <w:shd w:val="clear" w:fill="FFFFFF"/>
          <w:lang w:val="en-US" w:eastAsia="zh-CN"/>
        </w:rPr>
        <w:t>政府性基金预算财政拨款收入支出决算表</w:t>
      </w:r>
      <w:bookmarkEnd w:id="11"/>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12" w:name="_Toc18588"/>
      <w:r>
        <w:rPr>
          <w:rFonts w:hint="eastAsia" w:ascii="仿宋_GB2312" w:hAnsi="仿宋_GB2312" w:eastAsia="仿宋_GB2312" w:cs="仿宋_GB2312"/>
          <w:color w:val="333333"/>
          <w:sz w:val="32"/>
          <w:szCs w:val="32"/>
          <w:shd w:val="clear" w:fill="FFFFFF"/>
          <w:lang w:val="en-US" w:eastAsia="zh-CN"/>
        </w:rPr>
        <w:t>国有资本经营预算财政拨款支出决算表</w:t>
      </w:r>
      <w:bookmarkEnd w:id="12"/>
    </w:p>
    <w:p>
      <w:pPr>
        <w:pStyle w:val="4"/>
        <w:keepNext w:val="0"/>
        <w:keepLines w:val="0"/>
        <w:widowControl/>
        <w:numPr>
          <w:ilvl w:val="0"/>
          <w:numId w:val="2"/>
        </w:numPr>
        <w:suppressLineNumbers w:val="0"/>
        <w:spacing w:before="0" w:beforeAutospacing="0" w:after="0" w:afterAutospacing="0" w:line="504" w:lineRule="auto"/>
        <w:ind w:left="642" w:leftChars="0" w:right="0" w:rightChars="0" w:firstLine="0" w:firstLineChars="0"/>
        <w:jc w:val="left"/>
        <w:outlineLvl w:val="0"/>
        <w:rPr>
          <w:rFonts w:hint="default" w:ascii="仿宋_GB2312" w:hAnsi="仿宋_GB2312" w:eastAsia="仿宋_GB2312" w:cs="仿宋_GB2312"/>
          <w:color w:val="333333"/>
          <w:sz w:val="32"/>
          <w:szCs w:val="32"/>
          <w:shd w:val="clear" w:fill="FFFFFF"/>
          <w:lang w:val="en-US" w:eastAsia="zh-CN"/>
        </w:rPr>
      </w:pPr>
      <w:bookmarkStart w:id="13" w:name="_Toc28782"/>
      <w:r>
        <w:rPr>
          <w:rFonts w:hint="eastAsia" w:ascii="仿宋_GB2312" w:hAnsi="仿宋_GB2312" w:eastAsia="仿宋_GB2312" w:cs="仿宋_GB2312"/>
          <w:color w:val="333333"/>
          <w:sz w:val="32"/>
          <w:szCs w:val="32"/>
          <w:shd w:val="clear" w:fill="FFFFFF"/>
          <w:lang w:val="en-US" w:eastAsia="zh-CN"/>
        </w:rPr>
        <w:t>部门决算公开相关信息表</w:t>
      </w:r>
      <w:bookmarkEnd w:id="13"/>
      <w:r>
        <w:rPr>
          <w:rFonts w:hint="eastAsia" w:ascii="仿宋_GB2312" w:hAnsi="仿宋_GB2312" w:eastAsia="仿宋_GB2312" w:cs="仿宋_GB2312"/>
          <w:color w:val="333333"/>
          <w:sz w:val="32"/>
          <w:szCs w:val="32"/>
          <w:shd w:val="clear" w:fill="FFFFFF"/>
          <w:lang w:val="en-US" w:eastAsia="zh-CN"/>
        </w:rPr>
        <w:t>统计表</w:t>
      </w:r>
    </w:p>
    <w:p>
      <w:pPr>
        <w:pStyle w:val="4"/>
        <w:keepNext w:val="0"/>
        <w:keepLines w:val="0"/>
        <w:widowControl/>
        <w:suppressLineNumbers w:val="0"/>
        <w:spacing w:before="0" w:beforeAutospacing="0" w:after="0" w:afterAutospacing="0" w:line="504" w:lineRule="auto"/>
        <w:ind w:left="0" w:right="0" w:firstLine="64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点击查看【附件】</w:t>
      </w:r>
    </w:p>
    <w:p>
      <w:pPr>
        <w:pStyle w:val="4"/>
        <w:keepNext w:val="0"/>
        <w:keepLines w:val="0"/>
        <w:widowControl/>
        <w:suppressLineNumbers w:val="0"/>
        <w:spacing w:before="0" w:beforeAutospacing="0" w:after="0" w:afterAutospacing="0" w:line="504" w:lineRule="auto"/>
        <w:ind w:left="0" w:right="0"/>
        <w:jc w:val="left"/>
        <w:outlineLvl w:val="0"/>
        <w:rPr>
          <w:rFonts w:hint="default" w:ascii="黑体" w:hAnsi="黑体" w:eastAsia="黑体" w:cs="黑体"/>
          <w:b/>
          <w:bCs/>
          <w:color w:val="333333"/>
          <w:sz w:val="32"/>
          <w:szCs w:val="32"/>
          <w:shd w:val="clear" w:fill="FFFFFF"/>
          <w:lang w:val="en-US" w:eastAsia="zh-CN"/>
        </w:rPr>
      </w:pPr>
      <w:bookmarkStart w:id="14" w:name="_Toc6266"/>
      <w:r>
        <w:rPr>
          <w:rFonts w:hint="eastAsia" w:ascii="黑体" w:hAnsi="黑体" w:eastAsia="黑体" w:cs="黑体"/>
          <w:b/>
          <w:bCs/>
          <w:color w:val="333333"/>
          <w:sz w:val="32"/>
          <w:szCs w:val="32"/>
          <w:shd w:val="clear" w:fill="FFFFFF"/>
          <w:lang w:val="en-US" w:eastAsia="zh-CN"/>
        </w:rPr>
        <w:t>第三部分  2021年度部门决算情况说明</w:t>
      </w:r>
      <w:bookmarkEnd w:id="14"/>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bookmarkStart w:id="15" w:name="_Toc1533"/>
      <w:r>
        <w:rPr>
          <w:rFonts w:hint="eastAsia" w:ascii="仿宋_GB2312" w:hAnsi="仿宋_GB2312" w:eastAsia="仿宋_GB2312" w:cs="仿宋_GB2312"/>
          <w:color w:val="333333"/>
          <w:sz w:val="32"/>
          <w:szCs w:val="32"/>
          <w:shd w:val="clear" w:fill="FFFFFF"/>
          <w:lang w:val="en-US" w:eastAsia="zh-CN"/>
        </w:rPr>
        <w:t>一、收入支出决算总体情况说明</w:t>
      </w:r>
      <w:bookmarkEnd w:id="15"/>
    </w:p>
    <w:p>
      <w:pPr>
        <w:pStyle w:val="4"/>
        <w:keepNext w:val="0"/>
        <w:keepLines w:val="0"/>
        <w:widowControl/>
        <w:suppressLineNumbers w:val="0"/>
        <w:spacing w:before="0" w:beforeAutospacing="0" w:after="0" w:afterAutospacing="0" w:line="504" w:lineRule="auto"/>
        <w:ind w:left="0" w:right="0" w:firstLine="640" w:firstLineChars="200"/>
        <w:jc w:val="left"/>
        <w:outlineLvl w:val="1"/>
        <w:rPr>
          <w:rFonts w:hint="default" w:ascii="仿宋_GB2312" w:hAnsi="仿宋_GB2312" w:eastAsia="仿宋_GB2312" w:cs="仿宋_GB2312"/>
          <w:color w:val="333333"/>
          <w:sz w:val="32"/>
          <w:szCs w:val="32"/>
          <w:shd w:val="clear" w:fill="FFFFFF"/>
          <w:lang w:val="en-US" w:eastAsia="zh-CN"/>
        </w:rPr>
      </w:pPr>
      <w:bookmarkStart w:id="16" w:name="_Toc32753"/>
      <w:bookmarkStart w:id="17" w:name="_Toc5148"/>
      <w:r>
        <w:rPr>
          <w:rFonts w:hint="eastAsia" w:ascii="仿宋_GB2312" w:hAnsi="仿宋_GB2312" w:eastAsia="仿宋_GB2312" w:cs="仿宋_GB2312"/>
          <w:color w:val="333333"/>
          <w:sz w:val="32"/>
          <w:szCs w:val="32"/>
          <w:shd w:val="clear" w:fill="FFFFFF"/>
          <w:lang w:val="en-US" w:eastAsia="zh-CN"/>
        </w:rPr>
        <w:t>2021年度收入总计228.47万元、支出总计228.47万元。与上年相比，收入总计增加11.6万元，增加5.35%，支出总计增加11.6万元，增加5.35%。主要原因为人员增加，工资福利增加、公用经费增加。</w:t>
      </w:r>
      <w:bookmarkEnd w:id="16"/>
      <w:bookmarkEnd w:id="17"/>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bookmarkStart w:id="18" w:name="_Toc12364"/>
      <w:r>
        <w:rPr>
          <w:rFonts w:hint="eastAsia" w:ascii="仿宋_GB2312" w:hAnsi="仿宋_GB2312" w:eastAsia="仿宋_GB2312" w:cs="仿宋_GB2312"/>
          <w:color w:val="333333"/>
          <w:sz w:val="32"/>
          <w:szCs w:val="32"/>
          <w:shd w:val="clear" w:fill="FFFFFF"/>
          <w:lang w:val="en-US" w:eastAsia="zh-CN"/>
        </w:rPr>
        <w:t>二、收入决算情况说明</w:t>
      </w:r>
      <w:bookmarkEnd w:id="18"/>
    </w:p>
    <w:p>
      <w:pPr>
        <w:pStyle w:val="4"/>
        <w:keepNext w:val="0"/>
        <w:keepLines w:val="0"/>
        <w:widowControl/>
        <w:suppressLineNumbers w:val="0"/>
        <w:spacing w:before="0" w:beforeAutospacing="0" w:after="0" w:afterAutospacing="0" w:line="504" w:lineRule="auto"/>
        <w:ind w:left="0" w:right="0" w:firstLine="652"/>
        <w:jc w:val="both"/>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2021年收入228.47万元，其中，财政拨款收入228.47万元，占比100%；上级补助收入0万元，占比0%；事业收入0万元，占比0%；经营收入0万元，占比0%；附属单位上缴收入0万元，占比0%；其他收入0万元，占比0%；</w:t>
      </w:r>
    </w:p>
    <w:p>
      <w:pPr>
        <w:pStyle w:val="4"/>
        <w:keepNext w:val="0"/>
        <w:keepLines w:val="0"/>
        <w:widowControl/>
        <w:suppressLineNumbers w:val="0"/>
        <w:spacing w:before="0" w:beforeAutospacing="0" w:after="0" w:afterAutospacing="0" w:line="504" w:lineRule="auto"/>
        <w:ind w:left="0" w:right="0"/>
        <w:jc w:val="both"/>
        <w:outlineLvl w:val="1"/>
        <w:rPr>
          <w:rFonts w:hint="eastAsia" w:ascii="仿宋_GB2312" w:hAnsi="仿宋_GB2312" w:eastAsia="仿宋_GB2312" w:cs="仿宋_GB2312"/>
          <w:color w:val="333333"/>
          <w:sz w:val="32"/>
          <w:szCs w:val="32"/>
          <w:shd w:val="clear" w:fill="FFFFFF"/>
          <w:lang w:val="en-US" w:eastAsia="zh-CN"/>
        </w:rPr>
      </w:pPr>
      <w:bookmarkStart w:id="19" w:name="_Toc21381"/>
      <w:r>
        <w:rPr>
          <w:rFonts w:hint="eastAsia" w:ascii="仿宋_GB2312" w:hAnsi="仿宋_GB2312" w:eastAsia="仿宋_GB2312" w:cs="仿宋_GB2312"/>
          <w:color w:val="333333"/>
          <w:sz w:val="32"/>
          <w:szCs w:val="32"/>
          <w:shd w:val="clear" w:fill="FFFFFF"/>
          <w:lang w:val="en-US" w:eastAsia="zh-CN"/>
        </w:rPr>
        <w:t>三、支出决算情况说明</w:t>
      </w:r>
      <w:bookmarkEnd w:id="19"/>
    </w:p>
    <w:p>
      <w:pPr>
        <w:pStyle w:val="4"/>
        <w:keepNext w:val="0"/>
        <w:keepLines w:val="0"/>
        <w:widowControl/>
        <w:suppressLineNumbers w:val="0"/>
        <w:spacing w:before="0" w:beforeAutospacing="0" w:after="0" w:afterAutospacing="0" w:line="504" w:lineRule="auto"/>
        <w:ind w:left="0" w:right="0" w:firstLine="640"/>
        <w:jc w:val="both"/>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2021年支出合计228.47万元，其中：基本支出213.47万元，占比93.43%；项目支出15万元，占比6.57%；上缴上级支出0万元，占比0%，上缴上级支出0万元，占比0%，经营支出0万元，占比0%，对附属单位补助支出0万元，占比0%。</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bookmarkStart w:id="20" w:name="_Toc24619"/>
      <w:r>
        <w:rPr>
          <w:rFonts w:hint="eastAsia" w:ascii="仿宋_GB2312" w:hAnsi="仿宋_GB2312" w:eastAsia="仿宋_GB2312" w:cs="仿宋_GB2312"/>
          <w:color w:val="333333"/>
          <w:sz w:val="32"/>
          <w:szCs w:val="32"/>
          <w:shd w:val="clear" w:fill="FFFFFF"/>
          <w:lang w:val="en-US" w:eastAsia="zh-CN"/>
        </w:rPr>
        <w:t>四、财政拨款收入支出决算总体情况说明</w:t>
      </w:r>
      <w:bookmarkEnd w:id="20"/>
    </w:p>
    <w:p>
      <w:pPr>
        <w:pStyle w:val="4"/>
        <w:keepNext w:val="0"/>
        <w:keepLines w:val="0"/>
        <w:widowControl/>
        <w:suppressLineNumbers w:val="0"/>
        <w:spacing w:before="0" w:beforeAutospacing="0" w:after="0" w:afterAutospacing="0" w:line="504" w:lineRule="auto"/>
        <w:ind w:left="0" w:right="0" w:firstLine="640" w:firstLineChars="200"/>
        <w:jc w:val="left"/>
        <w:outlineLvl w:val="1"/>
        <w:rPr>
          <w:rFonts w:hint="default" w:ascii="仿宋_GB2312" w:hAnsi="仿宋_GB2312" w:eastAsia="仿宋_GB2312" w:cs="仿宋_GB2312"/>
          <w:color w:val="333333"/>
          <w:sz w:val="32"/>
          <w:szCs w:val="32"/>
          <w:shd w:val="clear" w:fill="FFFFFF"/>
          <w:lang w:val="en-US" w:eastAsia="zh-CN"/>
        </w:rPr>
      </w:pPr>
      <w:bookmarkStart w:id="21" w:name="_Toc23995"/>
      <w:bookmarkStart w:id="22" w:name="_Toc17908"/>
      <w:r>
        <w:rPr>
          <w:rFonts w:hint="eastAsia" w:ascii="仿宋_GB2312" w:hAnsi="仿宋_GB2312" w:eastAsia="仿宋_GB2312" w:cs="仿宋_GB2312"/>
          <w:color w:val="333333"/>
          <w:sz w:val="32"/>
          <w:szCs w:val="32"/>
          <w:shd w:val="clear" w:fill="FFFFFF"/>
          <w:lang w:val="en-US" w:eastAsia="zh-CN"/>
        </w:rPr>
        <w:t>2021年度财政拨款收入总计228.47万元，支出总计228.47万元。与上年相比，财政拨款收入总计增加11.6万元，增加5.35%，财政拨款支出总计增加11.6万元，增加5.35%。主要原因为人员增加，工资福利、公用经费增加。</w:t>
      </w:r>
      <w:bookmarkEnd w:id="21"/>
      <w:bookmarkEnd w:id="22"/>
    </w:p>
    <w:p>
      <w:pPr>
        <w:pStyle w:val="4"/>
        <w:keepNext w:val="0"/>
        <w:keepLines w:val="0"/>
        <w:widowControl/>
        <w:numPr>
          <w:ilvl w:val="0"/>
          <w:numId w:val="3"/>
        </w:numPr>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bookmarkStart w:id="23" w:name="_Toc10032"/>
      <w:r>
        <w:rPr>
          <w:rFonts w:hint="eastAsia" w:ascii="仿宋_GB2312" w:hAnsi="仿宋_GB2312" w:eastAsia="仿宋_GB2312" w:cs="仿宋_GB2312"/>
          <w:color w:val="333333"/>
          <w:sz w:val="32"/>
          <w:szCs w:val="32"/>
          <w:shd w:val="clear" w:fill="FFFFFF"/>
          <w:lang w:val="en-US" w:eastAsia="zh-CN"/>
        </w:rPr>
        <w:t>一般公共预算财政拨款支出决算情况说明</w:t>
      </w:r>
      <w:bookmarkEnd w:id="23"/>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24" w:name="_Toc15954"/>
      <w:r>
        <w:rPr>
          <w:rFonts w:hint="eastAsia" w:ascii="仿宋_GB2312" w:hAnsi="仿宋_GB2312" w:eastAsia="仿宋_GB2312" w:cs="仿宋_GB2312"/>
          <w:color w:val="333333"/>
          <w:sz w:val="32"/>
          <w:szCs w:val="32"/>
          <w:shd w:val="clear" w:fill="FFFFFF"/>
          <w:lang w:val="en-US" w:eastAsia="zh-CN"/>
        </w:rPr>
        <w:t>（一）财政拨款支出决算总体情况</w:t>
      </w:r>
      <w:bookmarkEnd w:id="24"/>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25" w:name="_Toc12448"/>
      <w:bookmarkStart w:id="26" w:name="_Toc15418"/>
      <w:r>
        <w:rPr>
          <w:rFonts w:hint="eastAsia" w:ascii="仿宋_GB2312" w:hAnsi="仿宋_GB2312" w:eastAsia="仿宋_GB2312" w:cs="仿宋_GB2312"/>
          <w:color w:val="333333"/>
          <w:sz w:val="32"/>
          <w:szCs w:val="32"/>
          <w:shd w:val="clear" w:fill="FFFFFF"/>
          <w:lang w:val="en-US" w:eastAsia="zh-CN"/>
        </w:rPr>
        <w:t>2021年财政拨款支出228.47万元，占本年支出合计的100%。与上年相比，财政拨款支出增加11.6万元，增加5.35%。主要原因为人员增加，工资福利、公用经费增加。其中：人员经费154.77万元，占比67.74%；日常公用经费73.7万元，占比32.26</w:t>
      </w:r>
      <w:bookmarkStart w:id="58" w:name="_GoBack"/>
      <w:bookmarkEnd w:id="58"/>
      <w:r>
        <w:rPr>
          <w:rFonts w:hint="eastAsia" w:ascii="仿宋_GB2312" w:hAnsi="仿宋_GB2312" w:eastAsia="仿宋_GB2312" w:cs="仿宋_GB2312"/>
          <w:color w:val="333333"/>
          <w:sz w:val="32"/>
          <w:szCs w:val="32"/>
          <w:shd w:val="clear" w:fill="FFFFFF"/>
          <w:lang w:val="en-US" w:eastAsia="zh-CN"/>
        </w:rPr>
        <w:t>%；</w:t>
      </w:r>
      <w:bookmarkEnd w:id="25"/>
      <w:bookmarkEnd w:id="26"/>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27" w:name="_Toc15370"/>
      <w:r>
        <w:rPr>
          <w:rFonts w:hint="eastAsia" w:ascii="仿宋_GB2312" w:hAnsi="仿宋_GB2312" w:eastAsia="仿宋_GB2312" w:cs="仿宋_GB2312"/>
          <w:color w:val="333333"/>
          <w:sz w:val="32"/>
          <w:szCs w:val="32"/>
          <w:shd w:val="clear" w:fill="FFFFFF"/>
          <w:lang w:val="en-US" w:eastAsia="zh-CN"/>
        </w:rPr>
        <w:t>（二）财政拨款支出决算结构情况</w:t>
      </w:r>
      <w:bookmarkEnd w:id="27"/>
    </w:p>
    <w:p>
      <w:pPr>
        <w:pStyle w:val="4"/>
        <w:keepNext w:val="0"/>
        <w:keepLines w:val="0"/>
        <w:widowControl/>
        <w:numPr>
          <w:ilvl w:val="0"/>
          <w:numId w:val="0"/>
        </w:numPr>
        <w:suppressLineNumbers w:val="0"/>
        <w:spacing w:before="0" w:beforeAutospacing="0" w:after="0" w:afterAutospacing="0" w:line="504" w:lineRule="auto"/>
        <w:ind w:right="0" w:rightChars="0" w:firstLine="640"/>
        <w:jc w:val="left"/>
        <w:outlineLvl w:val="1"/>
        <w:rPr>
          <w:rFonts w:hint="eastAsia" w:ascii="仿宋_GB2312" w:hAnsi="仿宋_GB2312" w:eastAsia="仿宋_GB2312" w:cs="仿宋_GB2312"/>
          <w:color w:val="333333"/>
          <w:sz w:val="32"/>
          <w:szCs w:val="32"/>
          <w:shd w:val="clear" w:fill="FFFFFF"/>
          <w:lang w:val="en-US" w:eastAsia="zh-CN"/>
        </w:rPr>
      </w:pPr>
      <w:bookmarkStart w:id="28" w:name="_Toc24232"/>
      <w:bookmarkStart w:id="29" w:name="_Toc5756"/>
      <w:r>
        <w:rPr>
          <w:rFonts w:hint="eastAsia" w:ascii="仿宋_GB2312" w:hAnsi="仿宋_GB2312" w:eastAsia="仿宋_GB2312" w:cs="仿宋_GB2312"/>
          <w:color w:val="333333"/>
          <w:sz w:val="32"/>
          <w:szCs w:val="32"/>
          <w:shd w:val="clear" w:fill="FFFFFF"/>
          <w:lang w:val="en-US" w:eastAsia="zh-CN"/>
        </w:rPr>
        <w:t>2021年度财政拨款支出228.47万元，主要用于以下方面：一般公共服务（类）支出191.57万元，占83.85%；社会保障和就业（类）支出15.39万元，占6.74%；卫生健康（类）支出6.59万元，占2.89%；农林水（类）支出2.64万元，占1.16%；住房保障（类）支出 9.28万元，占 4.06%；其他（类）支出3万元，占1.3%。</w:t>
      </w:r>
      <w:bookmarkEnd w:id="28"/>
      <w:bookmarkEnd w:id="29"/>
      <w:r>
        <w:rPr>
          <w:rFonts w:hint="eastAsia" w:ascii="仿宋_GB2312" w:hAnsi="仿宋_GB2312" w:eastAsia="仿宋_GB2312" w:cs="仿宋_GB2312"/>
          <w:color w:val="333333"/>
          <w:sz w:val="32"/>
          <w:szCs w:val="32"/>
          <w:shd w:val="clear" w:fill="FFFFFF"/>
          <w:lang w:val="en-US" w:eastAsia="zh-CN"/>
        </w:rPr>
        <w:t xml:space="preserve"> </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30" w:name="_Toc26116"/>
      <w:r>
        <w:rPr>
          <w:rFonts w:hint="eastAsia" w:ascii="仿宋_GB2312" w:hAnsi="仿宋_GB2312" w:eastAsia="仿宋_GB2312" w:cs="仿宋_GB2312"/>
          <w:color w:val="333333"/>
          <w:sz w:val="32"/>
          <w:szCs w:val="32"/>
          <w:shd w:val="clear" w:fill="FFFFFF"/>
          <w:lang w:val="en-US" w:eastAsia="zh-CN"/>
        </w:rPr>
        <w:t>（三）财政拨款支出决算具体情况</w:t>
      </w:r>
      <w:bookmarkEnd w:id="30"/>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31" w:name="_Toc12934"/>
      <w:bookmarkStart w:id="32" w:name="_Toc7169"/>
      <w:r>
        <w:rPr>
          <w:rFonts w:hint="eastAsia" w:ascii="仿宋_GB2312" w:hAnsi="仿宋_GB2312" w:eastAsia="仿宋_GB2312" w:cs="仿宋_GB2312"/>
          <w:color w:val="333333"/>
          <w:sz w:val="32"/>
          <w:szCs w:val="32"/>
          <w:shd w:val="clear" w:fill="FFFFFF"/>
          <w:lang w:val="en-US" w:eastAsia="zh-CN"/>
        </w:rPr>
        <w:t>2021年度财政拨款支出年初预算225.86万元，支出决算228.47万元，完成年初预算的101.15%。其中：</w:t>
      </w:r>
      <w:bookmarkEnd w:id="31"/>
      <w:bookmarkEnd w:id="32"/>
    </w:p>
    <w:p>
      <w:pPr>
        <w:pStyle w:val="4"/>
        <w:keepNext w:val="0"/>
        <w:keepLines w:val="0"/>
        <w:widowControl/>
        <w:numPr>
          <w:ilvl w:val="0"/>
          <w:numId w:val="0"/>
        </w:numPr>
        <w:suppressLineNumbers w:val="0"/>
        <w:spacing w:before="0" w:beforeAutospacing="0" w:after="0" w:afterAutospacing="0" w:line="504" w:lineRule="auto"/>
        <w:ind w:right="0" w:rightChars="0" w:firstLine="640"/>
        <w:jc w:val="left"/>
        <w:outlineLvl w:val="1"/>
        <w:rPr>
          <w:rFonts w:hint="eastAsia" w:ascii="仿宋_GB2312" w:hAnsi="仿宋_GB2312" w:eastAsia="仿宋_GB2312" w:cs="仿宋_GB2312"/>
          <w:color w:val="333333"/>
          <w:sz w:val="32"/>
          <w:szCs w:val="32"/>
          <w:shd w:val="clear" w:fill="FFFFFF"/>
          <w:lang w:val="en-US" w:eastAsia="zh-CN"/>
        </w:rPr>
      </w:pPr>
      <w:bookmarkStart w:id="33" w:name="_Toc11404"/>
      <w:bookmarkStart w:id="34" w:name="_Toc2238"/>
      <w:r>
        <w:rPr>
          <w:rFonts w:hint="eastAsia" w:ascii="仿宋_GB2312" w:hAnsi="仿宋_GB2312" w:eastAsia="仿宋_GB2312" w:cs="仿宋_GB2312"/>
          <w:color w:val="333333"/>
          <w:sz w:val="32"/>
          <w:szCs w:val="32"/>
          <w:shd w:val="clear" w:fill="FFFFFF"/>
          <w:lang w:val="en-US" w:eastAsia="zh-CN"/>
        </w:rPr>
        <w:t>一般公共服务支出年初预算188.01万元，支出决算191.57万元，用于工资福利支出、对个人和家庭补助支出、公用经费支出、项目经费支出。较上年决算增加7.5万元，增长4.07%，主要</w:t>
      </w:r>
      <w:r>
        <w:rPr>
          <w:rFonts w:hint="eastAsia" w:ascii="仿宋_GB2312" w:hAnsi="仿宋_GB2312" w:eastAsia="仿宋_GB2312" w:cs="仿宋_GB2312"/>
          <w:color w:val="333333"/>
          <w:sz w:val="32"/>
          <w:szCs w:val="32"/>
          <w:highlight w:val="none"/>
          <w:shd w:val="clear" w:fill="FFFFFF"/>
          <w:lang w:val="en-US" w:eastAsia="zh-CN"/>
        </w:rPr>
        <w:t>原因为新增3人，工资福利支出增多</w:t>
      </w:r>
      <w:bookmarkEnd w:id="33"/>
      <w:bookmarkEnd w:id="34"/>
      <w:bookmarkStart w:id="35" w:name="_Toc18919"/>
      <w:bookmarkStart w:id="36" w:name="_Toc24860"/>
      <w:r>
        <w:rPr>
          <w:rFonts w:hint="eastAsia" w:ascii="仿宋_GB2312" w:hAnsi="仿宋_GB2312" w:eastAsia="仿宋_GB2312" w:cs="仿宋_GB2312"/>
          <w:color w:val="333333"/>
          <w:sz w:val="32"/>
          <w:szCs w:val="32"/>
          <w:highlight w:val="none"/>
          <w:shd w:val="clear" w:fill="FFFFFF"/>
          <w:lang w:val="en-US" w:eastAsia="zh-CN"/>
        </w:rPr>
        <w:t>；社会保障和就业支出年初预算15.44万元，支出决算15.39万元，用于机关事业单位养老保险缴费支出。较上年决算增加3.38万元，增长28.14%，主要原因为新增3人，养老保险缴费增加</w:t>
      </w:r>
      <w:bookmarkEnd w:id="35"/>
      <w:bookmarkEnd w:id="36"/>
      <w:bookmarkStart w:id="37" w:name="_Toc17980"/>
      <w:bookmarkStart w:id="38" w:name="_Toc23598"/>
      <w:r>
        <w:rPr>
          <w:rFonts w:hint="eastAsia" w:ascii="仿宋_GB2312" w:hAnsi="仿宋_GB2312" w:eastAsia="仿宋_GB2312" w:cs="仿宋_GB2312"/>
          <w:color w:val="333333"/>
          <w:sz w:val="32"/>
          <w:szCs w:val="32"/>
          <w:highlight w:val="none"/>
          <w:shd w:val="clear" w:fill="FFFFFF"/>
          <w:lang w:val="en-US" w:eastAsia="zh-CN"/>
        </w:rPr>
        <w:t>；</w:t>
      </w:r>
      <w:r>
        <w:rPr>
          <w:rFonts w:hint="eastAsia" w:ascii="仿宋_GB2312" w:hAnsi="仿宋_GB2312" w:eastAsia="仿宋_GB2312" w:cs="仿宋_GB2312"/>
          <w:color w:val="333333"/>
          <w:sz w:val="32"/>
          <w:szCs w:val="32"/>
          <w:shd w:val="clear" w:fill="FFFFFF"/>
          <w:lang w:val="en-US" w:eastAsia="zh-CN"/>
        </w:rPr>
        <w:t>卫生健康支出年初预算6.76万元，支出决算6.59万元，用于医疗保险缴费支出。较上年决算增加1.37万元，增长26.24%，主要原因为新增3人，医疗保险费增加</w:t>
      </w:r>
      <w:bookmarkEnd w:id="37"/>
      <w:bookmarkEnd w:id="38"/>
      <w:bookmarkStart w:id="39" w:name="_Toc32426"/>
      <w:bookmarkStart w:id="40" w:name="_Toc12282"/>
      <w:r>
        <w:rPr>
          <w:rFonts w:hint="eastAsia" w:ascii="仿宋_GB2312" w:hAnsi="仿宋_GB2312" w:eastAsia="仿宋_GB2312" w:cs="仿宋_GB2312"/>
          <w:color w:val="333333"/>
          <w:sz w:val="32"/>
          <w:szCs w:val="32"/>
          <w:shd w:val="clear" w:fill="FFFFFF"/>
          <w:lang w:val="en-US" w:eastAsia="zh-CN"/>
        </w:rPr>
        <w:t>；农林水支出年初预算5.4万元，支出决算2.64万元，用于扶贫支出。较上年决算减少1.92万元，减少42.11%，主要原因为驻村工作队于2021年5月撤销，人员撤回，不再发生费用</w:t>
      </w:r>
      <w:bookmarkEnd w:id="39"/>
      <w:bookmarkEnd w:id="40"/>
      <w:bookmarkStart w:id="41" w:name="_Toc696"/>
      <w:bookmarkStart w:id="42" w:name="_Toc15250"/>
      <w:r>
        <w:rPr>
          <w:rFonts w:hint="eastAsia" w:ascii="仿宋_GB2312" w:hAnsi="仿宋_GB2312" w:eastAsia="仿宋_GB2312" w:cs="仿宋_GB2312"/>
          <w:color w:val="333333"/>
          <w:sz w:val="32"/>
          <w:szCs w:val="32"/>
          <w:shd w:val="clear" w:fill="FFFFFF"/>
          <w:lang w:val="en-US" w:eastAsia="zh-CN"/>
        </w:rPr>
        <w:t>；住房保障支出年初预算10.25万元，支出决算9.29万元，用于住房公积金缴费支出。较上年增加1.78万元，增加23.70%，主要原因为新增3人，住房公积金缴费增加</w:t>
      </w:r>
      <w:bookmarkEnd w:id="41"/>
      <w:bookmarkEnd w:id="42"/>
      <w:bookmarkStart w:id="43" w:name="_Toc14708"/>
      <w:bookmarkStart w:id="44" w:name="_Toc5638"/>
      <w:r>
        <w:rPr>
          <w:rFonts w:hint="eastAsia" w:ascii="仿宋_GB2312" w:hAnsi="仿宋_GB2312" w:eastAsia="仿宋_GB2312" w:cs="仿宋_GB2312"/>
          <w:color w:val="333333"/>
          <w:sz w:val="32"/>
          <w:szCs w:val="32"/>
          <w:shd w:val="clear" w:fill="FFFFFF"/>
          <w:lang w:val="en-US" w:eastAsia="zh-CN"/>
        </w:rPr>
        <w:t>；其他支出决算3万元，用于公用经费支出。较上年决算减少0.5万元，减少14.29%。</w:t>
      </w:r>
      <w:bookmarkEnd w:id="43"/>
      <w:bookmarkEnd w:id="44"/>
    </w:p>
    <w:p>
      <w:pPr>
        <w:pStyle w:val="4"/>
        <w:keepNext w:val="0"/>
        <w:keepLines w:val="0"/>
        <w:widowControl/>
        <w:numPr>
          <w:ilvl w:val="0"/>
          <w:numId w:val="3"/>
        </w:numPr>
        <w:suppressLineNumbers w:val="0"/>
        <w:spacing w:before="0" w:beforeAutospacing="0" w:after="0" w:afterAutospacing="0" w:line="504" w:lineRule="auto"/>
        <w:ind w:left="0" w:leftChars="0" w:right="0" w:rightChars="0" w:firstLine="0" w:firstLineChars="0"/>
        <w:jc w:val="left"/>
        <w:outlineLvl w:val="1"/>
        <w:rPr>
          <w:rFonts w:hint="eastAsia" w:ascii="仿宋_GB2312" w:hAnsi="仿宋_GB2312" w:eastAsia="仿宋_GB2312" w:cs="仿宋_GB2312"/>
          <w:color w:val="333333"/>
          <w:sz w:val="32"/>
          <w:szCs w:val="32"/>
          <w:shd w:val="clear" w:fill="FFFFFF"/>
          <w:lang w:val="en-US" w:eastAsia="zh-CN"/>
        </w:rPr>
      </w:pPr>
      <w:bookmarkStart w:id="45" w:name="_Toc31984"/>
      <w:r>
        <w:rPr>
          <w:rFonts w:hint="eastAsia" w:ascii="仿宋_GB2312" w:hAnsi="仿宋_GB2312" w:eastAsia="仿宋_GB2312" w:cs="仿宋_GB2312"/>
          <w:color w:val="333333"/>
          <w:sz w:val="32"/>
          <w:szCs w:val="32"/>
          <w:shd w:val="clear" w:fill="FFFFFF"/>
          <w:lang w:val="en-US" w:eastAsia="zh-CN"/>
        </w:rPr>
        <w:t>一般公共预算财政拨款基本支出决算情况说明</w:t>
      </w:r>
      <w:bookmarkEnd w:id="45"/>
    </w:p>
    <w:p>
      <w:pPr>
        <w:pStyle w:val="4"/>
        <w:keepNext w:val="0"/>
        <w:keepLines w:val="0"/>
        <w:widowControl/>
        <w:suppressLineNumbers w:val="0"/>
        <w:spacing w:before="0" w:beforeAutospacing="0" w:after="0" w:afterAutospacing="0" w:line="504" w:lineRule="auto"/>
        <w:ind w:right="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2021年度财政拨款基本支出228.47万元，其中：人员经费154.77万元，主要包括</w:t>
      </w:r>
      <w:r>
        <w:rPr>
          <w:rFonts w:hint="eastAsia" w:ascii="仿宋_GB2312" w:hAnsi="仿宋_GB2312" w:eastAsia="仿宋_GB2312" w:cs="仿宋_GB2312"/>
          <w:color w:val="333333"/>
          <w:sz w:val="32"/>
          <w:szCs w:val="32"/>
          <w:highlight w:val="none"/>
          <w:shd w:val="clear" w:fill="FFFFFF"/>
          <w:lang w:val="en-US" w:eastAsia="zh-CN"/>
        </w:rPr>
        <w:t>基本工资、津贴补贴、奖金、绩效工资、机关事业单位基本养老保险缴费、 城镇职工基本医疗保险缴费、其他社会保障缴费、住房公积金、退休费、奖励金、其他对个人和家庭的补助；公用经费73.7万元，主要包括办公费、印刷费、邮电费、差旅费、维修（护）费、会议费、培训费、工会经费、福利费、公务用车维护费、其他交通费用、办公设备购置、其他商品和服务支出等。</w:t>
      </w:r>
    </w:p>
    <w:p>
      <w:pPr>
        <w:pStyle w:val="4"/>
        <w:keepNext w:val="0"/>
        <w:keepLines w:val="0"/>
        <w:widowControl/>
        <w:numPr>
          <w:ilvl w:val="0"/>
          <w:numId w:val="3"/>
        </w:numPr>
        <w:suppressLineNumbers w:val="0"/>
        <w:spacing w:before="0" w:beforeAutospacing="0" w:after="0" w:afterAutospacing="0" w:line="504" w:lineRule="auto"/>
        <w:ind w:left="0" w:leftChars="0" w:right="0" w:firstLine="0" w:firstLineChars="0"/>
        <w:jc w:val="left"/>
        <w:outlineLvl w:val="1"/>
        <w:rPr>
          <w:rFonts w:hint="eastAsia" w:ascii="仿宋_GB2312" w:hAnsi="仿宋_GB2312" w:eastAsia="仿宋_GB2312" w:cs="仿宋_GB2312"/>
          <w:color w:val="333333"/>
          <w:sz w:val="32"/>
          <w:szCs w:val="32"/>
          <w:highlight w:val="none"/>
          <w:shd w:val="clear" w:fill="FFFFFF"/>
          <w:lang w:val="en-US" w:eastAsia="zh-CN"/>
        </w:rPr>
      </w:pPr>
      <w:bookmarkStart w:id="46" w:name="_Toc10821"/>
      <w:r>
        <w:rPr>
          <w:rFonts w:hint="eastAsia" w:ascii="仿宋_GB2312" w:hAnsi="仿宋_GB2312" w:eastAsia="仿宋_GB2312" w:cs="仿宋_GB2312"/>
          <w:color w:val="333333"/>
          <w:sz w:val="32"/>
          <w:szCs w:val="32"/>
          <w:highlight w:val="none"/>
          <w:shd w:val="clear" w:fill="FFFFFF"/>
          <w:lang w:val="en-US" w:eastAsia="zh-CN"/>
        </w:rPr>
        <w:t>一般公共预算财政拨款“三公”经费支出决算情况说明</w:t>
      </w:r>
      <w:bookmarkEnd w:id="46"/>
    </w:p>
    <w:p>
      <w:pPr>
        <w:pStyle w:val="4"/>
        <w:keepNext w:val="0"/>
        <w:keepLines w:val="0"/>
        <w:widowControl/>
        <w:numPr>
          <w:ilvl w:val="0"/>
          <w:numId w:val="4"/>
        </w:numPr>
        <w:suppressLineNumbers w:val="0"/>
        <w:spacing w:before="0" w:beforeAutospacing="0" w:after="0" w:afterAutospacing="0" w:line="504" w:lineRule="auto"/>
        <w:ind w:left="640" w:leftChars="0" w:right="0" w:rightChars="0" w:firstLine="0" w:firstLineChars="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“三公”经费财政拨款支出决算总体情况说明。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2021年度“三公”经费财政拨款支出预算3万元，支出决算2.99万元，完成预算的99.67%，比上年增加0.02万元，与上年基本持平。我单位认真贯彻落实中央“八项规定”精神和厉行节约要求，从严控制“三公”经费开支。 </w:t>
      </w:r>
    </w:p>
    <w:p>
      <w:pPr>
        <w:pStyle w:val="4"/>
        <w:keepNext w:val="0"/>
        <w:keepLines w:val="0"/>
        <w:widowControl/>
        <w:numPr>
          <w:ilvl w:val="0"/>
          <w:numId w:val="4"/>
        </w:numPr>
        <w:suppressLineNumbers w:val="0"/>
        <w:spacing w:before="0" w:beforeAutospacing="0" w:after="0" w:afterAutospacing="0" w:line="504" w:lineRule="auto"/>
        <w:ind w:left="640" w:leftChars="0" w:right="0" w:rightChars="0" w:firstLine="0" w:firstLineChars="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“三公”经费财政拨款支出决算具体情况说明。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2021年“三公”经费公务用车预算数3万元，决算数2.99万元，将上年增加0.02万元，与上年基本持平，全年公务用车购置为0元，年末公务用车保有量为1辆。</w:t>
      </w:r>
    </w:p>
    <w:p>
      <w:pPr>
        <w:pStyle w:val="4"/>
        <w:keepNext w:val="0"/>
        <w:keepLines w:val="0"/>
        <w:widowControl/>
        <w:numPr>
          <w:ilvl w:val="0"/>
          <w:numId w:val="0"/>
        </w:numPr>
        <w:suppressLineNumbers w:val="0"/>
        <w:spacing w:before="0" w:beforeAutospacing="0" w:after="0" w:afterAutospacing="0" w:line="504" w:lineRule="auto"/>
        <w:ind w:right="0" w:rightChars="0" w:firstLine="64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2021年无因公出国（境）及公务接待费用。</w:t>
      </w:r>
    </w:p>
    <w:p>
      <w:pPr>
        <w:pStyle w:val="4"/>
        <w:keepNext w:val="0"/>
        <w:keepLines w:val="0"/>
        <w:widowControl/>
        <w:numPr>
          <w:ilvl w:val="0"/>
          <w:numId w:val="3"/>
        </w:numPr>
        <w:suppressLineNumbers w:val="0"/>
        <w:spacing w:before="0" w:beforeAutospacing="0" w:after="0" w:afterAutospacing="0" w:line="504" w:lineRule="auto"/>
        <w:ind w:left="0" w:leftChars="0" w:right="0" w:rightChars="0" w:firstLine="0" w:firstLineChars="0"/>
        <w:jc w:val="left"/>
        <w:outlineLvl w:val="1"/>
        <w:rPr>
          <w:rFonts w:hint="eastAsia" w:ascii="仿宋_GB2312" w:hAnsi="仿宋_GB2312" w:eastAsia="仿宋_GB2312" w:cs="仿宋_GB2312"/>
          <w:color w:val="333333"/>
          <w:sz w:val="32"/>
          <w:szCs w:val="32"/>
          <w:highlight w:val="none"/>
          <w:shd w:val="clear" w:fill="FFFFFF"/>
          <w:lang w:val="en-US" w:eastAsia="zh-CN"/>
        </w:rPr>
      </w:pPr>
      <w:bookmarkStart w:id="47" w:name="_Toc27993"/>
      <w:r>
        <w:rPr>
          <w:rFonts w:hint="eastAsia" w:ascii="仿宋_GB2312" w:hAnsi="仿宋_GB2312" w:eastAsia="仿宋_GB2312" w:cs="仿宋_GB2312"/>
          <w:color w:val="333333"/>
          <w:sz w:val="32"/>
          <w:szCs w:val="32"/>
          <w:highlight w:val="none"/>
          <w:shd w:val="clear" w:fill="FFFFFF"/>
          <w:lang w:val="en-US" w:eastAsia="zh-CN"/>
        </w:rPr>
        <w:t>其他重要事项情况说明</w:t>
      </w:r>
      <w:bookmarkEnd w:id="47"/>
    </w:p>
    <w:p>
      <w:pPr>
        <w:pStyle w:val="4"/>
        <w:keepNext w:val="0"/>
        <w:keepLines w:val="0"/>
        <w:widowControl/>
        <w:numPr>
          <w:ilvl w:val="0"/>
          <w:numId w:val="5"/>
        </w:numPr>
        <w:suppressLineNumbers w:val="0"/>
        <w:spacing w:before="0" w:beforeAutospacing="0" w:after="0" w:afterAutospacing="0" w:line="504" w:lineRule="auto"/>
        <w:ind w:left="640" w:leftChars="0" w:right="0" w:rightChars="0" w:firstLine="0" w:firstLineChars="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机关运行经费支出情况说明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default"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2021年机关运行经费支出58.7万元，较上年增加22.58万元，增长62.51%。主要原因是增人增资，工资福利费用、办公经费等增加。</w:t>
      </w:r>
    </w:p>
    <w:p>
      <w:pPr>
        <w:pStyle w:val="4"/>
        <w:keepNext w:val="0"/>
        <w:keepLines w:val="0"/>
        <w:widowControl/>
        <w:numPr>
          <w:ilvl w:val="0"/>
          <w:numId w:val="5"/>
        </w:numPr>
        <w:suppressLineNumbers w:val="0"/>
        <w:spacing w:before="0" w:beforeAutospacing="0" w:after="0" w:afterAutospacing="0" w:line="504" w:lineRule="auto"/>
        <w:ind w:left="640" w:leftChars="0" w:right="0" w:rightChars="0" w:firstLine="0" w:firstLineChars="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政府采购情况说明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2021年度政府采购支出总额11.01万元，其中：政府采购货物支出0.81万元、政府采购服务支出10.2万元。政府采购授予中小企业合同金额11.01万元，占政府采购支出总额的100%。其中：授予小微企业合同金额11.01万元，占政府采购支出总额的100%。</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（三）国有资产占用情况说明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截至2021年12月31日，本部门共有车辆1辆。其中，其他用车1辆，其他用车主要是用于外事接待。本部门无50万元（含）以上的通用设备，本部门无100万元（含）以上的专用设备。现有资产总额22.21万元。按资产大类分，主要分为通用设备9.24万元；家具用具11.64万元；无形资产1.33万元 。</w:t>
      </w:r>
    </w:p>
    <w:p>
      <w:pPr>
        <w:pStyle w:val="4"/>
        <w:keepNext w:val="0"/>
        <w:keepLines w:val="0"/>
        <w:widowControl/>
        <w:numPr>
          <w:ilvl w:val="0"/>
          <w:numId w:val="0"/>
        </w:numPr>
        <w:suppressLineNumbers w:val="0"/>
        <w:spacing w:before="0" w:beforeAutospacing="0" w:after="0" w:afterAutospacing="0" w:line="504" w:lineRule="auto"/>
        <w:ind w:right="0" w:rightChars="0" w:firstLine="640" w:firstLineChars="20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（四）预算绩效情况说明</w:t>
      </w:r>
    </w:p>
    <w:p>
      <w:pPr>
        <w:pStyle w:val="4"/>
        <w:keepNext w:val="0"/>
        <w:keepLines w:val="0"/>
        <w:widowControl/>
        <w:numPr>
          <w:ilvl w:val="0"/>
          <w:numId w:val="0"/>
        </w:numPr>
        <w:suppressLineNumbers w:val="0"/>
        <w:spacing w:before="0" w:beforeAutospacing="0" w:after="0" w:afterAutospacing="0" w:line="504" w:lineRule="auto"/>
        <w:ind w:right="0" w:rightChars="0" w:firstLine="640"/>
        <w:jc w:val="left"/>
        <w:rPr>
          <w:rFonts w:hint="eastAsia" w:ascii="仿宋_GB2312" w:hAnsi="仿宋_GB2312" w:eastAsia="仿宋_GB2312" w:cs="仿宋_GB2312"/>
          <w:color w:val="333333"/>
          <w:sz w:val="32"/>
          <w:szCs w:val="32"/>
          <w:highlight w:val="none"/>
          <w:shd w:val="clear" w:fill="FFFFFF"/>
          <w:lang w:val="en-US" w:eastAsia="zh-CN"/>
        </w:rPr>
      </w:pPr>
      <w:r>
        <w:rPr>
          <w:rFonts w:hint="eastAsia" w:ascii="仿宋_GB2312" w:hAnsi="仿宋_GB2312" w:eastAsia="仿宋_GB2312" w:cs="仿宋_GB2312"/>
          <w:color w:val="333333"/>
          <w:sz w:val="32"/>
          <w:szCs w:val="32"/>
          <w:highlight w:val="none"/>
          <w:shd w:val="clear" w:fill="FFFFFF"/>
          <w:lang w:val="en-US" w:eastAsia="zh-CN"/>
        </w:rPr>
        <w:t>（1）预算绩效管理工作开展情况。根据预算绩效管理要求，我部门组织对“外事台港澳事务经费”、“外事网站维护费”2个项目开展了绩效自评，涉及预算资金15万元，占一般公共预算项目支出总额的100%。从评价情况来看，综合考虑预算执行情况、产出、效益、服务对象满意度各方面因素，通过数据采集分析，最终取得良好成绩。组织对2021年度单位开展整体绩效自评，涉及一般公共预算支出228.47万元，从评价情况来看，各项工作全部完成年初目标，取得良好成绩。</w:t>
      </w:r>
    </w:p>
    <w:p>
      <w:pPr>
        <w:pStyle w:val="4"/>
        <w:keepNext w:val="0"/>
        <w:keepLines w:val="0"/>
        <w:widowControl/>
        <w:suppressLineNumbers w:val="0"/>
        <w:spacing w:before="0" w:beforeAutospacing="0" w:after="0" w:afterAutospacing="0" w:line="504" w:lineRule="auto"/>
        <w:ind w:left="0"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48" w:name="_Toc27542"/>
      <w:bookmarkStart w:id="49" w:name="_Toc242"/>
      <w:r>
        <w:rPr>
          <w:rFonts w:hint="eastAsia" w:ascii="仿宋_GB2312" w:hAnsi="仿宋_GB2312" w:eastAsia="仿宋_GB2312" w:cs="仿宋_GB2312"/>
          <w:color w:val="333333"/>
          <w:sz w:val="32"/>
          <w:szCs w:val="32"/>
          <w:shd w:val="clear" w:fill="FFFFFF"/>
          <w:lang w:val="en-US" w:eastAsia="zh-CN"/>
        </w:rPr>
        <w:t>（2）部门决算中项目绩效自评结果</w:t>
      </w:r>
      <w:bookmarkEnd w:id="48"/>
      <w:bookmarkEnd w:id="49"/>
    </w:p>
    <w:p>
      <w:pPr>
        <w:pStyle w:val="4"/>
        <w:keepNext w:val="0"/>
        <w:keepLines w:val="0"/>
        <w:widowControl/>
        <w:suppressLineNumbers w:val="0"/>
        <w:spacing w:before="0" w:beforeAutospacing="0" w:after="0" w:afterAutospacing="0" w:line="504" w:lineRule="auto"/>
        <w:ind w:left="0"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50" w:name="_Toc27567"/>
      <w:bookmarkStart w:id="51" w:name="_Toc24675"/>
      <w:r>
        <w:rPr>
          <w:rFonts w:hint="eastAsia" w:ascii="仿宋_GB2312" w:hAnsi="仿宋_GB2312" w:eastAsia="仿宋_GB2312" w:cs="仿宋_GB2312"/>
          <w:color w:val="333333"/>
          <w:sz w:val="32"/>
          <w:szCs w:val="32"/>
          <w:shd w:val="clear" w:fill="FFFFFF"/>
          <w:lang w:val="en-US" w:eastAsia="zh-CN"/>
        </w:rPr>
        <w:t>外事台港澳事务经费项目绩效自评综述：根据年初设定的绩效目标，项目自评得分为87.64分。全年预算数为10万元，执行数为10万元，完成预算的100%。项目绩效目标完成情况：一是及时完成目标任务；二是严格遵守预算目标设定，有效发挥资金使用效益。发现的问题及原因：一是宣传效果不理想，主要原因受疫情影响，来忻人员减少。下一步改进措施：多方位、多渠道改进工作方式方法，加大宣传力度。</w:t>
      </w:r>
      <w:bookmarkEnd w:id="50"/>
      <w:bookmarkEnd w:id="51"/>
    </w:p>
    <w:p>
      <w:pPr>
        <w:pStyle w:val="4"/>
        <w:keepNext w:val="0"/>
        <w:keepLines w:val="0"/>
        <w:widowControl/>
        <w:suppressLineNumbers w:val="0"/>
        <w:spacing w:before="0" w:beforeAutospacing="0" w:after="0" w:afterAutospacing="0" w:line="504" w:lineRule="auto"/>
        <w:ind w:left="0"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52" w:name="_Toc19567"/>
      <w:bookmarkStart w:id="53" w:name="_Toc8603"/>
      <w:r>
        <w:rPr>
          <w:rFonts w:hint="eastAsia" w:ascii="仿宋_GB2312" w:hAnsi="仿宋_GB2312" w:eastAsia="仿宋_GB2312" w:cs="仿宋_GB2312"/>
          <w:color w:val="333333"/>
          <w:sz w:val="32"/>
          <w:szCs w:val="32"/>
          <w:shd w:val="clear" w:fill="FFFFFF"/>
          <w:lang w:val="en-US" w:eastAsia="zh-CN"/>
        </w:rPr>
        <w:t>外事网站维护费项目绩效自评综述：根据年初设定的绩效目标，项目自评得分为87.98分。全年预算数为5万元，执行数为5万元，完成预算的100%。项目绩效目标完成情况：有效保障了外事网站系统的正常运行；发现的问题及原因：维护次数较少。下一步改进措施:及时检查系统是否正常，增加维护次数。</w:t>
      </w:r>
      <w:bookmarkEnd w:id="52"/>
      <w:bookmarkEnd w:id="53"/>
    </w:p>
    <w:p>
      <w:pPr>
        <w:pStyle w:val="4"/>
        <w:keepNext w:val="0"/>
        <w:keepLines w:val="0"/>
        <w:widowControl/>
        <w:suppressLineNumbers w:val="0"/>
        <w:spacing w:before="0" w:beforeAutospacing="0" w:after="0" w:afterAutospacing="0" w:line="504" w:lineRule="auto"/>
        <w:ind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（3）部门评价项目绩效评价结果。（绩效评价报告见附件）</w:t>
      </w:r>
    </w:p>
    <w:p>
      <w:pPr>
        <w:pStyle w:val="4"/>
        <w:keepNext w:val="0"/>
        <w:keepLines w:val="0"/>
        <w:widowControl/>
        <w:suppressLineNumbers w:val="0"/>
        <w:spacing w:before="0" w:beforeAutospacing="0" w:after="0" w:afterAutospacing="0" w:line="504" w:lineRule="auto"/>
        <w:ind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部门整体支出绩效目标综合考虑产出、效益、服务对象满意度各方面因素，通过数据采集及分析，最终评分结果：整体支出绩效自评价结果为:“良好”。 </w:t>
      </w:r>
    </w:p>
    <w:p>
      <w:pPr>
        <w:pStyle w:val="4"/>
        <w:keepNext w:val="0"/>
        <w:keepLines w:val="0"/>
        <w:widowControl/>
        <w:suppressLineNumbers w:val="0"/>
        <w:spacing w:before="0" w:beforeAutospacing="0" w:after="0" w:afterAutospacing="0" w:line="504" w:lineRule="auto"/>
        <w:ind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项目绩效综合考虑预算执行情况、产出、效益、服务对象满意度各方面因素，通过数据采集及分析，最终评分结果：外事台港澳事务经费、外事网站维护费项目绩效自评价结果均为:“良好”。</w:t>
      </w:r>
    </w:p>
    <w:p>
      <w:pPr>
        <w:pStyle w:val="4"/>
        <w:keepNext w:val="0"/>
        <w:keepLines w:val="0"/>
        <w:widowControl/>
        <w:suppressLineNumbers w:val="0"/>
        <w:spacing w:before="0" w:beforeAutospacing="0" w:after="0" w:afterAutospacing="0" w:line="504" w:lineRule="auto"/>
        <w:ind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54" w:name="_Toc28166"/>
      <w:bookmarkStart w:id="55" w:name="_Toc6073"/>
      <w:r>
        <w:rPr>
          <w:rFonts w:hint="eastAsia" w:ascii="仿宋_GB2312" w:hAnsi="仿宋_GB2312" w:eastAsia="仿宋_GB2312" w:cs="仿宋_GB2312"/>
          <w:color w:val="333333"/>
          <w:sz w:val="32"/>
          <w:szCs w:val="32"/>
          <w:shd w:val="clear" w:fill="FFFFFF"/>
          <w:lang w:val="en-US" w:eastAsia="zh-CN"/>
        </w:rPr>
        <w:t>（五)其他需要说明的事项</w:t>
      </w:r>
      <w:bookmarkEnd w:id="54"/>
      <w:bookmarkEnd w:id="55"/>
    </w:p>
    <w:p>
      <w:pPr>
        <w:pStyle w:val="4"/>
        <w:keepNext w:val="0"/>
        <w:keepLines w:val="0"/>
        <w:widowControl/>
        <w:suppressLineNumbers w:val="0"/>
        <w:spacing w:before="0" w:beforeAutospacing="0" w:after="0" w:afterAutospacing="0" w:line="504" w:lineRule="auto"/>
        <w:ind w:right="0" w:firstLine="640" w:firstLineChars="200"/>
        <w:jc w:val="left"/>
        <w:outlineLvl w:val="1"/>
        <w:rPr>
          <w:rFonts w:hint="eastAsia" w:ascii="仿宋_GB2312" w:hAnsi="仿宋_GB2312" w:eastAsia="仿宋_GB2312" w:cs="仿宋_GB2312"/>
          <w:color w:val="333333"/>
          <w:sz w:val="32"/>
          <w:szCs w:val="32"/>
          <w:shd w:val="clear" w:fill="FFFFFF"/>
          <w:lang w:val="en-US" w:eastAsia="zh-CN"/>
        </w:rPr>
      </w:pPr>
      <w:bookmarkStart w:id="56" w:name="_Toc18091"/>
      <w:r>
        <w:rPr>
          <w:rFonts w:hint="eastAsia" w:ascii="仿宋_GB2312" w:hAnsi="仿宋_GB2312" w:eastAsia="仿宋_GB2312" w:cs="仿宋_GB2312"/>
          <w:color w:val="333333"/>
          <w:sz w:val="32"/>
          <w:szCs w:val="32"/>
          <w:shd w:val="clear" w:fill="FFFFFF"/>
          <w:lang w:val="en-US" w:eastAsia="zh-CN"/>
        </w:rPr>
        <w:t>本部门无其他需要说明的事项</w:t>
      </w:r>
    </w:p>
    <w:p>
      <w:pPr>
        <w:pStyle w:val="4"/>
        <w:keepNext w:val="0"/>
        <w:keepLines w:val="0"/>
        <w:widowControl/>
        <w:numPr>
          <w:ilvl w:val="0"/>
          <w:numId w:val="0"/>
        </w:numPr>
        <w:suppressLineNumbers w:val="0"/>
        <w:spacing w:before="0" w:beforeAutospacing="0" w:after="0" w:afterAutospacing="0" w:line="504" w:lineRule="auto"/>
        <w:ind w:right="0" w:rightChars="0"/>
        <w:jc w:val="left"/>
        <w:outlineLvl w:val="0"/>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第四部分  名词解释</w:t>
      </w:r>
      <w:bookmarkEnd w:id="56"/>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四、机关运行经费：指行政单位和参照公务员管理的事业单位使用一般公共预算安排的基本支出中的日常公用经费支出。</w:t>
      </w:r>
    </w:p>
    <w:p>
      <w:pPr>
        <w:pStyle w:val="4"/>
        <w:keepNext w:val="0"/>
        <w:keepLines w:val="0"/>
        <w:widowControl/>
        <w:suppressLineNumbers w:val="0"/>
        <w:spacing w:before="0" w:beforeAutospacing="0" w:after="0" w:afterAutospacing="0" w:line="504" w:lineRule="auto"/>
        <w:ind w:left="0" w:right="0" w:firstLine="640"/>
        <w:jc w:val="left"/>
        <w:outlineLvl w:val="1"/>
        <w:rPr>
          <w:rFonts w:hint="eastAsia" w:ascii="仿宋_GB2312" w:hAnsi="仿宋_GB2312" w:eastAsia="仿宋_GB2312" w:cs="仿宋_GB2312"/>
          <w:color w:val="333333"/>
          <w:sz w:val="32"/>
          <w:szCs w:val="32"/>
          <w:shd w:val="clear" w:fill="FFFFFF"/>
          <w:lang w:val="en-US" w:eastAsia="zh-CN"/>
        </w:rPr>
      </w:pPr>
      <w:bookmarkStart w:id="57" w:name="_Toc10994"/>
      <w:r>
        <w:rPr>
          <w:rFonts w:hint="eastAsia" w:ascii="仿宋_GB2312" w:hAnsi="仿宋_GB2312" w:eastAsia="仿宋_GB2312" w:cs="仿宋_GB2312"/>
          <w:color w:val="333333"/>
          <w:sz w:val="32"/>
          <w:szCs w:val="32"/>
          <w:shd w:val="clear" w:fill="FFFFFF"/>
          <w:lang w:val="en-US" w:eastAsia="zh-CN"/>
        </w:rPr>
        <w:t>五、财政拨款收入：指单位从同级财政部分取得的财政预算资金。</w:t>
      </w:r>
      <w:bookmarkEnd w:id="57"/>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六、年初结转结余：指单位以前年度尚未完成、结转到本年仍按原规定用途继续使用的资金，或项目已完成等产生的结余资金。</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七、结余分配：指事业单位按照会计制度规定缴纳的所得税、提取的专用结余以及转入非财政拨款结余的金额等。</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八、年末结转和结余：指单位按有关规定结转到下年或以后年度继续使用的资金，或项目已完成等产生的结余资金。</w:t>
      </w:r>
    </w:p>
    <w:p>
      <w:pPr>
        <w:pStyle w:val="4"/>
        <w:keepNext w:val="0"/>
        <w:keepLines w:val="0"/>
        <w:widowControl/>
        <w:numPr>
          <w:ilvl w:val="0"/>
          <w:numId w:val="0"/>
        </w:numPr>
        <w:suppressLineNumbers w:val="0"/>
        <w:spacing w:before="0" w:beforeAutospacing="0" w:after="0" w:afterAutospacing="0" w:line="504" w:lineRule="auto"/>
        <w:ind w:right="0" w:rightChars="0"/>
        <w:jc w:val="left"/>
        <w:outlineLvl w:val="0"/>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第五部分  附件</w:t>
      </w:r>
    </w:p>
    <w:p>
      <w:pPr>
        <w:pStyle w:val="4"/>
        <w:keepNext w:val="0"/>
        <w:keepLines w:val="0"/>
        <w:widowControl/>
        <w:suppressLineNumbers w:val="0"/>
        <w:spacing w:before="0" w:beforeAutospacing="0" w:after="0" w:afterAutospacing="0" w:line="504" w:lineRule="auto"/>
        <w:ind w:left="0" w:right="0"/>
        <w:rPr>
          <w:color w:val="333333"/>
          <w:sz w:val="24"/>
          <w:szCs w:val="24"/>
        </w:rPr>
      </w:pPr>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C0FDB"/>
    <w:multiLevelType w:val="singleLevel"/>
    <w:tmpl w:val="8AEC0FDB"/>
    <w:lvl w:ilvl="0" w:tentative="0">
      <w:start w:val="5"/>
      <w:numFmt w:val="chineseCounting"/>
      <w:suff w:val="nothing"/>
      <w:lvlText w:val="%1、"/>
      <w:lvlJc w:val="left"/>
      <w:rPr>
        <w:rFonts w:hint="eastAsia"/>
      </w:rPr>
    </w:lvl>
  </w:abstractNum>
  <w:abstractNum w:abstractNumId="1">
    <w:nsid w:val="BCBAC215"/>
    <w:multiLevelType w:val="singleLevel"/>
    <w:tmpl w:val="BCBAC215"/>
    <w:lvl w:ilvl="0" w:tentative="0">
      <w:start w:val="1"/>
      <w:numFmt w:val="chineseCounting"/>
      <w:suff w:val="nothing"/>
      <w:lvlText w:val="%1、"/>
      <w:lvlJc w:val="left"/>
      <w:pPr>
        <w:ind w:left="642" w:leftChars="0" w:firstLine="0" w:firstLineChars="0"/>
      </w:pPr>
      <w:rPr>
        <w:rFonts w:hint="eastAsia"/>
      </w:rPr>
    </w:lvl>
  </w:abstractNum>
  <w:abstractNum w:abstractNumId="2">
    <w:nsid w:val="0AEDA764"/>
    <w:multiLevelType w:val="singleLevel"/>
    <w:tmpl w:val="0AEDA764"/>
    <w:lvl w:ilvl="0" w:tentative="0">
      <w:start w:val="2"/>
      <w:numFmt w:val="chineseCounting"/>
      <w:suff w:val="space"/>
      <w:lvlText w:val="第%1部分"/>
      <w:lvlJc w:val="left"/>
      <w:rPr>
        <w:rFonts w:hint="eastAsia"/>
      </w:rPr>
    </w:lvl>
  </w:abstractNum>
  <w:abstractNum w:abstractNumId="3">
    <w:nsid w:val="14309EBD"/>
    <w:multiLevelType w:val="singleLevel"/>
    <w:tmpl w:val="14309EBD"/>
    <w:lvl w:ilvl="0" w:tentative="0">
      <w:start w:val="1"/>
      <w:numFmt w:val="chineseCounting"/>
      <w:suff w:val="nothing"/>
      <w:lvlText w:val="（%1）"/>
      <w:lvlJc w:val="left"/>
      <w:pPr>
        <w:ind w:left="640" w:leftChars="0" w:firstLine="0" w:firstLineChars="0"/>
      </w:pPr>
      <w:rPr>
        <w:rFonts w:hint="eastAsia"/>
      </w:rPr>
    </w:lvl>
  </w:abstractNum>
  <w:abstractNum w:abstractNumId="4">
    <w:nsid w:val="5A6A3294"/>
    <w:multiLevelType w:val="singleLevel"/>
    <w:tmpl w:val="5A6A3294"/>
    <w:lvl w:ilvl="0" w:tentative="0">
      <w:start w:val="1"/>
      <w:numFmt w:val="chineseCounting"/>
      <w:suff w:val="nothing"/>
      <w:lvlText w:val="（%1）"/>
      <w:lvlJc w:val="left"/>
      <w:pPr>
        <w:ind w:left="640" w:leftChars="0" w:firstLine="0" w:firstLineChars="0"/>
      </w:pPr>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Nzg3MjkxZmMwNmUwYThmODk0NzA0NGRkOGMwYmQifQ=="/>
  </w:docVars>
  <w:rsids>
    <w:rsidRoot w:val="00000000"/>
    <w:rsid w:val="0049471F"/>
    <w:rsid w:val="25B81BE5"/>
    <w:rsid w:val="281B0618"/>
    <w:rsid w:val="2DED4FF1"/>
    <w:rsid w:val="419D4ED4"/>
    <w:rsid w:val="492C3596"/>
    <w:rsid w:val="4DED630E"/>
    <w:rsid w:val="52B34052"/>
    <w:rsid w:val="53BF5AF7"/>
    <w:rsid w:val="54AD3780"/>
    <w:rsid w:val="55730CE2"/>
    <w:rsid w:val="6A9C1B9C"/>
    <w:rsid w:val="6D8F51EC"/>
    <w:rsid w:val="6DB74CD6"/>
    <w:rsid w:val="7756577A"/>
    <w:rsid w:val="7C35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toc 2"/>
    <w:basedOn w:val="1"/>
    <w:next w:val="1"/>
    <w:uiPriority w:val="0"/>
    <w:pPr>
      <w:ind w:left="420" w:leftChars="200"/>
    </w:pPr>
  </w:style>
  <w:style w:type="paragraph" w:styleId="4">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owl-numbers"/>
    <w:basedOn w:val="6"/>
    <w:qFormat/>
    <w:uiPriority w:val="0"/>
    <w:rPr>
      <w:color w:val="FFFFFF"/>
      <w:sz w:val="18"/>
      <w:szCs w:val="18"/>
    </w:rPr>
  </w:style>
  <w:style w:type="paragraph" w:customStyle="1" w:styleId="10">
    <w:name w:val="WPSOffice手动目录 1"/>
    <w:uiPriority w:val="0"/>
    <w:pPr>
      <w:ind w:leftChars="0"/>
    </w:pPr>
    <w:rPr>
      <w:rFonts w:ascii="Calibri" w:hAnsi="Calibri" w:eastAsia="宋体" w:cs="Times New Roman"/>
      <w:sz w:val="20"/>
      <w:szCs w:val="20"/>
    </w:rPr>
  </w:style>
  <w:style w:type="paragraph" w:customStyle="1" w:styleId="11">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4799</Words>
  <Characters>5243</Characters>
  <Lines>0</Lines>
  <Paragraphs>0</Paragraphs>
  <TotalTime>56</TotalTime>
  <ScaleCrop>false</ScaleCrop>
  <LinksUpToDate>false</LinksUpToDate>
  <CharactersWithSpaces>5376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2020-08-14T03:00:00Z</dcterms:created>
  <dc:creator>lenovo</dc:creator>
  <cp:lastModifiedBy>lenovo</cp:lastModifiedBy>
  <cp:lastPrinted>2021-09-10T07:47:00Z</cp:lastPrinted>
  <dcterms:modified xsi:type="dcterms:W3CDTF">2022-09-22T02:57:59Z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472F7F62DB034897981BC928A65FF2B8</vt:lpwstr>
  </property>
</Properties>
</file>