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04" w:lineRule="auto"/>
        <w:ind w:left="0" w:right="0"/>
        <w:rPr>
          <w:color w:val="333333"/>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忻州市人民政府外事办公室2020年决算公开说明</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p>
    <w:sdt>
      <w:sdtPr>
        <w:rPr>
          <w:rFonts w:hint="eastAsia" w:ascii="仿宋_GB2312" w:hAnsi="仿宋_GB2312" w:eastAsia="仿宋_GB2312" w:cs="仿宋_GB2312"/>
          <w:kern w:val="2"/>
          <w:sz w:val="28"/>
          <w:szCs w:val="28"/>
          <w:lang w:val="en-US" w:eastAsia="zh-CN" w:bidi="ar-SA"/>
        </w:rPr>
        <w:id w:val="147459358"/>
        <w15:color w:val="DBDBDB"/>
        <w:docPartObj>
          <w:docPartGallery w:val="Table of Contents"/>
          <w:docPartUnique/>
        </w:docPartObj>
      </w:sdtPr>
      <w:sdtEndPr>
        <w:rPr>
          <w:rFonts w:hint="eastAsia" w:ascii="仿宋_GB2312" w:hAnsi="仿宋_GB2312" w:eastAsia="仿宋_GB2312" w:cs="仿宋_GB2312"/>
          <w:b/>
          <w:color w:val="333333"/>
          <w:kern w:val="0"/>
          <w:sz w:val="28"/>
          <w:szCs w:val="28"/>
          <w:shd w:val="clear" w:fill="FFFFFF"/>
          <w:lang w:val="en-US" w:eastAsia="zh-CN" w:bidi="ar"/>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目</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录</w:t>
          </w:r>
        </w:p>
        <w:p>
          <w:pPr>
            <w:spacing w:before="0" w:beforeLines="0" w:after="0" w:afterLines="0" w:line="240" w:lineRule="auto"/>
            <w:ind w:left="0" w:leftChars="0" w:right="0" w:rightChars="0" w:firstLine="0" w:firstLineChars="0"/>
            <w:jc w:val="center"/>
            <w:rPr>
              <w:rFonts w:ascii="宋体" w:hAnsi="宋体" w:eastAsia="宋体"/>
              <w:b/>
              <w:bCs/>
              <w:sz w:val="21"/>
            </w:rPr>
          </w:pP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color w:val="333333"/>
              <w:sz w:val="28"/>
              <w:szCs w:val="28"/>
              <w:shd w:val="clear" w:fill="FFFFFF"/>
            </w:rPr>
            <w:instrText xml:space="preserve">TOC \o "1-2" \h \u </w:instrText>
          </w:r>
          <w:r>
            <w:rPr>
              <w:rFonts w:hint="eastAsia" w:ascii="仿宋_GB2312" w:hAnsi="仿宋_GB2312" w:eastAsia="仿宋_GB2312" w:cs="仿宋_GB2312"/>
              <w:color w:val="333333"/>
              <w:sz w:val="28"/>
              <w:szCs w:val="28"/>
              <w:shd w:val="clear" w:fill="FFFFFF"/>
            </w:rPr>
            <w:fldChar w:fldCharType="separate"/>
          </w: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_Toc9967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rPr>
            <w:t>一、 主要职能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_Toc9967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_Toc2351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二、机构设置情况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_Toc2351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_Toc12937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三、忻州市人民政府外事办公室2020年部门决算表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_Toc12937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_Toc3162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四、忻州市人民政府外事办公室部门决算情况说明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3"/>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_Toc27329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（一）收入情况说明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_Toc27329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3"/>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_Toc941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（二）支出情况说明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3"/>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_Toc30069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（三）“三公”经费情况说明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_Toc30069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3"/>
            <w:tabs>
              <w:tab w:val="right" w:leader="dot" w:pos="8845"/>
            </w:tabs>
            <w:rPr>
              <w:rFonts w:hint="eastAsia" w:ascii="仿宋_GB2312" w:hAnsi="仿宋_GB2312" w:eastAsia="仿宋_GB2312" w:cs="仿宋_GB2312"/>
              <w:color w:val="333333"/>
              <w:sz w:val="28"/>
              <w:szCs w:val="28"/>
              <w:shd w:val="clear" w:fill="FFFFFF"/>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_Toc8105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（四）机关运行经费情况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_Toc8105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rPr>
              <w:rFonts w:hint="default" w:ascii="仿宋_GB2312" w:hAnsi="仿宋_GB2312" w:eastAsia="仿宋_GB2312" w:cs="仿宋_GB2312"/>
              <w:kern w:val="2"/>
              <w:sz w:val="28"/>
              <w:szCs w:val="28"/>
              <w:shd w:val="clear" w:fill="FFFFFF"/>
              <w:lang w:val="en-US" w:eastAsia="zh-CN" w:bidi="ar-SA"/>
            </w:rPr>
          </w:pPr>
          <w:r>
            <w:rPr>
              <w:rFonts w:hint="eastAsia" w:ascii="仿宋_GB2312" w:hAnsi="仿宋_GB2312" w:eastAsia="仿宋_GB2312" w:cs="仿宋_GB2312"/>
              <w:color w:val="333333"/>
              <w:sz w:val="28"/>
              <w:szCs w:val="28"/>
              <w:shd w:val="clear" w:fill="FFFFFF"/>
              <w:lang w:val="en-US" w:eastAsia="zh-CN"/>
            </w:rPr>
            <w:t xml:space="preserve">   </w:t>
          </w:r>
          <w:r>
            <w:rPr>
              <w:rFonts w:hint="eastAsia" w:ascii="仿宋_GB2312" w:hAnsi="仿宋_GB2312" w:eastAsia="仿宋_GB2312" w:cs="仿宋_GB2312"/>
              <w:kern w:val="2"/>
              <w:sz w:val="28"/>
              <w:szCs w:val="28"/>
              <w:shd w:val="clear" w:fill="FFFFFF"/>
              <w:lang w:val="en-US" w:eastAsia="zh-CN" w:bidi="ar-SA"/>
            </w:rPr>
            <w:t xml:space="preserve">（五）政府性基金预算情况 </w:t>
          </w:r>
          <w:r>
            <w:rPr>
              <w:rFonts w:hint="eastAsia" w:ascii="宋体" w:hAnsi="宋体" w:eastAsia="宋体" w:cs="宋体"/>
              <w:b w:val="0"/>
              <w:bCs w:val="0"/>
              <w:kern w:val="2"/>
              <w:sz w:val="21"/>
              <w:szCs w:val="21"/>
              <w:shd w:val="clear" w:fill="FFFFFF"/>
              <w:lang w:val="en-US" w:eastAsia="zh-CN" w:bidi="ar-SA"/>
            </w:rPr>
            <w:t>……………………………</w:t>
          </w:r>
          <w:r>
            <w:rPr>
              <w:rFonts w:hint="eastAsia" w:ascii="宋体" w:hAnsi="宋体" w:eastAsia="宋体" w:cs="宋体"/>
              <w:b w:val="0"/>
              <w:bCs w:val="0"/>
              <w:kern w:val="2"/>
              <w:sz w:val="21"/>
              <w:szCs w:val="21"/>
              <w:shd w:val="clear" w:fill="FFFFFF"/>
              <w:lang w:val="en-US" w:eastAsia="zh-CN" w:bidi="ar-SA"/>
            </w:rPr>
            <w:t>……………</w:t>
          </w:r>
          <w:r>
            <w:rPr>
              <w:rFonts w:hint="eastAsia" w:ascii="宋体" w:hAnsi="宋体" w:eastAsia="宋体" w:cs="宋体"/>
              <w:b w:val="0"/>
              <w:bCs w:val="0"/>
              <w:kern w:val="2"/>
              <w:sz w:val="21"/>
              <w:szCs w:val="21"/>
              <w:shd w:val="clear" w:fill="FFFFFF"/>
              <w:lang w:val="en-US" w:eastAsia="zh-CN" w:bidi="ar-SA"/>
            </w:rPr>
            <w:t>…………………</w:t>
          </w:r>
          <w:r>
            <w:rPr>
              <w:rFonts w:hint="eastAsia" w:ascii="仿宋_GB2312" w:hAnsi="仿宋_GB2312" w:eastAsia="仿宋_GB2312" w:cs="仿宋_GB2312"/>
              <w:kern w:val="2"/>
              <w:sz w:val="28"/>
              <w:szCs w:val="28"/>
              <w:shd w:val="clear" w:fill="FFFFFF"/>
              <w:lang w:val="en-US" w:eastAsia="zh-CN" w:bidi="ar-SA"/>
            </w:rPr>
            <w:t>5</w:t>
          </w:r>
        </w:p>
        <w:p>
          <w:pPr>
            <w:pStyle w:val="3"/>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_Toc17109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（六）国有资产占用情况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_Toc17109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3"/>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_Toc21162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（七）其他需要说明的情况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_Toc21162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fill="FFFFFF"/>
            </w:rPr>
            <w:fldChar w:fldCharType="begin"/>
          </w:r>
          <w:r>
            <w:rPr>
              <w:rFonts w:hint="eastAsia" w:ascii="仿宋_GB2312" w:hAnsi="仿宋_GB2312" w:eastAsia="仿宋_GB2312" w:cs="仿宋_GB2312"/>
              <w:sz w:val="28"/>
              <w:szCs w:val="28"/>
              <w:shd w:val="clear" w:fill="FFFFFF"/>
            </w:rPr>
            <w:instrText xml:space="preserve"> HYPERLINK \l _Toc23313 </w:instrText>
          </w:r>
          <w:r>
            <w:rPr>
              <w:rFonts w:hint="eastAsia" w:ascii="仿宋_GB2312" w:hAnsi="仿宋_GB2312" w:eastAsia="仿宋_GB2312" w:cs="仿宋_GB2312"/>
              <w:sz w:val="28"/>
              <w:szCs w:val="28"/>
              <w:shd w:val="clear" w:fill="FFFFFF"/>
            </w:rPr>
            <w:fldChar w:fldCharType="separate"/>
          </w:r>
          <w:r>
            <w:rPr>
              <w:rFonts w:hint="eastAsia" w:ascii="仿宋_GB2312" w:hAnsi="仿宋_GB2312" w:eastAsia="仿宋_GB2312" w:cs="仿宋_GB2312"/>
              <w:sz w:val="28"/>
              <w:szCs w:val="28"/>
              <w:shd w:val="clear" w:fill="FFFFFF"/>
              <w:lang w:val="en-US" w:eastAsia="zh-CN"/>
            </w:rPr>
            <w:t>五</w:t>
          </w:r>
          <w:r>
            <w:rPr>
              <w:rFonts w:hint="eastAsia" w:ascii="仿宋_GB2312" w:hAnsi="仿宋_GB2312" w:eastAsia="仿宋_GB2312" w:cs="仿宋_GB2312"/>
              <w:sz w:val="28"/>
              <w:szCs w:val="28"/>
              <w:shd w:val="clear" w:fill="FFFFFF"/>
            </w:rPr>
            <w:t>、名词解释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_Toc23313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333333"/>
              <w:sz w:val="28"/>
              <w:szCs w:val="28"/>
              <w:shd w:val="clear" w:fill="FFFFFF"/>
            </w:rPr>
            <w:fldChar w:fldCharType="end"/>
          </w:r>
        </w:p>
        <w:p>
          <w:pPr>
            <w:pStyle w:val="4"/>
            <w:keepNext w:val="0"/>
            <w:keepLines w:val="0"/>
            <w:widowControl/>
            <w:suppressLineNumbers w:val="0"/>
            <w:spacing w:before="0" w:beforeAutospacing="0" w:after="0" w:afterAutospacing="0" w:line="504" w:lineRule="auto"/>
            <w:ind w:left="0" w:right="0"/>
            <w:rPr>
              <w:rFonts w:hint="eastAsia" w:ascii="仿宋_GB2312" w:hAnsi="仿宋_GB2312" w:eastAsia="仿宋_GB2312" w:cs="仿宋_GB2312"/>
              <w:b/>
              <w:color w:val="333333"/>
              <w:kern w:val="0"/>
              <w:sz w:val="28"/>
              <w:szCs w:val="28"/>
              <w:shd w:val="clear" w:fill="FFFFFF"/>
              <w:lang w:val="en-US" w:eastAsia="zh-CN" w:bidi="ar"/>
            </w:rPr>
          </w:pPr>
          <w:r>
            <w:rPr>
              <w:rFonts w:hint="eastAsia" w:ascii="仿宋_GB2312" w:hAnsi="仿宋_GB2312" w:eastAsia="仿宋_GB2312" w:cs="仿宋_GB2312"/>
              <w:color w:val="333333"/>
              <w:sz w:val="28"/>
              <w:szCs w:val="28"/>
              <w:shd w:val="clear" w:fill="FFFFFF"/>
            </w:rPr>
            <w:fldChar w:fldCharType="end"/>
          </w:r>
        </w:p>
      </w:sdtContent>
    </w:sdt>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left="0" w:right="0"/>
        <w:rPr>
          <w:rFonts w:asciiTheme="minorHAnsi" w:hAnsiTheme="minorHAnsi" w:eastAsiaTheme="minorEastAsia" w:cstheme="minorBidi"/>
          <w:b/>
          <w:color w:val="333333"/>
          <w:kern w:val="0"/>
          <w:sz w:val="21"/>
          <w:szCs w:val="24"/>
          <w:shd w:val="clear" w:fill="FFFFFF"/>
          <w:lang w:val="en-US" w:eastAsia="zh-CN" w:bidi="ar"/>
        </w:rPr>
      </w:pPr>
    </w:p>
    <w:p>
      <w:pPr>
        <w:pStyle w:val="4"/>
        <w:keepNext w:val="0"/>
        <w:keepLines w:val="0"/>
        <w:widowControl/>
        <w:suppressLineNumbers w:val="0"/>
        <w:spacing w:before="0" w:beforeAutospacing="0" w:after="0" w:afterAutospacing="0" w:line="504" w:lineRule="auto"/>
        <w:ind w:right="0" w:firstLine="640" w:firstLineChars="200"/>
        <w:outlineLvl w:val="0"/>
        <w:rPr>
          <w:rFonts w:hint="eastAsia" w:ascii="仿宋_GB2312" w:hAnsi="仿宋_GB2312" w:eastAsia="仿宋_GB2312" w:cs="仿宋_GB2312"/>
          <w:color w:val="333333"/>
          <w:sz w:val="32"/>
          <w:szCs w:val="32"/>
        </w:rPr>
      </w:pPr>
      <w:bookmarkStart w:id="0" w:name="_Toc9967"/>
      <w:r>
        <w:rPr>
          <w:rFonts w:hint="eastAsia" w:ascii="黑体" w:hAnsi="黑体" w:eastAsia="黑体" w:cs="黑体"/>
          <w:color w:val="333333"/>
          <w:sz w:val="32"/>
          <w:szCs w:val="32"/>
          <w:shd w:val="clear" w:fill="FFFFFF"/>
        </w:rPr>
        <w:t>一、 主要职能</w:t>
      </w:r>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（一）贯彻落实有关外事工作的法律、法规和方针、政策；起草外事有关规范性文件；调查研究全市外事工作的重大问题并提出建议；监督检查全市外事方针政策的落实情况。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（二）拟定全市外事工作规划；协调全市重大外事工作和涉外活动；负责处理或协助处理全市重大涉外事务。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（三）围绕经济建设和对外开放进行外事调查研究，为市委和市政府决策提供意见和建议；利用对外交往渠道，为全市的经济建设和社会发展服务，积极参与全市对外招商引资和经贸活动。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（四）审核、会签全市各部门报请市委、市政府审批的外事文件，协调全市各部门的外事和涉外活动计划。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五）统筹办理市级对外联系交往和以市委、市人大、市人民政府、市政协名义举办的外事活动和其他活动中的涉外事务，办理市级领导出访的组织实施、参加外事活动的安排和市政府对外谈判、签约等有关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（六）负责管理全市因公出国工作和对外邀请工作，审核、申报全市因公出国材料，并对出国人员进行培训。了解和检查全市因公出访人员在国外活动情况，定期综合全市公派出国和邀请外国人来访情况。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七）负责管理全市外事接待、礼宾工作，指导、协助有关部门做好外事接待工作；承担对外友好城市有关工作；指导各县（市、区）对外友好城市的交往活动；指导全市民间对外交往活动；负责协调有关部门做好对外开放区域的各项工作和外宾参观点的开辟建设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（八）负责外国新闻团组和新闻从业人员来忻采访的审核，审核外国记者要求会见和采访市领导的申请。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（九）会同有关部门管理在我市境内的外籍人员，提供必要的服务。协调有关单位处理涉及外籍人员管理工作的重要事项。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负责对全市从事外事工作和涉外人员进行对外政策、外事纪律的培训教育，总结交流外事工作经验；配合做好对外宣传和群众性外事教育工作；根据上级文件和规定，向市委、市政府及全市各部门提供国际形势、对外政策和重大国际问题的宣传资料和对外表态口径，协同审核全市重要涉外报道文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（十一）认真贯彻执行外事纪律；配合纪检、监察和保密部门监督检查外事纪律及保密制度的执行情况，协助有关部门对涉外案件和违反外事纪律案件进行查处。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（十二）承办市委、市人民政府交办的其它工作。</w:t>
      </w:r>
    </w:p>
    <w:p>
      <w:pPr>
        <w:numPr>
          <w:ilvl w:val="0"/>
          <w:numId w:val="0"/>
        </w:numPr>
        <w:jc w:val="left"/>
        <w:outlineLvl w:val="0"/>
        <w:rPr>
          <w:rFonts w:hint="eastAsia" w:ascii="黑体" w:hAnsi="黑体" w:eastAsia="黑体" w:cs="黑体"/>
          <w:color w:val="333333"/>
          <w:sz w:val="32"/>
          <w:szCs w:val="32"/>
          <w:shd w:val="clear" w:fill="FFFFFF"/>
          <w:lang w:val="en-US" w:eastAsia="zh-CN"/>
        </w:rPr>
      </w:pPr>
      <w:bookmarkStart w:id="1" w:name="_Toc2351"/>
      <w:r>
        <w:rPr>
          <w:rFonts w:hint="eastAsia" w:ascii="黑体" w:hAnsi="黑体" w:eastAsia="黑体" w:cs="黑体"/>
          <w:color w:val="333333"/>
          <w:sz w:val="32"/>
          <w:szCs w:val="32"/>
          <w:shd w:val="clear" w:fill="FFFFFF"/>
          <w:lang w:val="en-US" w:eastAsia="zh-CN"/>
        </w:rPr>
        <w:t>二、机构设置情况</w:t>
      </w:r>
      <w:bookmarkEnd w:id="1"/>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kern w:val="0"/>
          <w:sz w:val="32"/>
          <w:szCs w:val="32"/>
          <w:shd w:val="clear" w:fill="FFFFFF"/>
          <w:lang w:val="en-US" w:eastAsia="zh-CN" w:bidi="ar"/>
        </w:rPr>
        <w:t xml:space="preserve">　  </w:t>
      </w:r>
      <w:r>
        <w:rPr>
          <w:rFonts w:hint="eastAsia" w:ascii="仿宋_GB2312" w:hAnsi="仿宋_GB2312" w:eastAsia="仿宋_GB2312" w:cs="仿宋_GB2312"/>
          <w:color w:val="333333"/>
          <w:sz w:val="32"/>
          <w:szCs w:val="32"/>
          <w:shd w:val="clear" w:fill="FFFFFF"/>
          <w:lang w:val="en-US" w:eastAsia="zh-CN"/>
        </w:rPr>
        <w:t>忻州市人民政府外事办公室为财政拨款行政单位，正处级建制。编制14人，在职人员14人。内设科室：外事（综合）科、秘书科、台港澳科；下属事业单位1个：涉外涉台港澳交流中心（财务不独立）。</w:t>
      </w:r>
    </w:p>
    <w:p>
      <w:pPr>
        <w:pStyle w:val="4"/>
        <w:keepNext w:val="0"/>
        <w:keepLines w:val="0"/>
        <w:widowControl/>
        <w:suppressLineNumbers w:val="0"/>
        <w:spacing w:before="0" w:beforeAutospacing="0" w:after="0" w:afterAutospacing="0" w:line="504" w:lineRule="auto"/>
        <w:ind w:left="0" w:right="0"/>
        <w:jc w:val="left"/>
        <w:outlineLvl w:val="0"/>
        <w:rPr>
          <w:rFonts w:hint="eastAsia" w:ascii="黑体" w:hAnsi="黑体" w:eastAsia="黑体" w:cs="黑体"/>
          <w:color w:val="333333"/>
          <w:sz w:val="32"/>
          <w:szCs w:val="32"/>
          <w:shd w:val="clear" w:fill="FFFFFF"/>
          <w:lang w:val="en-US" w:eastAsia="zh-CN"/>
        </w:rPr>
      </w:pPr>
      <w:bookmarkStart w:id="2" w:name="_Toc12937"/>
      <w:r>
        <w:rPr>
          <w:rFonts w:hint="eastAsia" w:ascii="黑体" w:hAnsi="黑体" w:eastAsia="黑体" w:cs="黑体"/>
          <w:color w:val="333333"/>
          <w:sz w:val="32"/>
          <w:szCs w:val="32"/>
          <w:shd w:val="clear" w:fill="FFFFFF"/>
          <w:lang w:val="en-US" w:eastAsia="zh-CN"/>
        </w:rPr>
        <w:t>三、忻州市人民政府外事办公室2020年部门决算表</w:t>
      </w:r>
      <w:bookmarkEnd w:id="2"/>
    </w:p>
    <w:p>
      <w:pPr>
        <w:pStyle w:val="4"/>
        <w:keepNext w:val="0"/>
        <w:keepLines w:val="0"/>
        <w:widowControl/>
        <w:suppressLineNumbers w:val="0"/>
        <w:spacing w:before="0" w:beforeAutospacing="0" w:after="0" w:afterAutospacing="0" w:line="504" w:lineRule="auto"/>
        <w:ind w:left="0" w:right="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点击查看【附件】</w:t>
      </w:r>
    </w:p>
    <w:p>
      <w:pPr>
        <w:pStyle w:val="4"/>
        <w:keepNext w:val="0"/>
        <w:keepLines w:val="0"/>
        <w:widowControl/>
        <w:suppressLineNumbers w:val="0"/>
        <w:spacing w:before="0" w:beforeAutospacing="0" w:after="0" w:afterAutospacing="0" w:line="504" w:lineRule="auto"/>
        <w:ind w:left="0" w:right="0"/>
        <w:outlineLvl w:val="0"/>
        <w:rPr>
          <w:rFonts w:hint="eastAsia" w:ascii="黑体" w:hAnsi="黑体" w:eastAsia="黑体" w:cs="黑体"/>
          <w:color w:val="333333"/>
          <w:sz w:val="32"/>
          <w:szCs w:val="32"/>
          <w:shd w:val="clear" w:fill="FFFFFF"/>
          <w:lang w:val="en-US" w:eastAsia="zh-CN"/>
        </w:rPr>
      </w:pPr>
      <w:bookmarkStart w:id="3" w:name="_Toc3162"/>
      <w:r>
        <w:rPr>
          <w:rFonts w:hint="eastAsia" w:ascii="黑体" w:hAnsi="黑体" w:eastAsia="黑体" w:cs="黑体"/>
          <w:color w:val="333333"/>
          <w:sz w:val="32"/>
          <w:szCs w:val="32"/>
          <w:shd w:val="clear" w:fill="FFFFFF"/>
          <w:lang w:val="en-US" w:eastAsia="zh-CN"/>
        </w:rPr>
        <w:t>四、忻州市人民政府外事办公室部门决算情况说明</w:t>
      </w:r>
      <w:bookmarkEnd w:id="3"/>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bookmarkStart w:id="4" w:name="_Toc27329"/>
      <w:r>
        <w:rPr>
          <w:rFonts w:hint="eastAsia" w:ascii="仿宋_GB2312" w:hAnsi="仿宋_GB2312" w:eastAsia="仿宋_GB2312" w:cs="仿宋_GB2312"/>
          <w:color w:val="333333"/>
          <w:sz w:val="32"/>
          <w:szCs w:val="32"/>
          <w:shd w:val="clear" w:fill="FFFFFF"/>
          <w:lang w:val="en-US" w:eastAsia="zh-CN"/>
        </w:rPr>
        <w:t>（一）收入情况说明</w:t>
      </w:r>
      <w:bookmarkEnd w:id="4"/>
    </w:p>
    <w:p>
      <w:pPr>
        <w:pStyle w:val="4"/>
        <w:keepNext w:val="0"/>
        <w:keepLines w:val="0"/>
        <w:widowControl/>
        <w:suppressLineNumbers w:val="0"/>
        <w:spacing w:before="0" w:beforeAutospacing="0" w:after="0" w:afterAutospacing="0" w:line="504" w:lineRule="auto"/>
        <w:ind w:left="0" w:right="0"/>
        <w:jc w:val="both"/>
        <w:rPr>
          <w:rFonts w:hint="default"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忻州市外事办2020年收入216.67万元，年初结转0.2万元。其中，财政拨款收入216.67万元，年初结转0.2万元，较2019年相比增加74.78万元，增加52.70%，增加原因为人员增加，工资增长，项目经费支出增加，机构改革新增办公设备购置费。</w:t>
      </w:r>
    </w:p>
    <w:p>
      <w:pPr>
        <w:pStyle w:val="4"/>
        <w:keepNext w:val="0"/>
        <w:keepLines w:val="0"/>
        <w:widowControl/>
        <w:suppressLineNumbers w:val="0"/>
        <w:spacing w:before="0" w:beforeAutospacing="0" w:after="0" w:afterAutospacing="0" w:line="504" w:lineRule="auto"/>
        <w:ind w:left="0" w:right="0"/>
        <w:jc w:val="both"/>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5" w:name="_Toc941"/>
      <w:r>
        <w:rPr>
          <w:rFonts w:hint="eastAsia" w:ascii="仿宋_GB2312" w:hAnsi="仿宋_GB2312" w:eastAsia="仿宋_GB2312" w:cs="仿宋_GB2312"/>
          <w:color w:val="333333"/>
          <w:sz w:val="32"/>
          <w:szCs w:val="32"/>
          <w:shd w:val="clear" w:fill="FFFFFF"/>
          <w:lang w:val="en-US" w:eastAsia="zh-CN"/>
        </w:rPr>
        <w:t>（二）支出情况说明</w:t>
      </w:r>
      <w:bookmarkEnd w:id="5"/>
    </w:p>
    <w:p>
      <w:pPr>
        <w:pStyle w:val="4"/>
        <w:keepNext w:val="0"/>
        <w:keepLines w:val="0"/>
        <w:widowControl/>
        <w:suppressLineNumbers w:val="0"/>
        <w:spacing w:before="0" w:beforeAutospacing="0" w:after="0" w:afterAutospacing="0" w:line="504" w:lineRule="auto"/>
        <w:ind w:left="0" w:right="0" w:firstLine="640"/>
        <w:jc w:val="both"/>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忻州市外事办2020年支出216.87万元，财政拨款支出216.67万元，年初结转0.2万元，较2019年相比增加74.78万元，增加了52.7%。其中：</w:t>
      </w:r>
    </w:p>
    <w:p>
      <w:pPr>
        <w:pStyle w:val="4"/>
        <w:keepNext w:val="0"/>
        <w:keepLines w:val="0"/>
        <w:widowControl/>
        <w:suppressLineNumbers w:val="0"/>
        <w:spacing w:before="0" w:beforeAutospacing="0" w:after="0" w:afterAutospacing="0" w:line="504" w:lineRule="auto"/>
        <w:ind w:left="0" w:right="0" w:firstLine="64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1、</w:t>
      </w:r>
      <w:bookmarkStart w:id="11" w:name="_GoBack"/>
      <w:bookmarkEnd w:id="11"/>
      <w:r>
        <w:rPr>
          <w:rFonts w:hint="eastAsia" w:ascii="仿宋_GB2312" w:hAnsi="仿宋_GB2312" w:eastAsia="仿宋_GB2312" w:cs="仿宋_GB2312"/>
          <w:color w:val="333333"/>
          <w:sz w:val="32"/>
          <w:szCs w:val="32"/>
          <w:shd w:val="clear" w:fill="FFFFFF"/>
          <w:lang w:val="en-US" w:eastAsia="zh-CN"/>
        </w:rPr>
        <w:t>基本支出147.81万元，占总支出68.15%。其中：人员经费111.69万元，主要包括基本工资、津贴补贴、奖金、机关事业单位基本养老保险缴费、 城镇职工基本医疗保险缴费、其他社会保障缴费、住房公积金、其他工资福利支出；对个人和家庭补助包括退休费、生活补助、奖励金等；公用经费36.12万元，主要包括办公费、印刷费、邮电费、取暖费、差旅费、会议费、培训费、工会经费、福利费、公务用车维护费、公务接待费、办公设备购置、其他商品和服务支出等。</w:t>
      </w:r>
    </w:p>
    <w:p>
      <w:pPr>
        <w:pStyle w:val="4"/>
        <w:keepNext w:val="0"/>
        <w:keepLines w:val="0"/>
        <w:widowControl/>
        <w:suppressLineNumbers w:val="0"/>
        <w:spacing w:before="0" w:beforeAutospacing="0" w:after="0" w:afterAutospacing="0" w:line="504" w:lineRule="auto"/>
        <w:ind w:left="0" w:right="0"/>
        <w:jc w:val="left"/>
        <w:rPr>
          <w:rFonts w:hint="default"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2、项目支出69.06万元，占总支出31.85%。项目支出主要用于外事台港澳事务经费、国际友好城市费、外事网站维护、宣传经费，设备购置经费，外事委员会工作经费。</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6" w:name="_Toc30069"/>
      <w:r>
        <w:rPr>
          <w:rFonts w:hint="eastAsia" w:ascii="仿宋_GB2312" w:hAnsi="仿宋_GB2312" w:eastAsia="仿宋_GB2312" w:cs="仿宋_GB2312"/>
          <w:color w:val="333333"/>
          <w:sz w:val="32"/>
          <w:szCs w:val="32"/>
          <w:shd w:val="clear" w:fill="FFFFFF"/>
          <w:lang w:val="en-US" w:eastAsia="zh-CN"/>
        </w:rPr>
        <w:t>（三）“三公”经费情况说明</w:t>
      </w:r>
      <w:bookmarkEnd w:id="6"/>
    </w:p>
    <w:p>
      <w:pPr>
        <w:pStyle w:val="4"/>
        <w:keepNext w:val="0"/>
        <w:keepLines w:val="0"/>
        <w:widowControl/>
        <w:suppressLineNumbers w:val="0"/>
        <w:spacing w:before="0" w:beforeAutospacing="0" w:after="0" w:afterAutospacing="0" w:line="504" w:lineRule="auto"/>
        <w:ind w:left="0" w:right="0"/>
        <w:rPr>
          <w:rFonts w:hint="default"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2020年“三公”经费共计2.97万元，较上年减少12.23万元，减少原因为减少公务出国经费12.2万元。其中，公务用车保有量为1辆，公务用车运行维护费2.97万元，公务用车运行维护费较上年变化不大；2020年“三公”经费支出中公务接待费和因公出国费用均为0元。</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7" w:name="_Toc8105"/>
      <w:r>
        <w:rPr>
          <w:rFonts w:hint="eastAsia" w:ascii="仿宋_GB2312" w:hAnsi="仿宋_GB2312" w:eastAsia="仿宋_GB2312" w:cs="仿宋_GB2312"/>
          <w:color w:val="333333"/>
          <w:sz w:val="32"/>
          <w:szCs w:val="32"/>
          <w:shd w:val="clear" w:fill="FFFFFF"/>
          <w:lang w:val="en-US" w:eastAsia="zh-CN"/>
        </w:rPr>
        <w:t>（四）机关运行经费情况</w:t>
      </w:r>
      <w:bookmarkEnd w:id="7"/>
    </w:p>
    <w:p>
      <w:pPr>
        <w:pStyle w:val="4"/>
        <w:keepNext w:val="0"/>
        <w:keepLines w:val="0"/>
        <w:widowControl/>
        <w:suppressLineNumbers w:val="0"/>
        <w:spacing w:before="0" w:beforeAutospacing="0" w:after="0" w:afterAutospacing="0" w:line="504" w:lineRule="auto"/>
        <w:ind w:left="0" w:right="0" w:firstLine="64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2020年机关运行经费支出36.12万元，主要为保障行政单位运行用于购买货物和服务的各项资金，包括办公费、印刷费、邮电费、差旅费、会议费、培训费、日常维修（护）费、公务用车运行维护费及其他费用。</w:t>
      </w:r>
    </w:p>
    <w:p>
      <w:pPr>
        <w:pStyle w:val="4"/>
        <w:keepNext w:val="0"/>
        <w:keepLines w:val="0"/>
        <w:widowControl/>
        <w:suppressLineNumbers w:val="0"/>
        <w:spacing w:before="0" w:beforeAutospacing="0" w:after="0" w:afterAutospacing="0" w:line="504" w:lineRule="auto"/>
        <w:ind w:left="0" w:right="0" w:firstLine="640" w:firstLineChars="20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（五）市外办无政府性基金预算财政拨款支出。</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8" w:name="_Toc17109"/>
      <w:r>
        <w:rPr>
          <w:rFonts w:hint="eastAsia" w:ascii="仿宋_GB2312" w:hAnsi="仿宋_GB2312" w:eastAsia="仿宋_GB2312" w:cs="仿宋_GB2312"/>
          <w:color w:val="333333"/>
          <w:sz w:val="32"/>
          <w:szCs w:val="32"/>
          <w:shd w:val="clear" w:fill="FFFFFF"/>
          <w:lang w:val="en-US" w:eastAsia="zh-CN"/>
        </w:rPr>
        <w:t>（六）国有资产占用情况</w:t>
      </w:r>
      <w:bookmarkEnd w:id="8"/>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1、车辆情况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我单位代管、使用一辆公务用车。</w:t>
      </w:r>
    </w:p>
    <w:p>
      <w:pPr>
        <w:pStyle w:val="4"/>
        <w:keepNext w:val="0"/>
        <w:keepLines w:val="0"/>
        <w:widowControl/>
        <w:numPr>
          <w:ilvl w:val="0"/>
          <w:numId w:val="0"/>
        </w:numPr>
        <w:suppressLineNumbers w:val="0"/>
        <w:spacing w:before="0" w:beforeAutospacing="0" w:after="0" w:afterAutospacing="0" w:line="504" w:lineRule="auto"/>
        <w:ind w:left="640" w:leftChars="0" w:right="0" w:rightChars="0" w:firstLine="320" w:firstLineChars="10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2、房屋情况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我单位办公室用房面积210.54平米。</w:t>
      </w:r>
    </w:p>
    <w:p>
      <w:pPr>
        <w:pStyle w:val="4"/>
        <w:keepNext w:val="0"/>
        <w:keepLines w:val="0"/>
        <w:widowControl/>
        <w:suppressLineNumbers w:val="0"/>
        <w:spacing w:before="0" w:beforeAutospacing="0" w:after="0" w:afterAutospacing="0" w:line="504" w:lineRule="auto"/>
        <w:ind w:left="0" w:right="0"/>
        <w:jc w:val="left"/>
        <w:outlineLvl w:val="1"/>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w:t>
      </w:r>
      <w:bookmarkStart w:id="9" w:name="_Toc21162"/>
      <w:r>
        <w:rPr>
          <w:rFonts w:hint="eastAsia" w:ascii="仿宋_GB2312" w:hAnsi="仿宋_GB2312" w:eastAsia="仿宋_GB2312" w:cs="仿宋_GB2312"/>
          <w:color w:val="333333"/>
          <w:sz w:val="32"/>
          <w:szCs w:val="32"/>
          <w:shd w:val="clear" w:fill="FFFFFF"/>
          <w:lang w:val="en-US" w:eastAsia="zh-CN"/>
        </w:rPr>
        <w:t>（七）其他需要说明的情况</w:t>
      </w:r>
      <w:bookmarkEnd w:id="9"/>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1、政府采购情况</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2020年采购支出总额35.11万元。其中：政府采购货物支出16.91万元，占采购支出总额的48.16%；政府采购服务支出18.2万元，占采购支出总额的51.84%。</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2、预算绩效情况</w:t>
      </w:r>
    </w:p>
    <w:p>
      <w:pPr>
        <w:pStyle w:val="4"/>
        <w:keepNext w:val="0"/>
        <w:keepLines w:val="0"/>
        <w:widowControl/>
        <w:suppressLineNumbers w:val="0"/>
        <w:spacing w:before="0" w:beforeAutospacing="0" w:after="0" w:afterAutospacing="0" w:line="504" w:lineRule="auto"/>
        <w:ind w:left="0" w:right="0" w:firstLine="64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根据财政预算管理要求，我单位对2020年度单位整体支出进行了绩效自评。</w:t>
      </w:r>
    </w:p>
    <w:p>
      <w:pPr>
        <w:pStyle w:val="4"/>
        <w:keepNext w:val="0"/>
        <w:keepLines w:val="0"/>
        <w:widowControl/>
        <w:suppressLineNumbers w:val="0"/>
        <w:spacing w:before="0" w:beforeAutospacing="0" w:after="0" w:afterAutospacing="0" w:line="504" w:lineRule="auto"/>
        <w:ind w:left="0" w:right="0"/>
        <w:jc w:val="left"/>
        <w:outlineLvl w:val="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lang w:val="en-US" w:eastAsia="zh-CN"/>
        </w:rPr>
        <w:t>　</w:t>
      </w:r>
      <w:bookmarkStart w:id="10" w:name="_Toc23313"/>
      <w:r>
        <w:rPr>
          <w:rFonts w:hint="eastAsia" w:ascii="黑体" w:hAnsi="黑体" w:eastAsia="黑体" w:cs="黑体"/>
          <w:color w:val="333333"/>
          <w:sz w:val="32"/>
          <w:szCs w:val="32"/>
          <w:shd w:val="clear" w:fill="FFFFFF"/>
          <w:lang w:val="en-US" w:eastAsia="zh-CN"/>
        </w:rPr>
        <w:t>五</w:t>
      </w:r>
      <w:r>
        <w:rPr>
          <w:rFonts w:hint="eastAsia" w:ascii="黑体" w:hAnsi="黑体" w:eastAsia="黑体" w:cs="黑体"/>
          <w:color w:val="333333"/>
          <w:sz w:val="32"/>
          <w:szCs w:val="32"/>
          <w:shd w:val="clear" w:fill="FFFFFF"/>
        </w:rPr>
        <w:t>、名词解释</w:t>
      </w:r>
      <w:bookmarkEnd w:id="10"/>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color w:val="333333"/>
          <w:sz w:val="32"/>
          <w:szCs w:val="32"/>
          <w:shd w:val="clear" w:fill="FFFFFF"/>
          <w:lang w:val="en-US" w:eastAsia="zh-CN"/>
        </w:rPr>
        <w:t>（一）基本支出：指为保障机构正常运转、完成日常工作任务而发生的人员支出和公用支出。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（二）项目支出：指在基本支出之外为完成特定行政任务和事业发展目标所发生的支出。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spacing w:before="0" w:beforeAutospacing="0" w:after="0" w:afterAutospacing="0" w:line="504" w:lineRule="auto"/>
        <w:ind w:left="0" w:right="0"/>
        <w:jc w:val="left"/>
        <w:rPr>
          <w:rFonts w:hint="eastAsia" w:ascii="仿宋_GB2312" w:hAnsi="仿宋_GB2312" w:eastAsia="仿宋_GB2312" w:cs="仿宋_GB2312"/>
          <w:color w:val="333333"/>
          <w:sz w:val="32"/>
          <w:szCs w:val="32"/>
          <w:shd w:val="clear" w:fill="FFFFFF"/>
          <w:lang w:val="en-US" w:eastAsia="zh-CN"/>
        </w:rPr>
      </w:pPr>
      <w:r>
        <w:rPr>
          <w:rFonts w:hint="eastAsia" w:ascii="仿宋_GB2312" w:hAnsi="仿宋_GB2312" w:eastAsia="仿宋_GB2312" w:cs="仿宋_GB2312"/>
          <w:color w:val="333333"/>
          <w:sz w:val="32"/>
          <w:szCs w:val="32"/>
          <w:shd w:val="clear" w:fill="FFFFFF"/>
          <w:lang w:val="en-US" w:eastAsia="zh-CN"/>
        </w:rPr>
        <w:t>　　（四）机关运行经费：指行政单位和参照公务员管理的事业单位使用一般公共预算安排的基本支出中的日常公用经费支出。</w:t>
      </w:r>
    </w:p>
    <w:p>
      <w:pPr>
        <w:pStyle w:val="4"/>
        <w:keepNext w:val="0"/>
        <w:keepLines w:val="0"/>
        <w:widowControl/>
        <w:suppressLineNumbers w:val="0"/>
        <w:spacing w:before="0" w:beforeAutospacing="0" w:after="0" w:afterAutospacing="0" w:line="504" w:lineRule="auto"/>
        <w:ind w:left="0" w:right="0"/>
        <w:rPr>
          <w:color w:val="333333"/>
          <w:sz w:val="24"/>
          <w:szCs w:val="24"/>
        </w:rPr>
      </w:pPr>
      <w:r>
        <w:rPr>
          <w:color w:val="333333"/>
          <w:sz w:val="24"/>
          <w:szCs w:val="24"/>
          <w:shd w:val="clear" w:fill="FFFFFF"/>
        </w:rPr>
        <w:t>　　</w:t>
      </w:r>
    </w:p>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9471F"/>
    <w:rsid w:val="25B81BE5"/>
    <w:rsid w:val="2DED4FF1"/>
    <w:rsid w:val="52B34052"/>
    <w:rsid w:val="6A9C1B9C"/>
    <w:rsid w:val="6D8F51EC"/>
    <w:rsid w:val="6DB74CD6"/>
    <w:rsid w:val="7756577A"/>
    <w:rsid w:val="7C351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iPriority w:val="0"/>
  </w:style>
  <w:style w:type="paragraph" w:styleId="3">
    <w:name w:val="toc 2"/>
    <w:basedOn w:val="1"/>
    <w:next w:val="1"/>
    <w:uiPriority w:val="0"/>
    <w:pPr>
      <w:ind w:left="420" w:leftChars="200"/>
    </w:pPr>
  </w:style>
  <w:style w:type="paragraph" w:styleId="4">
    <w:name w:val="Normal (Web)"/>
    <w:basedOn w:val="1"/>
    <w:qFormat/>
    <w:uiPriority w:val="0"/>
    <w:pPr>
      <w:spacing w:before="0" w:beforeAutospacing="1" w:after="0" w:afterAutospacing="1"/>
      <w:ind w:left="0" w:right="0"/>
      <w:jc w:val="left"/>
    </w:pPr>
    <w:rPr>
      <w:kern w:val="0"/>
      <w:sz w:val="21"/>
      <w:szCs w:val="21"/>
      <w:lang w:val="en-US" w:eastAsia="zh-CN" w:bidi="ar"/>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 w:type="character" w:customStyle="1" w:styleId="9">
    <w:name w:val="owl-numbers"/>
    <w:basedOn w:val="6"/>
    <w:qFormat/>
    <w:uiPriority w:val="0"/>
    <w:rPr>
      <w:color w:val="FFFFFF"/>
      <w:sz w:val="18"/>
      <w:szCs w:val="18"/>
    </w:rPr>
  </w:style>
  <w:style w:type="paragraph" w:customStyle="1" w:styleId="10">
    <w:name w:val="WPSOffice手动目录 1"/>
    <w:uiPriority w:val="0"/>
    <w:pPr>
      <w:ind w:leftChars="0"/>
    </w:pPr>
    <w:rPr>
      <w:rFonts w:ascii="Calibri" w:hAnsi="Calibri" w:eastAsia="宋体" w:cs="Times New Roman"/>
      <w:sz w:val="20"/>
      <w:szCs w:val="20"/>
    </w:rPr>
  </w:style>
  <w:style w:type="paragraph" w:customStyle="1" w:styleId="11">
    <w:name w:val="WPSOffice手动目录 2"/>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2020-08-14T03:00:00Z</dcterms:created>
  <dc:creator>lenovo</dc:creator>
  <cp:lastModifiedBy>lenovo</cp:lastModifiedBy>
  <cp:lastPrinted>2021-09-10T07:47:51Z</cp:lastPrinted>
  <dcterms:modified xsi:type="dcterms:W3CDTF">2021-09-10T07:47:59Z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76AC251C31A344658AC22C274C3F7D7D</vt:lpwstr>
  </property>
</Properties>
</file>