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04" w:lineRule="auto"/>
        <w:ind w:left="0" w:right="0"/>
        <w:rPr>
          <w:color w:val="333333"/>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忻州市人民政府外事办公室2019年决算公开说明</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p>
    <w:sdt>
      <w:sdtPr>
        <w:rPr>
          <w:rFonts w:hint="eastAsia" w:ascii="仿宋_GB2312" w:hAnsi="仿宋_GB2312" w:eastAsia="仿宋_GB2312" w:cs="仿宋_GB2312"/>
          <w:kern w:val="2"/>
          <w:sz w:val="28"/>
          <w:szCs w:val="28"/>
          <w:lang w:val="en-US" w:eastAsia="zh-CN" w:bidi="ar-SA"/>
        </w:rPr>
        <w:id w:val="147459358"/>
        <w15:color w:val="DBDBDB"/>
        <w:docPartObj>
          <w:docPartGallery w:val="Table of Contents"/>
          <w:docPartUnique/>
        </w:docPartObj>
      </w:sdtPr>
      <w:sdtEndPr>
        <w:rPr>
          <w:rFonts w:asciiTheme="minorHAnsi" w:hAnsiTheme="minorHAnsi" w:eastAsiaTheme="minorEastAsia" w:cstheme="minorBidi"/>
          <w:b/>
          <w:color w:val="333333"/>
          <w:kern w:val="0"/>
          <w:sz w:val="21"/>
          <w:szCs w:val="24"/>
          <w:shd w:val="clear" w:fill="FFFFFF"/>
          <w:lang w:val="en-US" w:eastAsia="zh-CN" w:bidi="ar"/>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录</w:t>
          </w:r>
        </w:p>
        <w:p>
          <w:pPr>
            <w:spacing w:before="0" w:beforeLines="0" w:after="0" w:afterLines="0" w:line="240" w:lineRule="auto"/>
            <w:ind w:left="0" w:leftChars="0" w:right="0" w:rightChars="0" w:firstLine="0" w:firstLineChars="0"/>
            <w:jc w:val="center"/>
            <w:rPr>
              <w:rFonts w:ascii="宋体" w:hAnsi="宋体" w:eastAsia="宋体"/>
              <w:b/>
              <w:bCs/>
              <w:sz w:val="21"/>
            </w:rPr>
          </w:pPr>
        </w:p>
        <w:p>
          <w:pPr>
            <w:pStyle w:val="8"/>
            <w:tabs>
              <w:tab w:val="right" w:leader="dot" w:pos="8845"/>
            </w:tabs>
            <w:rPr>
              <w:rFonts w:hint="eastAsia" w:ascii="仿宋_GB2312" w:hAnsi="仿宋_GB2312" w:eastAsia="仿宋_GB2312" w:cs="仿宋_GB2312"/>
              <w:b/>
              <w:sz w:val="28"/>
              <w:szCs w:val="28"/>
            </w:rPr>
          </w:pPr>
          <w:r>
            <w:rPr>
              <w:color w:val="333333"/>
              <w:sz w:val="24"/>
              <w:szCs w:val="24"/>
              <w:shd w:val="clear" w:fill="FFFFFF"/>
            </w:rPr>
            <w:fldChar w:fldCharType="begin"/>
          </w:r>
          <w:r>
            <w:rPr>
              <w:color w:val="333333"/>
              <w:sz w:val="24"/>
              <w:szCs w:val="24"/>
              <w:shd w:val="clear" w:fill="FFFFFF"/>
            </w:rPr>
            <w:instrText xml:space="preserve">TOC \o "1-2" \h \u </w:instrText>
          </w:r>
          <w:r>
            <w:rPr>
              <w:color w:val="333333"/>
              <w:sz w:val="24"/>
              <w:szCs w:val="24"/>
              <w:shd w:val="clear" w:fill="FFFFFF"/>
            </w:rPr>
            <w:fldChar w:fldCharType="separate"/>
          </w: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_Toc9553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rPr>
            <w:t>一、 主要职能</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_Toc9553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8"/>
            <w:tabs>
              <w:tab w:val="right" w:leader="dot" w:pos="8845"/>
            </w:tabs>
            <w:rPr>
              <w:rFonts w:hint="eastAsia" w:ascii="仿宋_GB2312" w:hAnsi="仿宋_GB2312" w:eastAsia="仿宋_GB2312" w:cs="仿宋_GB2312"/>
              <w:b/>
              <w:sz w:val="28"/>
              <w:szCs w:val="28"/>
            </w:rPr>
          </w:pP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_Toc20512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lang w:val="en-US" w:eastAsia="zh-CN"/>
            </w:rPr>
            <w:t>二、机构设置情况</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_Toc20512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8"/>
            <w:tabs>
              <w:tab w:val="right" w:leader="dot" w:pos="8845"/>
            </w:tabs>
            <w:rPr>
              <w:rFonts w:hint="eastAsia" w:ascii="仿宋_GB2312" w:hAnsi="仿宋_GB2312" w:eastAsia="仿宋_GB2312" w:cs="仿宋_GB2312"/>
              <w:b/>
              <w:sz w:val="28"/>
              <w:szCs w:val="28"/>
            </w:rPr>
          </w:pP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_Toc5864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lang w:val="en-US" w:eastAsia="zh-CN"/>
            </w:rPr>
            <w:t>三、忻州市人民政府外事办公室2019年部门决算表</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_Toc5864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4</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8"/>
            <w:tabs>
              <w:tab w:val="right" w:leader="dot" w:pos="8845"/>
            </w:tabs>
            <w:rPr>
              <w:rFonts w:hint="eastAsia" w:ascii="仿宋_GB2312" w:hAnsi="仿宋_GB2312" w:eastAsia="仿宋_GB2312" w:cs="仿宋_GB2312"/>
              <w:b/>
              <w:sz w:val="28"/>
              <w:szCs w:val="28"/>
            </w:rPr>
          </w:pP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_Toc13603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lang w:val="en-US" w:eastAsia="zh-CN"/>
            </w:rPr>
            <w:t>四、忻州市人民政府外事办公室部门决算情况说明</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_Toc13603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4</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9"/>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_Toc27176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（一）收入情况说明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_Toc27176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9"/>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_Toc9638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（二）支出情况说明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_Toc9638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9"/>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_Toc1658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（三）“三公”经费情况说明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_Toc1658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9"/>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_Toc330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（四）机关运行经费情况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9"/>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_Toc29541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（五）国有资产占用情况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_Toc29541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9"/>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_Toc1567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（六）其他需要说明的情况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_Toc1567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8"/>
            <w:tabs>
              <w:tab w:val="right" w:leader="dot" w:pos="8845"/>
            </w:tabs>
            <w:rPr>
              <w:b/>
            </w:rPr>
          </w:pPr>
          <w:r>
            <w:rPr>
              <w:rFonts w:hint="eastAsia" w:ascii="仿宋_GB2312" w:hAnsi="仿宋_GB2312" w:eastAsia="仿宋_GB2312" w:cs="仿宋_GB2312"/>
              <w:b/>
              <w:color w:val="333333"/>
              <w:sz w:val="28"/>
              <w:szCs w:val="28"/>
              <w:shd w:val="clear" w:fill="FFFFFF"/>
            </w:rPr>
            <w:fldChar w:fldCharType="begin"/>
          </w:r>
          <w:r>
            <w:rPr>
              <w:rFonts w:hint="eastAsia" w:ascii="仿宋_GB2312" w:hAnsi="仿宋_GB2312" w:eastAsia="仿宋_GB2312" w:cs="仿宋_GB2312"/>
              <w:b/>
              <w:sz w:val="28"/>
              <w:szCs w:val="28"/>
              <w:shd w:val="clear" w:fill="FFFFFF"/>
            </w:rPr>
            <w:instrText xml:space="preserve"> HYPERLINK \l _Toc8385 </w:instrText>
          </w:r>
          <w:r>
            <w:rPr>
              <w:rFonts w:hint="eastAsia" w:ascii="仿宋_GB2312" w:hAnsi="仿宋_GB2312" w:eastAsia="仿宋_GB2312" w:cs="仿宋_GB2312"/>
              <w:b/>
              <w:sz w:val="28"/>
              <w:szCs w:val="28"/>
              <w:shd w:val="clear" w:fill="FFFFFF"/>
            </w:rPr>
            <w:fldChar w:fldCharType="separate"/>
          </w:r>
          <w:r>
            <w:rPr>
              <w:rFonts w:hint="eastAsia" w:ascii="仿宋_GB2312" w:hAnsi="仿宋_GB2312" w:eastAsia="仿宋_GB2312" w:cs="仿宋_GB2312"/>
              <w:b/>
              <w:sz w:val="28"/>
              <w:szCs w:val="28"/>
              <w:shd w:val="clear" w:fill="FFFFFF"/>
              <w:lang w:val="en-US" w:eastAsia="zh-CN"/>
            </w:rPr>
            <w:t>五</w:t>
          </w:r>
          <w:r>
            <w:rPr>
              <w:rFonts w:hint="eastAsia" w:ascii="仿宋_GB2312" w:hAnsi="仿宋_GB2312" w:eastAsia="仿宋_GB2312" w:cs="仿宋_GB2312"/>
              <w:b/>
              <w:sz w:val="28"/>
              <w:szCs w:val="28"/>
              <w:shd w:val="clear" w:fill="FFFFFF"/>
            </w:rPr>
            <w:t>、名词解释</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_Toc8385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6</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color w:val="333333"/>
              <w:sz w:val="28"/>
              <w:szCs w:val="28"/>
              <w:shd w:val="clear" w:fill="FFFFFF"/>
            </w:rPr>
            <w:fldChar w:fldCharType="end"/>
          </w:r>
        </w:p>
        <w:p>
          <w:pPr>
            <w:pStyle w:val="2"/>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r>
            <w:rPr>
              <w:b/>
              <w:color w:val="333333"/>
              <w:szCs w:val="24"/>
              <w:shd w:val="clear" w:fill="FFFFFF"/>
            </w:rPr>
            <w:fldChar w:fldCharType="end"/>
          </w:r>
        </w:p>
      </w:sdtContent>
    </w:sdt>
    <w:p>
      <w:pPr>
        <w:pStyle w:val="2"/>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2"/>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bookmarkStart w:id="11" w:name="_GoBack"/>
      <w:bookmarkEnd w:id="11"/>
    </w:p>
    <w:p>
      <w:pPr>
        <w:pStyle w:val="2"/>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2"/>
        <w:keepNext w:val="0"/>
        <w:keepLines w:val="0"/>
        <w:widowControl/>
        <w:suppressLineNumbers w:val="0"/>
        <w:spacing w:before="0" w:beforeAutospacing="0" w:after="0" w:afterAutospacing="0" w:line="504" w:lineRule="auto"/>
        <w:ind w:right="0" w:firstLine="640" w:firstLineChars="200"/>
        <w:outlineLvl w:val="0"/>
        <w:rPr>
          <w:rFonts w:hint="eastAsia" w:ascii="仿宋_GB2312" w:hAnsi="仿宋_GB2312" w:eastAsia="仿宋_GB2312" w:cs="仿宋_GB2312"/>
          <w:color w:val="333333"/>
          <w:sz w:val="32"/>
          <w:szCs w:val="32"/>
        </w:rPr>
      </w:pPr>
      <w:bookmarkStart w:id="0" w:name="_Toc9553"/>
      <w:r>
        <w:rPr>
          <w:rFonts w:hint="eastAsia" w:ascii="黑体" w:hAnsi="黑体" w:eastAsia="黑体" w:cs="黑体"/>
          <w:color w:val="333333"/>
          <w:sz w:val="32"/>
          <w:szCs w:val="32"/>
          <w:shd w:val="clear" w:fill="FFFFFF"/>
        </w:rPr>
        <w:t>一、 主要职能</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（一）贯彻落实有关外事工作的法律、法规和方针、政策；起草外事有关规范性文件；调查研究全市外事工作的重大问题并提出建议；监督检查全市外事方针政策的落实情况。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（二）拟定全市外事工作规划；协调全市重大外事工作和涉外活动；负责处理或协助处理全市重大涉外事务。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（三）围绕经济建设和对外开放进行外事调查研究，为市委和市政府决策提供意见和建议；利用对外交往渠道，为全市的经济建设和社会发展服务，积极参与全市对外招商引资和经贸活动。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（四）审核、会签全市各部门报请市委、市政府审批的外事文件，协调全市各部门的外事和涉外活动计划。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五）统筹办理市级对外联系交往和以市委、市人大、市人民政府、市政协名义举办的外事活动和其他活动中的涉外事务，办理市级领导出访的组织实施、参加外事活动的安排和市政府对外谈判、签约等有关事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（六）负责管理全市因公出国工作和对外邀请工作，审核、申报全市因公出国材料，并对出国人员进行培训。了解和检查全市因公出访人员在国外活动情况，定期综合全市公派出国和邀请外国人来访情况。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七）负责管理全市外事接待、礼宾工作，指导、协助有关部门做好外事接待工作；承担对外友好城市有关工作；指导各县（市、区）对外友好城市的交往活动；指导全市民间对外交往活动；负责协调有关部门做好对外开放区域的各项工作和外宾参观点的开辟建设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（八）负责外国新闻团组和新闻从业人员来忻采访的审核，审核外国记者要求会见和采访市领导的申请。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（九）会同有关部门管理在我市境内的外籍人员，提供必要的服务。协调有关单位处理涉及外籍人员管理工作的重要事项。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负责对全市从事外事工作和涉外人员进行对外政策、外事纪律的培训教育，总结交流外事工作经验；配合做好对外宣传和群众性外事教育工作；根据上级文件和规定，向市委、市政府及全市各部门提供国际形势、对外政策和重大国际问题的宣传资料和对外表态口径，协同审核全市重要涉外报道文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（十一）认真贯彻执行外事纪律；配合纪检、监察和保密部门监督检查外事纪律及保密制度的执行情况，协助有关部门对涉外案件和违反外事纪律案件进行查处。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（十二）承办市委、市人民政府交办的其它工作。</w:t>
      </w:r>
    </w:p>
    <w:p>
      <w:pPr>
        <w:numPr>
          <w:ilvl w:val="0"/>
          <w:numId w:val="0"/>
        </w:numPr>
        <w:jc w:val="left"/>
        <w:outlineLvl w:val="0"/>
        <w:rPr>
          <w:rFonts w:hint="eastAsia" w:ascii="黑体" w:hAnsi="黑体" w:eastAsia="黑体" w:cs="黑体"/>
          <w:color w:val="333333"/>
          <w:sz w:val="32"/>
          <w:szCs w:val="32"/>
          <w:shd w:val="clear" w:fill="FFFFFF"/>
          <w:lang w:val="en-US" w:eastAsia="zh-CN"/>
        </w:rPr>
      </w:pPr>
      <w:bookmarkStart w:id="1" w:name="_Toc20512"/>
      <w:r>
        <w:rPr>
          <w:rFonts w:hint="eastAsia" w:ascii="黑体" w:hAnsi="黑体" w:eastAsia="黑体" w:cs="黑体"/>
          <w:color w:val="333333"/>
          <w:sz w:val="32"/>
          <w:szCs w:val="32"/>
          <w:shd w:val="clear" w:fill="FFFFFF"/>
          <w:lang w:val="en-US" w:eastAsia="zh-CN"/>
        </w:rPr>
        <w:t>二、机构设置情况</w:t>
      </w:r>
      <w:bookmarkEnd w:id="1"/>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kern w:val="0"/>
          <w:sz w:val="32"/>
          <w:szCs w:val="32"/>
          <w:shd w:val="clear" w:fill="FFFFFF"/>
          <w:lang w:val="en-US" w:eastAsia="zh-CN" w:bidi="ar"/>
        </w:rPr>
        <w:t xml:space="preserve">　  </w:t>
      </w:r>
      <w:r>
        <w:rPr>
          <w:rFonts w:hint="eastAsia" w:ascii="仿宋_GB2312" w:hAnsi="仿宋_GB2312" w:eastAsia="仿宋_GB2312" w:cs="仿宋_GB2312"/>
          <w:color w:val="333333"/>
          <w:sz w:val="32"/>
          <w:szCs w:val="32"/>
          <w:shd w:val="clear" w:fill="FFFFFF"/>
          <w:lang w:val="en-US" w:eastAsia="zh-CN"/>
        </w:rPr>
        <w:t>忻州市人民政府外事办公室为财政拨款行政单位，正处级建制。编制14人，在职人员14人。内设科室：外事（综合）科、秘书科、台港澳科；下属事业单位1个：涉外涉台港澳交流中心（财务不独立）。</w:t>
      </w:r>
    </w:p>
    <w:p>
      <w:pPr>
        <w:pStyle w:val="2"/>
        <w:keepNext w:val="0"/>
        <w:keepLines w:val="0"/>
        <w:widowControl/>
        <w:suppressLineNumbers w:val="0"/>
        <w:spacing w:before="0" w:beforeAutospacing="0" w:after="0" w:afterAutospacing="0" w:line="504" w:lineRule="auto"/>
        <w:ind w:left="0" w:right="0"/>
        <w:jc w:val="left"/>
        <w:outlineLvl w:val="0"/>
        <w:rPr>
          <w:rFonts w:hint="eastAsia" w:ascii="黑体" w:hAnsi="黑体" w:eastAsia="黑体" w:cs="黑体"/>
          <w:color w:val="333333"/>
          <w:sz w:val="32"/>
          <w:szCs w:val="32"/>
          <w:shd w:val="clear" w:fill="FFFFFF"/>
          <w:lang w:val="en-US" w:eastAsia="zh-CN"/>
        </w:rPr>
      </w:pPr>
      <w:bookmarkStart w:id="2" w:name="_Toc5864"/>
      <w:r>
        <w:rPr>
          <w:rFonts w:hint="eastAsia" w:ascii="黑体" w:hAnsi="黑体" w:eastAsia="黑体" w:cs="黑体"/>
          <w:color w:val="333333"/>
          <w:sz w:val="32"/>
          <w:szCs w:val="32"/>
          <w:shd w:val="clear" w:fill="FFFFFF"/>
          <w:lang w:val="en-US" w:eastAsia="zh-CN"/>
        </w:rPr>
        <w:t>三、忻州市人民政府外事办公室2019年部门决算表</w:t>
      </w:r>
      <w:bookmarkEnd w:id="2"/>
    </w:p>
    <w:p>
      <w:pPr>
        <w:pStyle w:val="2"/>
        <w:keepNext w:val="0"/>
        <w:keepLines w:val="0"/>
        <w:widowControl/>
        <w:suppressLineNumbers w:val="0"/>
        <w:spacing w:before="0" w:beforeAutospacing="0" w:after="0" w:afterAutospacing="0" w:line="504" w:lineRule="auto"/>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点击查看【附件】</w:t>
      </w:r>
    </w:p>
    <w:p>
      <w:pPr>
        <w:pStyle w:val="2"/>
        <w:keepNext w:val="0"/>
        <w:keepLines w:val="0"/>
        <w:widowControl/>
        <w:suppressLineNumbers w:val="0"/>
        <w:spacing w:before="0" w:beforeAutospacing="0" w:after="0" w:afterAutospacing="0" w:line="504" w:lineRule="auto"/>
        <w:ind w:left="0" w:right="0"/>
        <w:outlineLvl w:val="0"/>
        <w:rPr>
          <w:rFonts w:hint="eastAsia" w:ascii="黑体" w:hAnsi="黑体" w:eastAsia="黑体" w:cs="黑体"/>
          <w:color w:val="333333"/>
          <w:sz w:val="32"/>
          <w:szCs w:val="32"/>
          <w:shd w:val="clear" w:fill="FFFFFF"/>
          <w:lang w:val="en-US" w:eastAsia="zh-CN"/>
        </w:rPr>
      </w:pPr>
      <w:bookmarkStart w:id="3" w:name="_Toc13603"/>
      <w:r>
        <w:rPr>
          <w:rFonts w:hint="eastAsia" w:ascii="黑体" w:hAnsi="黑体" w:eastAsia="黑体" w:cs="黑体"/>
          <w:color w:val="333333"/>
          <w:sz w:val="32"/>
          <w:szCs w:val="32"/>
          <w:shd w:val="clear" w:fill="FFFFFF"/>
          <w:lang w:val="en-US" w:eastAsia="zh-CN"/>
        </w:rPr>
        <w:t>四、忻州市人民政府外事办公室部门决算情况说明</w:t>
      </w:r>
      <w:bookmarkEnd w:id="3"/>
    </w:p>
    <w:p>
      <w:pPr>
        <w:pStyle w:val="2"/>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bookmarkStart w:id="4" w:name="_Toc27176"/>
      <w:r>
        <w:rPr>
          <w:rFonts w:hint="eastAsia" w:ascii="仿宋_GB2312" w:hAnsi="仿宋_GB2312" w:eastAsia="仿宋_GB2312" w:cs="仿宋_GB2312"/>
          <w:color w:val="333333"/>
          <w:sz w:val="32"/>
          <w:szCs w:val="32"/>
          <w:shd w:val="clear" w:fill="FFFFFF"/>
          <w:lang w:val="en-US" w:eastAsia="zh-CN"/>
        </w:rPr>
        <w:t>（一）收入情况说明</w:t>
      </w:r>
      <w:bookmarkEnd w:id="4"/>
    </w:p>
    <w:p>
      <w:pPr>
        <w:pStyle w:val="2"/>
        <w:keepNext w:val="0"/>
        <w:keepLines w:val="0"/>
        <w:widowControl/>
        <w:suppressLineNumbers w:val="0"/>
        <w:spacing w:before="0" w:beforeAutospacing="0" w:after="0" w:afterAutospacing="0" w:line="504" w:lineRule="auto"/>
        <w:ind w:left="0" w:right="0"/>
        <w:jc w:val="left"/>
        <w:rPr>
          <w:rFonts w:hint="default"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忻州市外办2019年收入141.9万元，其中：财政拨款收入140.83万元，其他收入1.07万元，较2018年相比增加36.21万元，增加34.26%，增加原因为机构改革，人员合并，经费支出增加。</w:t>
      </w:r>
    </w:p>
    <w:p>
      <w:pPr>
        <w:pStyle w:val="2"/>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5" w:name="_Toc9638"/>
      <w:r>
        <w:rPr>
          <w:rFonts w:hint="eastAsia" w:ascii="仿宋_GB2312" w:hAnsi="仿宋_GB2312" w:eastAsia="仿宋_GB2312" w:cs="仿宋_GB2312"/>
          <w:color w:val="333333"/>
          <w:sz w:val="32"/>
          <w:szCs w:val="32"/>
          <w:shd w:val="clear" w:fill="FFFFFF"/>
          <w:lang w:val="en-US" w:eastAsia="zh-CN"/>
        </w:rPr>
        <w:t>（二）支出情况说明</w:t>
      </w:r>
      <w:bookmarkEnd w:id="5"/>
    </w:p>
    <w:p>
      <w:pPr>
        <w:pStyle w:val="2"/>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忻州市外办2019年支出135.4万元，财政拨款支出134.32万元，其他支出1.07万元，较2018年相比增加29.71万元，增加了28.11%。其中：</w:t>
      </w:r>
    </w:p>
    <w:p>
      <w:pPr>
        <w:pStyle w:val="2"/>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1、 基本支出103.4万元，其中：人员经费91.11万元，主要包括基本工资、津贴补贴、奖金、机关事业单位基本养老保险缴费、 城镇职工基本医疗保险缴费、其他社会保障缴费、住房公积金、其他工资福利支出；对个人和家庭补助包括退休费、生活补助、奖励金等；公用经费12.22万元，主要包括办公费、印刷费、邮电费、取暖费、差旅费、会议费、培训费、工会经费、福利费、公务用车维护费、公务接待费、办公设备购置、其他商品和服务支出等。</w:t>
      </w:r>
    </w:p>
    <w:p>
      <w:pPr>
        <w:pStyle w:val="2"/>
        <w:keepNext w:val="0"/>
        <w:keepLines w:val="0"/>
        <w:widowControl/>
        <w:suppressLineNumbers w:val="0"/>
        <w:spacing w:before="0" w:beforeAutospacing="0" w:after="0" w:afterAutospacing="0" w:line="504" w:lineRule="auto"/>
        <w:ind w:left="0" w:right="0"/>
        <w:jc w:val="left"/>
        <w:rPr>
          <w:rFonts w:hint="default"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2、项目支出31万元，项目支出主要用于外事、台港澳宣传经费、交流费、出国经费等支出。</w:t>
      </w:r>
    </w:p>
    <w:p>
      <w:pPr>
        <w:pStyle w:val="2"/>
        <w:keepNext w:val="0"/>
        <w:keepLines w:val="0"/>
        <w:widowControl/>
        <w:suppressLineNumbers w:val="0"/>
        <w:spacing w:before="0" w:beforeAutospacing="0" w:after="0" w:afterAutospacing="0" w:line="504" w:lineRule="auto"/>
        <w:ind w:left="0" w:right="0" w:firstLine="640" w:firstLineChars="20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3、市外办无政府性基金预算财政拨款支出。</w:t>
      </w:r>
    </w:p>
    <w:p>
      <w:pPr>
        <w:pStyle w:val="2"/>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6" w:name="_Toc1658"/>
      <w:r>
        <w:rPr>
          <w:rFonts w:hint="eastAsia" w:ascii="仿宋_GB2312" w:hAnsi="仿宋_GB2312" w:eastAsia="仿宋_GB2312" w:cs="仿宋_GB2312"/>
          <w:color w:val="333333"/>
          <w:sz w:val="32"/>
          <w:szCs w:val="32"/>
          <w:shd w:val="clear" w:fill="FFFFFF"/>
          <w:lang w:val="en-US" w:eastAsia="zh-CN"/>
        </w:rPr>
        <w:t>（三）“三公”经费情况说明</w:t>
      </w:r>
      <w:bookmarkEnd w:id="6"/>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2019年“三公”经费共计15.2万元，其中支出公务用车运行维护费3万元，2018年“三公”经费支出为0万元，比2018年增加3万元，增加主要原因为增公务用车1辆，主要用于到各县调研、到贫困村帮扶等业务所需车辆燃料费、维修费、过路费、保险费等；出国经费12.2万元，属于新增项目经费，用于陪同市政府代表团出访乌克兰、俄罗斯、克罗地亚三国进行交流。</w:t>
      </w:r>
    </w:p>
    <w:p>
      <w:pPr>
        <w:pStyle w:val="2"/>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7" w:name="_Toc330"/>
      <w:r>
        <w:rPr>
          <w:rFonts w:hint="eastAsia" w:ascii="仿宋_GB2312" w:hAnsi="仿宋_GB2312" w:eastAsia="仿宋_GB2312" w:cs="仿宋_GB2312"/>
          <w:color w:val="333333"/>
          <w:sz w:val="32"/>
          <w:szCs w:val="32"/>
          <w:shd w:val="clear" w:fill="FFFFFF"/>
          <w:lang w:val="en-US" w:eastAsia="zh-CN"/>
        </w:rPr>
        <w:t>（四）机关运行经费情况</w:t>
      </w:r>
      <w:bookmarkEnd w:id="7"/>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2019年机关运行经费支出12.2万元，主要为保障行政单位运行用于购买货物和服务的各项资金，包括办公费、印刷费、邮电费、差旅费、会议费、培训费、日常维修（护）费、公务用车运行维护费及其他费用。</w:t>
      </w:r>
    </w:p>
    <w:p>
      <w:pPr>
        <w:pStyle w:val="2"/>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8" w:name="_Toc29541"/>
      <w:r>
        <w:rPr>
          <w:rFonts w:hint="eastAsia" w:ascii="仿宋_GB2312" w:hAnsi="仿宋_GB2312" w:eastAsia="仿宋_GB2312" w:cs="仿宋_GB2312"/>
          <w:color w:val="333333"/>
          <w:sz w:val="32"/>
          <w:szCs w:val="32"/>
          <w:shd w:val="clear" w:fill="FFFFFF"/>
          <w:lang w:val="en-US" w:eastAsia="zh-CN"/>
        </w:rPr>
        <w:t>（五）国有资产占用情况</w:t>
      </w:r>
      <w:bookmarkEnd w:id="8"/>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1、车辆情况</w:t>
      </w:r>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我单位代管、使用一辆公务用车。</w:t>
      </w:r>
    </w:p>
    <w:p>
      <w:pPr>
        <w:pStyle w:val="2"/>
        <w:keepNext w:val="0"/>
        <w:keepLines w:val="0"/>
        <w:widowControl/>
        <w:numPr>
          <w:ilvl w:val="0"/>
          <w:numId w:val="0"/>
        </w:numPr>
        <w:suppressLineNumbers w:val="0"/>
        <w:spacing w:before="0" w:beforeAutospacing="0" w:after="0" w:afterAutospacing="0" w:line="504" w:lineRule="auto"/>
        <w:ind w:left="640" w:leftChars="0" w:right="0" w:rightChars="0" w:firstLine="320" w:firstLineChars="10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2、房屋情况</w:t>
      </w:r>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我单位办公室用房面积210.54平米。</w:t>
      </w:r>
    </w:p>
    <w:p>
      <w:pPr>
        <w:pStyle w:val="2"/>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9" w:name="_Toc1567"/>
      <w:r>
        <w:rPr>
          <w:rFonts w:hint="eastAsia" w:ascii="仿宋_GB2312" w:hAnsi="仿宋_GB2312" w:eastAsia="仿宋_GB2312" w:cs="仿宋_GB2312"/>
          <w:color w:val="333333"/>
          <w:sz w:val="32"/>
          <w:szCs w:val="32"/>
          <w:shd w:val="clear" w:fill="FFFFFF"/>
          <w:lang w:val="en-US" w:eastAsia="zh-CN"/>
        </w:rPr>
        <w:t>（六）其他需要说明的情况</w:t>
      </w:r>
      <w:bookmarkEnd w:id="9"/>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1、政府采购情况</w:t>
      </w:r>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2019年采购支出总额4.02万元。其中：政府采购货物支出3.71万元，占采购支出总额的92%；政府采购服务支出0.32万元，占采购支出总额的8%。</w:t>
      </w:r>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2、预算绩效情况</w:t>
      </w:r>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根据财政预算管理要求，我单位对2019年度单位整体支出进行了绩效自评。</w:t>
      </w:r>
    </w:p>
    <w:p>
      <w:pPr>
        <w:pStyle w:val="2"/>
        <w:keepNext w:val="0"/>
        <w:keepLines w:val="0"/>
        <w:widowControl/>
        <w:suppressLineNumbers w:val="0"/>
        <w:spacing w:before="0" w:beforeAutospacing="0" w:after="0" w:afterAutospacing="0" w:line="504" w:lineRule="auto"/>
        <w:ind w:left="0" w:right="0"/>
        <w:jc w:val="left"/>
        <w:outlineLvl w:val="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lang w:val="en-US" w:eastAsia="zh-CN"/>
        </w:rPr>
        <w:t>　</w:t>
      </w:r>
      <w:bookmarkStart w:id="10" w:name="_Toc8385"/>
      <w:r>
        <w:rPr>
          <w:rFonts w:hint="eastAsia" w:ascii="黑体" w:hAnsi="黑体" w:eastAsia="黑体" w:cs="黑体"/>
          <w:color w:val="333333"/>
          <w:sz w:val="32"/>
          <w:szCs w:val="32"/>
          <w:shd w:val="clear" w:fill="FFFFFF"/>
          <w:lang w:val="en-US" w:eastAsia="zh-CN"/>
        </w:rPr>
        <w:t>五</w:t>
      </w:r>
      <w:r>
        <w:rPr>
          <w:rFonts w:hint="eastAsia" w:ascii="黑体" w:hAnsi="黑体" w:eastAsia="黑体" w:cs="黑体"/>
          <w:color w:val="333333"/>
          <w:sz w:val="32"/>
          <w:szCs w:val="32"/>
          <w:shd w:val="clear" w:fill="FFFFFF"/>
        </w:rPr>
        <w:t>、名词解释</w:t>
      </w:r>
      <w:bookmarkEnd w:id="10"/>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333333"/>
          <w:sz w:val="32"/>
          <w:szCs w:val="32"/>
          <w:shd w:val="clear" w:fill="FFFFFF"/>
          <w:lang w:val="en-US" w:eastAsia="zh-CN"/>
        </w:rPr>
        <w:t>（一）基本支出：指为保障机构正常运转、完成日常工作任务而发生的人员支出和公用支出。</w:t>
      </w:r>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（二）项目支出：指在基本支出之外为完成特定行政任务和事业发展目标所发生的支出。</w:t>
      </w:r>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（四）机关运行经费：指行政单位和参照公务员管理的事业单位使用一般公共预算安排的基本支出中的日常公用经费支出。</w:t>
      </w:r>
    </w:p>
    <w:p>
      <w:pPr>
        <w:pStyle w:val="2"/>
        <w:keepNext w:val="0"/>
        <w:keepLines w:val="0"/>
        <w:widowControl/>
        <w:suppressLineNumbers w:val="0"/>
        <w:spacing w:before="0" w:beforeAutospacing="0" w:after="0" w:afterAutospacing="0" w:line="504" w:lineRule="auto"/>
        <w:ind w:left="0" w:right="0"/>
        <w:rPr>
          <w:color w:val="333333"/>
          <w:sz w:val="24"/>
          <w:szCs w:val="24"/>
        </w:rPr>
      </w:pPr>
      <w:r>
        <w:rPr>
          <w:color w:val="333333"/>
          <w:sz w:val="24"/>
          <w:szCs w:val="24"/>
          <w:shd w:val="clear" w:fill="FFFFFF"/>
        </w:rPr>
        <w:t>　　</w:t>
      </w:r>
    </w:p>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B81BE5"/>
    <w:rsid w:val="2DED4FF1"/>
    <w:rsid w:val="6A9C1B9C"/>
    <w:rsid w:val="6D8F51EC"/>
    <w:rsid w:val="77565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1"/>
      <w:szCs w:val="21"/>
      <w:lang w:val="en-US" w:eastAsia="zh-CN" w:bidi="ar"/>
    </w:rPr>
  </w:style>
  <w:style w:type="character" w:styleId="5">
    <w:name w:val="FollowedHyperlink"/>
    <w:basedOn w:val="4"/>
    <w:qFormat/>
    <w:uiPriority w:val="0"/>
    <w:rPr>
      <w:color w:val="222222"/>
      <w:u w:val="none"/>
    </w:rPr>
  </w:style>
  <w:style w:type="character" w:styleId="6">
    <w:name w:val="Hyperlink"/>
    <w:basedOn w:val="4"/>
    <w:qFormat/>
    <w:uiPriority w:val="0"/>
    <w:rPr>
      <w:color w:val="222222"/>
      <w:u w:val="none"/>
    </w:rPr>
  </w:style>
  <w:style w:type="character" w:customStyle="1" w:styleId="7">
    <w:name w:val="owl-numbers"/>
    <w:basedOn w:val="4"/>
    <w:uiPriority w:val="0"/>
    <w:rPr>
      <w:color w:val="FFFFFF"/>
      <w:sz w:val="18"/>
      <w:szCs w:val="18"/>
    </w:rPr>
  </w:style>
  <w:style w:type="paragraph" w:customStyle="1" w:styleId="8">
    <w:name w:val="WPSOffice手动目录 1"/>
    <w:uiPriority w:val="0"/>
    <w:pPr>
      <w:ind w:leftChars="0"/>
    </w:pPr>
    <w:rPr>
      <w:sz w:val="20"/>
      <w:szCs w:val="20"/>
    </w:rPr>
  </w:style>
  <w:style w:type="paragraph" w:customStyle="1" w:styleId="9">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2020-08-14T03:00:00Z</dcterms:created>
  <dc:creator>lenovo</dc:creator>
  <cp:lastModifiedBy>lenovo</cp:lastModifiedBy>
  <dcterms:modified xsi:type="dcterms:W3CDTF">2021-05-21T01:23:48Z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545402B8F8BF4BE08F66144DAD435372</vt:lpwstr>
  </property>
</Properties>
</file>