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0" w:afterAutospacing="0" w:line="504" w:lineRule="auto"/>
        <w:ind w:left="0" w:right="0"/>
        <w:rPr>
          <w:color w:val="333333"/>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600" w:lineRule="exact"/>
        <w:ind w:lef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忻州市人民政府外事办公室2020年预算公开说明</w:t>
      </w:r>
    </w:p>
    <w:p>
      <w:pPr>
        <w:keepNext w:val="0"/>
        <w:keepLines w:val="0"/>
        <w:pageBreakBefore w:val="0"/>
        <w:widowControl w:val="0"/>
        <w:kinsoku/>
        <w:wordWrap/>
        <w:overflowPunct/>
        <w:topLinePunct w:val="0"/>
        <w:autoSpaceDE/>
        <w:autoSpaceDN/>
        <w:bidi w:val="0"/>
        <w:adjustRightInd/>
        <w:snapToGrid/>
        <w:spacing w:line="600" w:lineRule="exact"/>
        <w:ind w:leftChars="0"/>
        <w:jc w:val="center"/>
        <w:textAlignment w:val="auto"/>
        <w:rPr>
          <w:rFonts w:hint="eastAsia" w:ascii="方正小标宋简体" w:hAnsi="方正小标宋简体" w:eastAsia="方正小标宋简体" w:cs="方正小标宋简体"/>
          <w:sz w:val="44"/>
          <w:szCs w:val="44"/>
          <w:lang w:val="en-US" w:eastAsia="zh-CN"/>
        </w:rPr>
      </w:pPr>
    </w:p>
    <w:sdt>
      <w:sdtPr>
        <w:rPr>
          <w:rFonts w:hint="eastAsia" w:ascii="仿宋_GB2312" w:hAnsi="仿宋_GB2312" w:eastAsia="仿宋_GB2312" w:cs="仿宋_GB2312"/>
          <w:b/>
          <w:bCs/>
          <w:kern w:val="2"/>
          <w:sz w:val="28"/>
          <w:szCs w:val="28"/>
          <w:lang w:val="en-US" w:eastAsia="zh-CN" w:bidi="ar-SA"/>
        </w:rPr>
        <w:id w:val="147458826"/>
        <w15:color w:val="DBDBDB"/>
        <w:docPartObj>
          <w:docPartGallery w:val="Table of Contents"/>
          <w:docPartUnique/>
        </w:docPartObj>
      </w:sdtPr>
      <w:sdtEndPr>
        <w:rPr>
          <w:rFonts w:asciiTheme="minorHAnsi" w:hAnsiTheme="minorHAnsi" w:eastAsiaTheme="minorEastAsia" w:cstheme="minorBidi"/>
          <w:b/>
          <w:color w:val="333333"/>
          <w:kern w:val="0"/>
          <w:sz w:val="21"/>
          <w:szCs w:val="24"/>
          <w:shd w:val="clear" w:fill="FFFFFF"/>
          <w:lang w:val="en-US" w:eastAsia="zh-CN" w:bidi="ar"/>
        </w:rPr>
      </w:sdtEndPr>
      <w:sdtContent>
        <w:p>
          <w:pPr>
            <w:spacing w:before="0" w:beforeLines="0" w:after="0" w:afterLines="0" w:line="240" w:lineRule="auto"/>
            <w:ind w:left="0" w:leftChars="0" w:right="0" w:rightChars="0" w:firstLine="0" w:firstLineChars="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目</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录</w:t>
          </w:r>
        </w:p>
        <w:p>
          <w:pPr>
            <w:pStyle w:val="10"/>
            <w:tabs>
              <w:tab w:val="right" w:leader="dot" w:pos="8845"/>
            </w:tabs>
            <w:rPr>
              <w:rFonts w:hint="eastAsia" w:ascii="仿宋_GB2312" w:hAnsi="仿宋_GB2312" w:eastAsia="仿宋_GB2312" w:cs="仿宋_GB2312"/>
              <w:b/>
              <w:sz w:val="28"/>
              <w:szCs w:val="28"/>
            </w:rPr>
          </w:pPr>
          <w:r>
            <w:rPr>
              <w:rFonts w:hint="eastAsia" w:ascii="仿宋_GB2312" w:hAnsi="仿宋_GB2312" w:eastAsia="仿宋_GB2312" w:cs="仿宋_GB2312"/>
              <w:color w:val="333333"/>
              <w:sz w:val="28"/>
              <w:szCs w:val="28"/>
              <w:shd w:val="clear" w:fill="FFFFFF"/>
            </w:rPr>
            <w:fldChar w:fldCharType="begin"/>
          </w:r>
          <w:r>
            <w:rPr>
              <w:rFonts w:hint="eastAsia" w:ascii="仿宋_GB2312" w:hAnsi="仿宋_GB2312" w:eastAsia="仿宋_GB2312" w:cs="仿宋_GB2312"/>
              <w:color w:val="333333"/>
              <w:sz w:val="28"/>
              <w:szCs w:val="28"/>
              <w:shd w:val="clear" w:fill="FFFFFF"/>
            </w:rPr>
            <w:instrText xml:space="preserve">TOC \o "1-2" \h \u </w:instrText>
          </w:r>
          <w:r>
            <w:rPr>
              <w:rFonts w:hint="eastAsia" w:ascii="仿宋_GB2312" w:hAnsi="仿宋_GB2312" w:eastAsia="仿宋_GB2312" w:cs="仿宋_GB2312"/>
              <w:color w:val="333333"/>
              <w:sz w:val="28"/>
              <w:szCs w:val="28"/>
              <w:shd w:val="clear" w:fill="FFFFFF"/>
            </w:rPr>
            <w:fldChar w:fldCharType="separate"/>
          </w:r>
          <w:r>
            <w:rPr>
              <w:rFonts w:hint="eastAsia" w:ascii="仿宋_GB2312" w:hAnsi="仿宋_GB2312" w:eastAsia="仿宋_GB2312" w:cs="仿宋_GB2312"/>
              <w:b/>
              <w:color w:val="333333"/>
              <w:sz w:val="28"/>
              <w:szCs w:val="28"/>
              <w:shd w:val="clear" w:fill="FFFFFF"/>
            </w:rPr>
            <w:fldChar w:fldCharType="begin"/>
          </w:r>
          <w:r>
            <w:rPr>
              <w:rFonts w:hint="eastAsia" w:ascii="仿宋_GB2312" w:hAnsi="仿宋_GB2312" w:eastAsia="仿宋_GB2312" w:cs="仿宋_GB2312"/>
              <w:b/>
              <w:sz w:val="28"/>
              <w:szCs w:val="28"/>
              <w:shd w:val="clear" w:fill="FFFFFF"/>
            </w:rPr>
            <w:instrText xml:space="preserve"> HYPERLINK \l _Toc27018 </w:instrText>
          </w:r>
          <w:r>
            <w:rPr>
              <w:rFonts w:hint="eastAsia" w:ascii="仿宋_GB2312" w:hAnsi="仿宋_GB2312" w:eastAsia="仿宋_GB2312" w:cs="仿宋_GB2312"/>
              <w:b/>
              <w:sz w:val="28"/>
              <w:szCs w:val="28"/>
              <w:shd w:val="clear" w:fill="FFFFFF"/>
            </w:rPr>
            <w:fldChar w:fldCharType="separate"/>
          </w:r>
          <w:r>
            <w:rPr>
              <w:rFonts w:hint="eastAsia" w:ascii="仿宋_GB2312" w:hAnsi="仿宋_GB2312" w:eastAsia="仿宋_GB2312" w:cs="仿宋_GB2312"/>
              <w:b/>
              <w:sz w:val="28"/>
              <w:szCs w:val="28"/>
              <w:shd w:val="clear" w:fill="FFFFFF"/>
            </w:rPr>
            <w:t>一、 主要职能及部门预算单位构成</w:t>
          </w:r>
          <w:r>
            <w:rPr>
              <w:rFonts w:hint="eastAsia" w:ascii="仿宋_GB2312" w:hAnsi="仿宋_GB2312" w:eastAsia="仿宋_GB2312" w:cs="仿宋_GB2312"/>
              <w:b/>
              <w:sz w:val="28"/>
              <w:szCs w:val="28"/>
            </w:rPr>
            <w:tab/>
          </w:r>
          <w:r>
            <w:rPr>
              <w:rFonts w:hint="eastAsia" w:ascii="仿宋_GB2312" w:hAnsi="仿宋_GB2312" w:eastAsia="仿宋_GB2312" w:cs="仿宋_GB2312"/>
              <w:b/>
              <w:sz w:val="28"/>
              <w:szCs w:val="28"/>
            </w:rPr>
            <w:fldChar w:fldCharType="begin"/>
          </w:r>
          <w:r>
            <w:rPr>
              <w:rFonts w:hint="eastAsia" w:ascii="仿宋_GB2312" w:hAnsi="仿宋_GB2312" w:eastAsia="仿宋_GB2312" w:cs="仿宋_GB2312"/>
              <w:b/>
              <w:sz w:val="28"/>
              <w:szCs w:val="28"/>
            </w:rPr>
            <w:instrText xml:space="preserve"> PAGEREF _Toc27018 \h </w:instrText>
          </w:r>
          <w:r>
            <w:rPr>
              <w:rFonts w:hint="eastAsia" w:ascii="仿宋_GB2312" w:hAnsi="仿宋_GB2312" w:eastAsia="仿宋_GB2312" w:cs="仿宋_GB2312"/>
              <w:b/>
              <w:sz w:val="28"/>
              <w:szCs w:val="28"/>
            </w:rPr>
            <w:fldChar w:fldCharType="separate"/>
          </w:r>
          <w:r>
            <w:rPr>
              <w:rFonts w:hint="eastAsia" w:ascii="仿宋_GB2312" w:hAnsi="仿宋_GB2312" w:eastAsia="仿宋_GB2312" w:cs="仿宋_GB2312"/>
              <w:b/>
              <w:sz w:val="28"/>
              <w:szCs w:val="28"/>
            </w:rPr>
            <w:t>2</w:t>
          </w:r>
          <w:r>
            <w:rPr>
              <w:rFonts w:hint="eastAsia" w:ascii="仿宋_GB2312" w:hAnsi="仿宋_GB2312" w:eastAsia="仿宋_GB2312" w:cs="仿宋_GB2312"/>
              <w:b/>
              <w:sz w:val="28"/>
              <w:szCs w:val="28"/>
            </w:rPr>
            <w:fldChar w:fldCharType="end"/>
          </w:r>
          <w:r>
            <w:rPr>
              <w:rFonts w:hint="eastAsia" w:ascii="仿宋_GB2312" w:hAnsi="仿宋_GB2312" w:eastAsia="仿宋_GB2312" w:cs="仿宋_GB2312"/>
              <w:b/>
              <w:color w:val="333333"/>
              <w:sz w:val="28"/>
              <w:szCs w:val="28"/>
              <w:shd w:val="clear" w:fill="FFFFFF"/>
            </w:rPr>
            <w:fldChar w:fldCharType="end"/>
          </w:r>
        </w:p>
        <w:p>
          <w:pPr>
            <w:pStyle w:val="10"/>
            <w:tabs>
              <w:tab w:val="right" w:leader="dot" w:pos="8845"/>
            </w:tabs>
            <w:rPr>
              <w:rFonts w:hint="eastAsia" w:ascii="仿宋_GB2312" w:hAnsi="仿宋_GB2312" w:eastAsia="仿宋_GB2312" w:cs="仿宋_GB2312"/>
              <w:b/>
              <w:sz w:val="28"/>
              <w:szCs w:val="28"/>
            </w:rPr>
          </w:pPr>
          <w:r>
            <w:rPr>
              <w:rFonts w:hint="eastAsia" w:ascii="仿宋_GB2312" w:hAnsi="仿宋_GB2312" w:eastAsia="仿宋_GB2312" w:cs="仿宋_GB2312"/>
              <w:b/>
              <w:color w:val="333333"/>
              <w:sz w:val="28"/>
              <w:szCs w:val="28"/>
              <w:shd w:val="clear" w:fill="FFFFFF"/>
            </w:rPr>
            <w:fldChar w:fldCharType="begin"/>
          </w:r>
          <w:r>
            <w:rPr>
              <w:rFonts w:hint="eastAsia" w:ascii="仿宋_GB2312" w:hAnsi="仿宋_GB2312" w:eastAsia="仿宋_GB2312" w:cs="仿宋_GB2312"/>
              <w:b/>
              <w:sz w:val="28"/>
              <w:szCs w:val="28"/>
              <w:shd w:val="clear" w:fill="FFFFFF"/>
            </w:rPr>
            <w:instrText xml:space="preserve"> HYPERLINK \l _Toc3554 </w:instrText>
          </w:r>
          <w:r>
            <w:rPr>
              <w:rFonts w:hint="eastAsia" w:ascii="仿宋_GB2312" w:hAnsi="仿宋_GB2312" w:eastAsia="仿宋_GB2312" w:cs="仿宋_GB2312"/>
              <w:b/>
              <w:sz w:val="28"/>
              <w:szCs w:val="28"/>
              <w:shd w:val="clear" w:fill="FFFFFF"/>
            </w:rPr>
            <w:fldChar w:fldCharType="separate"/>
          </w:r>
          <w:r>
            <w:rPr>
              <w:rFonts w:hint="eastAsia" w:ascii="仿宋_GB2312" w:hAnsi="仿宋_GB2312" w:eastAsia="仿宋_GB2312" w:cs="仿宋_GB2312"/>
              <w:b/>
              <w:sz w:val="28"/>
              <w:szCs w:val="28"/>
              <w:shd w:val="clear" w:fill="FFFFFF"/>
              <w:lang w:val="en-US" w:eastAsia="zh-CN"/>
            </w:rPr>
            <w:t>二、机构设置情况</w:t>
          </w:r>
          <w:r>
            <w:rPr>
              <w:rFonts w:hint="eastAsia" w:ascii="仿宋_GB2312" w:hAnsi="仿宋_GB2312" w:eastAsia="仿宋_GB2312" w:cs="仿宋_GB2312"/>
              <w:b/>
              <w:sz w:val="28"/>
              <w:szCs w:val="28"/>
            </w:rPr>
            <w:tab/>
          </w:r>
          <w:r>
            <w:rPr>
              <w:rFonts w:hint="eastAsia" w:ascii="仿宋_GB2312" w:hAnsi="仿宋_GB2312" w:eastAsia="仿宋_GB2312" w:cs="仿宋_GB2312"/>
              <w:b/>
              <w:sz w:val="28"/>
              <w:szCs w:val="28"/>
            </w:rPr>
            <w:fldChar w:fldCharType="begin"/>
          </w:r>
          <w:r>
            <w:rPr>
              <w:rFonts w:hint="eastAsia" w:ascii="仿宋_GB2312" w:hAnsi="仿宋_GB2312" w:eastAsia="仿宋_GB2312" w:cs="仿宋_GB2312"/>
              <w:b/>
              <w:sz w:val="28"/>
              <w:szCs w:val="28"/>
            </w:rPr>
            <w:instrText xml:space="preserve"> PAGEREF _Toc3554 \h </w:instrText>
          </w:r>
          <w:r>
            <w:rPr>
              <w:rFonts w:hint="eastAsia" w:ascii="仿宋_GB2312" w:hAnsi="仿宋_GB2312" w:eastAsia="仿宋_GB2312" w:cs="仿宋_GB2312"/>
              <w:b/>
              <w:sz w:val="28"/>
              <w:szCs w:val="28"/>
            </w:rPr>
            <w:fldChar w:fldCharType="separate"/>
          </w:r>
          <w:r>
            <w:rPr>
              <w:rFonts w:hint="eastAsia" w:ascii="仿宋_GB2312" w:hAnsi="仿宋_GB2312" w:eastAsia="仿宋_GB2312" w:cs="仿宋_GB2312"/>
              <w:b/>
              <w:sz w:val="28"/>
              <w:szCs w:val="28"/>
            </w:rPr>
            <w:t>3</w:t>
          </w:r>
          <w:r>
            <w:rPr>
              <w:rFonts w:hint="eastAsia" w:ascii="仿宋_GB2312" w:hAnsi="仿宋_GB2312" w:eastAsia="仿宋_GB2312" w:cs="仿宋_GB2312"/>
              <w:b/>
              <w:sz w:val="28"/>
              <w:szCs w:val="28"/>
            </w:rPr>
            <w:fldChar w:fldCharType="end"/>
          </w:r>
          <w:r>
            <w:rPr>
              <w:rFonts w:hint="eastAsia" w:ascii="仿宋_GB2312" w:hAnsi="仿宋_GB2312" w:eastAsia="仿宋_GB2312" w:cs="仿宋_GB2312"/>
              <w:b/>
              <w:color w:val="333333"/>
              <w:sz w:val="28"/>
              <w:szCs w:val="28"/>
              <w:shd w:val="clear" w:fill="FFFFFF"/>
            </w:rPr>
            <w:fldChar w:fldCharType="end"/>
          </w:r>
        </w:p>
        <w:p>
          <w:pPr>
            <w:pStyle w:val="10"/>
            <w:tabs>
              <w:tab w:val="right" w:leader="dot" w:pos="8845"/>
            </w:tabs>
            <w:rPr>
              <w:rFonts w:hint="eastAsia" w:ascii="仿宋_GB2312" w:hAnsi="仿宋_GB2312" w:eastAsia="仿宋_GB2312" w:cs="仿宋_GB2312"/>
              <w:b/>
              <w:sz w:val="28"/>
              <w:szCs w:val="28"/>
            </w:rPr>
          </w:pPr>
          <w:r>
            <w:rPr>
              <w:rFonts w:hint="eastAsia" w:ascii="仿宋_GB2312" w:hAnsi="仿宋_GB2312" w:eastAsia="仿宋_GB2312" w:cs="仿宋_GB2312"/>
              <w:b/>
              <w:color w:val="333333"/>
              <w:sz w:val="28"/>
              <w:szCs w:val="28"/>
              <w:shd w:val="clear" w:fill="FFFFFF"/>
            </w:rPr>
            <w:fldChar w:fldCharType="begin"/>
          </w:r>
          <w:r>
            <w:rPr>
              <w:rFonts w:hint="eastAsia" w:ascii="仿宋_GB2312" w:hAnsi="仿宋_GB2312" w:eastAsia="仿宋_GB2312" w:cs="仿宋_GB2312"/>
              <w:b/>
              <w:sz w:val="28"/>
              <w:szCs w:val="28"/>
              <w:shd w:val="clear" w:fill="FFFFFF"/>
            </w:rPr>
            <w:instrText xml:space="preserve"> HYPERLINK \l _Toc20238 </w:instrText>
          </w:r>
          <w:r>
            <w:rPr>
              <w:rFonts w:hint="eastAsia" w:ascii="仿宋_GB2312" w:hAnsi="仿宋_GB2312" w:eastAsia="仿宋_GB2312" w:cs="仿宋_GB2312"/>
              <w:b/>
              <w:sz w:val="28"/>
              <w:szCs w:val="28"/>
              <w:shd w:val="clear" w:fill="FFFFFF"/>
            </w:rPr>
            <w:fldChar w:fldCharType="separate"/>
          </w:r>
          <w:r>
            <w:rPr>
              <w:rFonts w:hint="eastAsia" w:ascii="仿宋_GB2312" w:hAnsi="仿宋_GB2312" w:eastAsia="仿宋_GB2312" w:cs="仿宋_GB2312"/>
              <w:b/>
              <w:sz w:val="28"/>
              <w:szCs w:val="28"/>
              <w:shd w:val="clear" w:fill="FFFFFF"/>
              <w:lang w:val="en-US" w:eastAsia="zh-CN"/>
            </w:rPr>
            <w:t>三、忻州市人民政府外事办公室2020年部门预算公开表</w:t>
          </w:r>
          <w:r>
            <w:rPr>
              <w:rFonts w:hint="eastAsia" w:ascii="仿宋_GB2312" w:hAnsi="仿宋_GB2312" w:eastAsia="仿宋_GB2312" w:cs="仿宋_GB2312"/>
              <w:b/>
              <w:sz w:val="28"/>
              <w:szCs w:val="28"/>
            </w:rPr>
            <w:tab/>
          </w:r>
          <w:r>
            <w:rPr>
              <w:rFonts w:hint="eastAsia" w:ascii="仿宋_GB2312" w:hAnsi="仿宋_GB2312" w:eastAsia="仿宋_GB2312" w:cs="仿宋_GB2312"/>
              <w:b/>
              <w:sz w:val="28"/>
              <w:szCs w:val="28"/>
            </w:rPr>
            <w:fldChar w:fldCharType="begin"/>
          </w:r>
          <w:r>
            <w:rPr>
              <w:rFonts w:hint="eastAsia" w:ascii="仿宋_GB2312" w:hAnsi="仿宋_GB2312" w:eastAsia="仿宋_GB2312" w:cs="仿宋_GB2312"/>
              <w:b/>
              <w:sz w:val="28"/>
              <w:szCs w:val="28"/>
            </w:rPr>
            <w:instrText xml:space="preserve"> PAGEREF _Toc20238 \h </w:instrText>
          </w:r>
          <w:r>
            <w:rPr>
              <w:rFonts w:hint="eastAsia" w:ascii="仿宋_GB2312" w:hAnsi="仿宋_GB2312" w:eastAsia="仿宋_GB2312" w:cs="仿宋_GB2312"/>
              <w:b/>
              <w:sz w:val="28"/>
              <w:szCs w:val="28"/>
            </w:rPr>
            <w:fldChar w:fldCharType="separate"/>
          </w:r>
          <w:r>
            <w:rPr>
              <w:rFonts w:hint="eastAsia" w:ascii="仿宋_GB2312" w:hAnsi="仿宋_GB2312" w:eastAsia="仿宋_GB2312" w:cs="仿宋_GB2312"/>
              <w:b/>
              <w:sz w:val="28"/>
              <w:szCs w:val="28"/>
            </w:rPr>
            <w:t>4</w:t>
          </w:r>
          <w:r>
            <w:rPr>
              <w:rFonts w:hint="eastAsia" w:ascii="仿宋_GB2312" w:hAnsi="仿宋_GB2312" w:eastAsia="仿宋_GB2312" w:cs="仿宋_GB2312"/>
              <w:b/>
              <w:sz w:val="28"/>
              <w:szCs w:val="28"/>
            </w:rPr>
            <w:fldChar w:fldCharType="end"/>
          </w:r>
          <w:r>
            <w:rPr>
              <w:rFonts w:hint="eastAsia" w:ascii="仿宋_GB2312" w:hAnsi="仿宋_GB2312" w:eastAsia="仿宋_GB2312" w:cs="仿宋_GB2312"/>
              <w:b/>
              <w:color w:val="333333"/>
              <w:sz w:val="28"/>
              <w:szCs w:val="28"/>
              <w:shd w:val="clear" w:fill="FFFFFF"/>
            </w:rPr>
            <w:fldChar w:fldCharType="end"/>
          </w:r>
        </w:p>
        <w:p>
          <w:pPr>
            <w:pStyle w:val="10"/>
            <w:tabs>
              <w:tab w:val="right" w:leader="dot" w:pos="8845"/>
            </w:tabs>
            <w:rPr>
              <w:rFonts w:hint="eastAsia" w:ascii="仿宋_GB2312" w:hAnsi="仿宋_GB2312" w:eastAsia="仿宋_GB2312" w:cs="仿宋_GB2312"/>
              <w:b/>
              <w:sz w:val="28"/>
              <w:szCs w:val="28"/>
            </w:rPr>
          </w:pPr>
          <w:r>
            <w:rPr>
              <w:rFonts w:hint="eastAsia" w:ascii="仿宋_GB2312" w:hAnsi="仿宋_GB2312" w:eastAsia="仿宋_GB2312" w:cs="仿宋_GB2312"/>
              <w:b/>
              <w:color w:val="333333"/>
              <w:sz w:val="28"/>
              <w:szCs w:val="28"/>
              <w:shd w:val="clear" w:fill="FFFFFF"/>
            </w:rPr>
            <w:fldChar w:fldCharType="begin"/>
          </w:r>
          <w:r>
            <w:rPr>
              <w:rFonts w:hint="eastAsia" w:ascii="仿宋_GB2312" w:hAnsi="仿宋_GB2312" w:eastAsia="仿宋_GB2312" w:cs="仿宋_GB2312"/>
              <w:b/>
              <w:sz w:val="28"/>
              <w:szCs w:val="28"/>
              <w:shd w:val="clear" w:fill="FFFFFF"/>
            </w:rPr>
            <w:instrText xml:space="preserve"> HYPERLINK \l _Toc18017 </w:instrText>
          </w:r>
          <w:r>
            <w:rPr>
              <w:rFonts w:hint="eastAsia" w:ascii="仿宋_GB2312" w:hAnsi="仿宋_GB2312" w:eastAsia="仿宋_GB2312" w:cs="仿宋_GB2312"/>
              <w:b/>
              <w:sz w:val="28"/>
              <w:szCs w:val="28"/>
              <w:shd w:val="clear" w:fill="FFFFFF"/>
            </w:rPr>
            <w:fldChar w:fldCharType="separate"/>
          </w:r>
          <w:r>
            <w:rPr>
              <w:rFonts w:hint="eastAsia" w:ascii="仿宋_GB2312" w:hAnsi="仿宋_GB2312" w:eastAsia="仿宋_GB2312" w:cs="仿宋_GB2312"/>
              <w:b/>
              <w:sz w:val="28"/>
              <w:szCs w:val="28"/>
              <w:shd w:val="clear" w:fill="FFFFFF"/>
              <w:lang w:val="en-US" w:eastAsia="zh-CN"/>
            </w:rPr>
            <w:t>四、忻州市人民政府外事办公室部门预算情况说明</w:t>
          </w:r>
          <w:r>
            <w:rPr>
              <w:rFonts w:hint="eastAsia" w:ascii="仿宋_GB2312" w:hAnsi="仿宋_GB2312" w:eastAsia="仿宋_GB2312" w:cs="仿宋_GB2312"/>
              <w:b/>
              <w:sz w:val="28"/>
              <w:szCs w:val="28"/>
            </w:rPr>
            <w:tab/>
          </w:r>
          <w:r>
            <w:rPr>
              <w:rFonts w:hint="eastAsia" w:ascii="仿宋_GB2312" w:hAnsi="仿宋_GB2312" w:eastAsia="仿宋_GB2312" w:cs="仿宋_GB2312"/>
              <w:b/>
              <w:sz w:val="28"/>
              <w:szCs w:val="28"/>
            </w:rPr>
            <w:fldChar w:fldCharType="begin"/>
          </w:r>
          <w:r>
            <w:rPr>
              <w:rFonts w:hint="eastAsia" w:ascii="仿宋_GB2312" w:hAnsi="仿宋_GB2312" w:eastAsia="仿宋_GB2312" w:cs="仿宋_GB2312"/>
              <w:b/>
              <w:sz w:val="28"/>
              <w:szCs w:val="28"/>
            </w:rPr>
            <w:instrText xml:space="preserve"> PAGEREF _Toc18017 \h </w:instrText>
          </w:r>
          <w:r>
            <w:rPr>
              <w:rFonts w:hint="eastAsia" w:ascii="仿宋_GB2312" w:hAnsi="仿宋_GB2312" w:eastAsia="仿宋_GB2312" w:cs="仿宋_GB2312"/>
              <w:b/>
              <w:sz w:val="28"/>
              <w:szCs w:val="28"/>
            </w:rPr>
            <w:fldChar w:fldCharType="separate"/>
          </w:r>
          <w:r>
            <w:rPr>
              <w:rFonts w:hint="eastAsia" w:ascii="仿宋_GB2312" w:hAnsi="仿宋_GB2312" w:eastAsia="仿宋_GB2312" w:cs="仿宋_GB2312"/>
              <w:b/>
              <w:sz w:val="28"/>
              <w:szCs w:val="28"/>
            </w:rPr>
            <w:t>4</w:t>
          </w:r>
          <w:r>
            <w:rPr>
              <w:rFonts w:hint="eastAsia" w:ascii="仿宋_GB2312" w:hAnsi="仿宋_GB2312" w:eastAsia="仿宋_GB2312" w:cs="仿宋_GB2312"/>
              <w:b/>
              <w:sz w:val="28"/>
              <w:szCs w:val="28"/>
            </w:rPr>
            <w:fldChar w:fldCharType="end"/>
          </w:r>
          <w:r>
            <w:rPr>
              <w:rFonts w:hint="eastAsia" w:ascii="仿宋_GB2312" w:hAnsi="仿宋_GB2312" w:eastAsia="仿宋_GB2312" w:cs="仿宋_GB2312"/>
              <w:b/>
              <w:color w:val="333333"/>
              <w:sz w:val="28"/>
              <w:szCs w:val="28"/>
              <w:shd w:val="clear" w:fill="FFFFFF"/>
            </w:rPr>
            <w:fldChar w:fldCharType="end"/>
          </w:r>
        </w:p>
        <w:p>
          <w:pPr>
            <w:pStyle w:val="11"/>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shd w:val="clear" w:fill="FFFFFF"/>
            </w:rPr>
            <w:fldChar w:fldCharType="begin"/>
          </w:r>
          <w:r>
            <w:rPr>
              <w:rFonts w:hint="eastAsia" w:ascii="仿宋_GB2312" w:hAnsi="仿宋_GB2312" w:eastAsia="仿宋_GB2312" w:cs="仿宋_GB2312"/>
              <w:sz w:val="28"/>
              <w:szCs w:val="28"/>
              <w:shd w:val="clear" w:fill="FFFFFF"/>
            </w:rPr>
            <w:instrText xml:space="preserve"> HYPERLINK \l _Toc8081 </w:instrText>
          </w:r>
          <w:r>
            <w:rPr>
              <w:rFonts w:hint="eastAsia" w:ascii="仿宋_GB2312" w:hAnsi="仿宋_GB2312" w:eastAsia="仿宋_GB2312" w:cs="仿宋_GB2312"/>
              <w:sz w:val="28"/>
              <w:szCs w:val="28"/>
              <w:shd w:val="clear" w:fill="FFFFFF"/>
            </w:rPr>
            <w:fldChar w:fldCharType="separate"/>
          </w:r>
          <w:r>
            <w:rPr>
              <w:rFonts w:hint="eastAsia" w:ascii="仿宋_GB2312" w:hAnsi="仿宋_GB2312" w:eastAsia="仿宋_GB2312" w:cs="仿宋_GB2312"/>
              <w:sz w:val="28"/>
              <w:szCs w:val="28"/>
              <w:shd w:val="clear" w:fill="FFFFFF"/>
              <w:lang w:val="en-US" w:eastAsia="zh-CN"/>
            </w:rPr>
            <w:t>（一）预算收支情况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_Toc8081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333333"/>
              <w:sz w:val="28"/>
              <w:szCs w:val="28"/>
              <w:shd w:val="clear" w:fill="FFFFFF"/>
            </w:rPr>
            <w:fldChar w:fldCharType="end"/>
          </w:r>
        </w:p>
        <w:p>
          <w:pPr>
            <w:pStyle w:val="11"/>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shd w:val="clear" w:fill="FFFFFF"/>
            </w:rPr>
            <w:fldChar w:fldCharType="begin"/>
          </w:r>
          <w:r>
            <w:rPr>
              <w:rFonts w:hint="eastAsia" w:ascii="仿宋_GB2312" w:hAnsi="仿宋_GB2312" w:eastAsia="仿宋_GB2312" w:cs="仿宋_GB2312"/>
              <w:sz w:val="28"/>
              <w:szCs w:val="28"/>
              <w:shd w:val="clear" w:fill="FFFFFF"/>
            </w:rPr>
            <w:instrText xml:space="preserve"> HYPERLINK \l _Toc18297 </w:instrText>
          </w:r>
          <w:r>
            <w:rPr>
              <w:rFonts w:hint="eastAsia" w:ascii="仿宋_GB2312" w:hAnsi="仿宋_GB2312" w:eastAsia="仿宋_GB2312" w:cs="仿宋_GB2312"/>
              <w:sz w:val="28"/>
              <w:szCs w:val="28"/>
              <w:shd w:val="clear" w:fill="FFFFFF"/>
            </w:rPr>
            <w:fldChar w:fldCharType="separate"/>
          </w:r>
          <w:r>
            <w:rPr>
              <w:rFonts w:hint="eastAsia" w:ascii="仿宋_GB2312" w:hAnsi="仿宋_GB2312" w:eastAsia="仿宋_GB2312" w:cs="仿宋_GB2312"/>
              <w:sz w:val="28"/>
              <w:szCs w:val="28"/>
              <w:shd w:val="clear" w:fill="FFFFFF"/>
              <w:lang w:val="en-US" w:eastAsia="zh-CN"/>
            </w:rPr>
            <w:t>（二）一般公共预算支出情况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_Toc18297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333333"/>
              <w:sz w:val="28"/>
              <w:szCs w:val="28"/>
              <w:shd w:val="clear" w:fill="FFFFFF"/>
            </w:rPr>
            <w:fldChar w:fldCharType="end"/>
          </w:r>
        </w:p>
        <w:p>
          <w:pPr>
            <w:pStyle w:val="11"/>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shd w:val="clear" w:fill="FFFFFF"/>
            </w:rPr>
            <w:fldChar w:fldCharType="begin"/>
          </w:r>
          <w:r>
            <w:rPr>
              <w:rFonts w:hint="eastAsia" w:ascii="仿宋_GB2312" w:hAnsi="仿宋_GB2312" w:eastAsia="仿宋_GB2312" w:cs="仿宋_GB2312"/>
              <w:sz w:val="28"/>
              <w:szCs w:val="28"/>
              <w:shd w:val="clear" w:fill="FFFFFF"/>
            </w:rPr>
            <w:instrText xml:space="preserve"> HYPERLINK \l _Toc8837 </w:instrText>
          </w:r>
          <w:r>
            <w:rPr>
              <w:rFonts w:hint="eastAsia" w:ascii="仿宋_GB2312" w:hAnsi="仿宋_GB2312" w:eastAsia="仿宋_GB2312" w:cs="仿宋_GB2312"/>
              <w:sz w:val="28"/>
              <w:szCs w:val="28"/>
              <w:shd w:val="clear" w:fill="FFFFFF"/>
            </w:rPr>
            <w:fldChar w:fldCharType="separate"/>
          </w:r>
          <w:r>
            <w:rPr>
              <w:rFonts w:hint="eastAsia" w:ascii="仿宋_GB2312" w:hAnsi="仿宋_GB2312" w:eastAsia="仿宋_GB2312" w:cs="仿宋_GB2312"/>
              <w:sz w:val="28"/>
              <w:szCs w:val="28"/>
              <w:shd w:val="clear" w:fill="FFFFFF"/>
              <w:lang w:val="en-US" w:eastAsia="zh-CN"/>
            </w:rPr>
            <w:t>（三）政府性基金预算情况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_Toc8837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333333"/>
              <w:sz w:val="28"/>
              <w:szCs w:val="28"/>
              <w:shd w:val="clear" w:fill="FFFFFF"/>
            </w:rPr>
            <w:fldChar w:fldCharType="end"/>
          </w:r>
        </w:p>
        <w:p>
          <w:pPr>
            <w:pStyle w:val="11"/>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shd w:val="clear" w:fill="FFFFFF"/>
            </w:rPr>
            <w:fldChar w:fldCharType="begin"/>
          </w:r>
          <w:r>
            <w:rPr>
              <w:rFonts w:hint="eastAsia" w:ascii="仿宋_GB2312" w:hAnsi="仿宋_GB2312" w:eastAsia="仿宋_GB2312" w:cs="仿宋_GB2312"/>
              <w:sz w:val="28"/>
              <w:szCs w:val="28"/>
              <w:shd w:val="clear" w:fill="FFFFFF"/>
            </w:rPr>
            <w:instrText xml:space="preserve"> HYPERLINK \l _Toc4487 </w:instrText>
          </w:r>
          <w:r>
            <w:rPr>
              <w:rFonts w:hint="eastAsia" w:ascii="仿宋_GB2312" w:hAnsi="仿宋_GB2312" w:eastAsia="仿宋_GB2312" w:cs="仿宋_GB2312"/>
              <w:sz w:val="28"/>
              <w:szCs w:val="28"/>
              <w:shd w:val="clear" w:fill="FFFFFF"/>
            </w:rPr>
            <w:fldChar w:fldCharType="separate"/>
          </w:r>
          <w:r>
            <w:rPr>
              <w:rFonts w:hint="eastAsia" w:ascii="仿宋_GB2312" w:hAnsi="仿宋_GB2312" w:eastAsia="仿宋_GB2312" w:cs="仿宋_GB2312"/>
              <w:sz w:val="28"/>
              <w:szCs w:val="28"/>
              <w:shd w:val="clear" w:fill="FFFFFF"/>
              <w:lang w:val="en-US" w:eastAsia="zh-CN"/>
            </w:rPr>
            <w:t>（四）机关运行经费情况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_Toc4487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333333"/>
              <w:sz w:val="28"/>
              <w:szCs w:val="28"/>
              <w:shd w:val="clear" w:fill="FFFFFF"/>
            </w:rPr>
            <w:fldChar w:fldCharType="end"/>
          </w:r>
        </w:p>
        <w:p>
          <w:pPr>
            <w:pStyle w:val="11"/>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shd w:val="clear" w:fill="FFFFFF"/>
            </w:rPr>
            <w:fldChar w:fldCharType="begin"/>
          </w:r>
          <w:r>
            <w:rPr>
              <w:rFonts w:hint="eastAsia" w:ascii="仿宋_GB2312" w:hAnsi="仿宋_GB2312" w:eastAsia="仿宋_GB2312" w:cs="仿宋_GB2312"/>
              <w:sz w:val="28"/>
              <w:szCs w:val="28"/>
              <w:shd w:val="clear" w:fill="FFFFFF"/>
            </w:rPr>
            <w:instrText xml:space="preserve"> HYPERLINK \l _Toc6848 </w:instrText>
          </w:r>
          <w:r>
            <w:rPr>
              <w:rFonts w:hint="eastAsia" w:ascii="仿宋_GB2312" w:hAnsi="仿宋_GB2312" w:eastAsia="仿宋_GB2312" w:cs="仿宋_GB2312"/>
              <w:sz w:val="28"/>
              <w:szCs w:val="28"/>
              <w:shd w:val="clear" w:fill="FFFFFF"/>
            </w:rPr>
            <w:fldChar w:fldCharType="separate"/>
          </w:r>
          <w:r>
            <w:rPr>
              <w:rFonts w:hint="eastAsia" w:ascii="仿宋_GB2312" w:hAnsi="仿宋_GB2312" w:eastAsia="仿宋_GB2312" w:cs="仿宋_GB2312"/>
              <w:sz w:val="28"/>
              <w:szCs w:val="28"/>
              <w:shd w:val="clear" w:fill="FFFFFF"/>
              <w:lang w:val="en-US" w:eastAsia="zh-CN"/>
            </w:rPr>
            <w:t>（五）其他说明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_Toc6848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333333"/>
              <w:sz w:val="28"/>
              <w:szCs w:val="28"/>
              <w:shd w:val="clear" w:fill="FFFFFF"/>
            </w:rPr>
            <w:fldChar w:fldCharType="end"/>
          </w:r>
        </w:p>
        <w:p>
          <w:pPr>
            <w:pStyle w:val="10"/>
            <w:tabs>
              <w:tab w:val="right" w:leader="dot" w:pos="8845"/>
            </w:tabs>
            <w:rPr>
              <w:rFonts w:hint="eastAsia" w:ascii="仿宋_GB2312" w:hAnsi="仿宋_GB2312" w:eastAsia="仿宋_GB2312" w:cs="仿宋_GB2312"/>
              <w:b/>
              <w:sz w:val="28"/>
              <w:szCs w:val="28"/>
            </w:rPr>
          </w:pPr>
          <w:r>
            <w:rPr>
              <w:rFonts w:hint="eastAsia" w:ascii="仿宋_GB2312" w:hAnsi="仿宋_GB2312" w:eastAsia="仿宋_GB2312" w:cs="仿宋_GB2312"/>
              <w:b/>
              <w:color w:val="333333"/>
              <w:sz w:val="28"/>
              <w:szCs w:val="28"/>
              <w:shd w:val="clear" w:fill="FFFFFF"/>
            </w:rPr>
            <w:fldChar w:fldCharType="begin"/>
          </w:r>
          <w:r>
            <w:rPr>
              <w:rFonts w:hint="eastAsia" w:ascii="仿宋_GB2312" w:hAnsi="仿宋_GB2312" w:eastAsia="仿宋_GB2312" w:cs="仿宋_GB2312"/>
              <w:b/>
              <w:sz w:val="28"/>
              <w:szCs w:val="28"/>
              <w:shd w:val="clear" w:fill="FFFFFF"/>
            </w:rPr>
            <w:instrText xml:space="preserve"> HYPERLINK \l _Toc14409 </w:instrText>
          </w:r>
          <w:r>
            <w:rPr>
              <w:rFonts w:hint="eastAsia" w:ascii="仿宋_GB2312" w:hAnsi="仿宋_GB2312" w:eastAsia="仿宋_GB2312" w:cs="仿宋_GB2312"/>
              <w:b/>
              <w:sz w:val="28"/>
              <w:szCs w:val="28"/>
              <w:shd w:val="clear" w:fill="FFFFFF"/>
            </w:rPr>
            <w:fldChar w:fldCharType="separate"/>
          </w:r>
          <w:r>
            <w:rPr>
              <w:rFonts w:hint="eastAsia" w:ascii="仿宋_GB2312" w:hAnsi="仿宋_GB2312" w:eastAsia="仿宋_GB2312" w:cs="仿宋_GB2312"/>
              <w:b/>
              <w:sz w:val="28"/>
              <w:szCs w:val="28"/>
              <w:shd w:val="clear" w:fill="FFFFFF"/>
              <w:lang w:val="en-US" w:eastAsia="zh-CN"/>
            </w:rPr>
            <w:t>五</w:t>
          </w:r>
          <w:r>
            <w:rPr>
              <w:rFonts w:hint="eastAsia" w:ascii="仿宋_GB2312" w:hAnsi="仿宋_GB2312" w:eastAsia="仿宋_GB2312" w:cs="仿宋_GB2312"/>
              <w:b/>
              <w:sz w:val="28"/>
              <w:szCs w:val="28"/>
              <w:shd w:val="clear" w:fill="FFFFFF"/>
            </w:rPr>
            <w:t>、名词解释</w:t>
          </w:r>
          <w:r>
            <w:rPr>
              <w:rFonts w:hint="eastAsia" w:ascii="仿宋_GB2312" w:hAnsi="仿宋_GB2312" w:eastAsia="仿宋_GB2312" w:cs="仿宋_GB2312"/>
              <w:b/>
              <w:sz w:val="28"/>
              <w:szCs w:val="28"/>
            </w:rPr>
            <w:tab/>
          </w:r>
          <w:r>
            <w:rPr>
              <w:rFonts w:hint="eastAsia" w:ascii="仿宋_GB2312" w:hAnsi="仿宋_GB2312" w:eastAsia="仿宋_GB2312" w:cs="仿宋_GB2312"/>
              <w:b/>
              <w:sz w:val="28"/>
              <w:szCs w:val="28"/>
            </w:rPr>
            <w:fldChar w:fldCharType="begin"/>
          </w:r>
          <w:r>
            <w:rPr>
              <w:rFonts w:hint="eastAsia" w:ascii="仿宋_GB2312" w:hAnsi="仿宋_GB2312" w:eastAsia="仿宋_GB2312" w:cs="仿宋_GB2312"/>
              <w:b/>
              <w:sz w:val="28"/>
              <w:szCs w:val="28"/>
            </w:rPr>
            <w:instrText xml:space="preserve"> PAGEREF _Toc14409 \h </w:instrText>
          </w:r>
          <w:r>
            <w:rPr>
              <w:rFonts w:hint="eastAsia" w:ascii="仿宋_GB2312" w:hAnsi="仿宋_GB2312" w:eastAsia="仿宋_GB2312" w:cs="仿宋_GB2312"/>
              <w:b/>
              <w:sz w:val="28"/>
              <w:szCs w:val="28"/>
            </w:rPr>
            <w:fldChar w:fldCharType="separate"/>
          </w:r>
          <w:r>
            <w:rPr>
              <w:rFonts w:hint="eastAsia" w:ascii="仿宋_GB2312" w:hAnsi="仿宋_GB2312" w:eastAsia="仿宋_GB2312" w:cs="仿宋_GB2312"/>
              <w:b/>
              <w:sz w:val="28"/>
              <w:szCs w:val="28"/>
            </w:rPr>
            <w:t>6</w:t>
          </w:r>
          <w:r>
            <w:rPr>
              <w:rFonts w:hint="eastAsia" w:ascii="仿宋_GB2312" w:hAnsi="仿宋_GB2312" w:eastAsia="仿宋_GB2312" w:cs="仿宋_GB2312"/>
              <w:b/>
              <w:sz w:val="28"/>
              <w:szCs w:val="28"/>
            </w:rPr>
            <w:fldChar w:fldCharType="end"/>
          </w:r>
          <w:r>
            <w:rPr>
              <w:rFonts w:hint="eastAsia" w:ascii="仿宋_GB2312" w:hAnsi="仿宋_GB2312" w:eastAsia="仿宋_GB2312" w:cs="仿宋_GB2312"/>
              <w:b/>
              <w:color w:val="333333"/>
              <w:sz w:val="28"/>
              <w:szCs w:val="28"/>
              <w:shd w:val="clear" w:fill="FFFFFF"/>
            </w:rPr>
            <w:fldChar w:fldCharType="end"/>
          </w:r>
        </w:p>
        <w:p>
          <w:pPr>
            <w:pStyle w:val="4"/>
            <w:keepNext w:val="0"/>
            <w:keepLines w:val="0"/>
            <w:widowControl/>
            <w:suppressLineNumbers w:val="0"/>
            <w:spacing w:before="0" w:beforeAutospacing="0" w:after="0" w:afterAutospacing="0" w:line="504" w:lineRule="auto"/>
            <w:ind w:left="0" w:right="0"/>
            <w:rPr>
              <w:rFonts w:asciiTheme="minorHAnsi" w:hAnsiTheme="minorHAnsi" w:eastAsiaTheme="minorEastAsia" w:cstheme="minorBidi"/>
              <w:b/>
              <w:color w:val="333333"/>
              <w:kern w:val="0"/>
              <w:sz w:val="21"/>
              <w:szCs w:val="24"/>
              <w:shd w:val="clear" w:fill="FFFFFF"/>
              <w:lang w:val="en-US" w:eastAsia="zh-CN" w:bidi="ar"/>
            </w:rPr>
          </w:pPr>
          <w:r>
            <w:rPr>
              <w:rFonts w:hint="eastAsia" w:ascii="仿宋_GB2312" w:hAnsi="仿宋_GB2312" w:eastAsia="仿宋_GB2312" w:cs="仿宋_GB2312"/>
              <w:b/>
              <w:color w:val="333333"/>
              <w:sz w:val="28"/>
              <w:szCs w:val="28"/>
              <w:shd w:val="clear" w:fill="FFFFFF"/>
            </w:rPr>
            <w:fldChar w:fldCharType="end"/>
          </w:r>
        </w:p>
      </w:sdtContent>
    </w:sdt>
    <w:p>
      <w:pPr>
        <w:pStyle w:val="4"/>
        <w:keepNext w:val="0"/>
        <w:keepLines w:val="0"/>
        <w:widowControl/>
        <w:suppressLineNumbers w:val="0"/>
        <w:spacing w:before="0" w:beforeAutospacing="0" w:after="0" w:afterAutospacing="0" w:line="504" w:lineRule="auto"/>
        <w:ind w:left="0" w:right="0"/>
        <w:rPr>
          <w:rFonts w:asciiTheme="minorHAnsi" w:hAnsiTheme="minorHAnsi" w:eastAsiaTheme="minorEastAsia" w:cstheme="minorBidi"/>
          <w:b/>
          <w:color w:val="333333"/>
          <w:kern w:val="0"/>
          <w:sz w:val="21"/>
          <w:szCs w:val="24"/>
          <w:shd w:val="clear" w:fill="FFFFFF"/>
          <w:lang w:val="en-US" w:eastAsia="zh-CN" w:bidi="ar"/>
        </w:rPr>
      </w:pPr>
      <w:bookmarkStart w:id="10" w:name="_GoBack"/>
      <w:bookmarkEnd w:id="10"/>
    </w:p>
    <w:p>
      <w:pPr>
        <w:pStyle w:val="4"/>
        <w:keepNext w:val="0"/>
        <w:keepLines w:val="0"/>
        <w:widowControl/>
        <w:suppressLineNumbers w:val="0"/>
        <w:spacing w:before="0" w:beforeAutospacing="0" w:after="0" w:afterAutospacing="0" w:line="504" w:lineRule="auto"/>
        <w:ind w:left="0" w:right="0"/>
        <w:rPr>
          <w:rFonts w:asciiTheme="minorHAnsi" w:hAnsiTheme="minorHAnsi" w:eastAsiaTheme="minorEastAsia" w:cstheme="minorBidi"/>
          <w:b/>
          <w:color w:val="333333"/>
          <w:kern w:val="0"/>
          <w:sz w:val="21"/>
          <w:szCs w:val="24"/>
          <w:shd w:val="clear" w:fill="FFFFFF"/>
          <w:lang w:val="en-US" w:eastAsia="zh-CN" w:bidi="ar"/>
        </w:rPr>
      </w:pPr>
    </w:p>
    <w:p>
      <w:pPr>
        <w:pStyle w:val="4"/>
        <w:keepNext w:val="0"/>
        <w:keepLines w:val="0"/>
        <w:widowControl/>
        <w:suppressLineNumbers w:val="0"/>
        <w:spacing w:before="0" w:beforeAutospacing="0" w:after="0" w:afterAutospacing="0" w:line="504" w:lineRule="auto"/>
        <w:ind w:left="0" w:right="0"/>
        <w:rPr>
          <w:rFonts w:asciiTheme="minorHAnsi" w:hAnsiTheme="minorHAnsi" w:eastAsiaTheme="minorEastAsia" w:cstheme="minorBidi"/>
          <w:b/>
          <w:color w:val="333333"/>
          <w:kern w:val="0"/>
          <w:sz w:val="21"/>
          <w:szCs w:val="24"/>
          <w:shd w:val="clear" w:fill="FFFFFF"/>
          <w:lang w:val="en-US" w:eastAsia="zh-CN" w:bidi="ar"/>
        </w:rPr>
      </w:pPr>
    </w:p>
    <w:p>
      <w:pPr>
        <w:pStyle w:val="4"/>
        <w:keepNext w:val="0"/>
        <w:keepLines w:val="0"/>
        <w:widowControl/>
        <w:suppressLineNumbers w:val="0"/>
        <w:spacing w:before="0" w:beforeAutospacing="0" w:after="0" w:afterAutospacing="0" w:line="504" w:lineRule="auto"/>
        <w:ind w:left="0" w:right="0"/>
        <w:rPr>
          <w:rFonts w:asciiTheme="minorHAnsi" w:hAnsiTheme="minorHAnsi" w:eastAsiaTheme="minorEastAsia" w:cstheme="minorBidi"/>
          <w:b/>
          <w:color w:val="333333"/>
          <w:kern w:val="0"/>
          <w:sz w:val="21"/>
          <w:szCs w:val="24"/>
          <w:shd w:val="clear" w:fill="FFFFFF"/>
          <w:lang w:val="en-US" w:eastAsia="zh-CN" w:bidi="ar"/>
        </w:rPr>
      </w:pPr>
    </w:p>
    <w:p>
      <w:pPr>
        <w:pStyle w:val="4"/>
        <w:keepNext w:val="0"/>
        <w:keepLines w:val="0"/>
        <w:widowControl/>
        <w:suppressLineNumbers w:val="0"/>
        <w:spacing w:before="0" w:beforeAutospacing="0" w:after="0" w:afterAutospacing="0" w:line="504" w:lineRule="auto"/>
        <w:ind w:right="0" w:firstLine="640" w:firstLineChars="200"/>
        <w:outlineLvl w:val="0"/>
        <w:rPr>
          <w:rFonts w:hint="eastAsia" w:ascii="仿宋_GB2312" w:hAnsi="仿宋_GB2312" w:eastAsia="仿宋_GB2312" w:cs="仿宋_GB2312"/>
          <w:color w:val="333333"/>
          <w:sz w:val="32"/>
          <w:szCs w:val="32"/>
        </w:rPr>
      </w:pPr>
      <w:bookmarkStart w:id="0" w:name="_Toc27018"/>
      <w:r>
        <w:rPr>
          <w:rFonts w:hint="eastAsia" w:ascii="黑体" w:hAnsi="黑体" w:eastAsia="黑体" w:cs="黑体"/>
          <w:color w:val="333333"/>
          <w:sz w:val="32"/>
          <w:szCs w:val="32"/>
          <w:shd w:val="clear" w:fill="FFFFFF"/>
        </w:rPr>
        <w:t>一、 主要职能及部门预算单位构成</w:t>
      </w:r>
      <w:bookmarkEnd w:id="0"/>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（一）贯彻落实有关外事工作的法律、法规和方针、政策；起草外事有关规范性文件；调查研究全市外事工作的重大问题并提出建议；监督检查全市外事方针政策的落实情况。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（二）拟定全市外事工作规划；协调全市重大外事工作和涉外活动；负责处理或协助处理全市重大涉外事务。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（三）围绕经济建设和对外开放进行外事调查研究，为市委和市政府决策提供意见和建议；利用对外交往渠道，为全市的经济建设和社会发展服务，积极参与全市对外招商引资和经贸活动。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（四）审核、会签全市各部门报请市委、市政府审批的外事文件，协调全市各部门的外事和涉外活动计划。</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五）统筹办理市级对外联系交往和以市委、市人大、市人民政府、市政协名义举办的外事活动和其他活动中的涉外事务，办理市级领导出访的组织实施、参加外事活动的安排和市政府对外谈判、签约等有关事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（六）负责管理全市因公出国工作和对外邀请工作，审核、申报全市因公出国材料，并对出国人员进行培训。了解和检查全市因公出访人员在国外活动情况，定期综合全市公派出国和邀请外国人来访情况。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七）负责管理全市外事接待、礼宾工作，指导、协助有关部门做好外事接待工作；承担对外友好城市有关工作；指导各县（市、区）对外友好城市的交往活动；指导全市民间对外交往活动；负责协调有关部门做好对外开放区域的各项工作和外宾参观点的开辟建设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（八）负责外国新闻团组和新闻从业人员来忻采访的审核，审核外国记者要求会见和采访市领导的申请。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（九）会同有关部门管理在我市境内的外籍人员，提供必要的服务。协调有关单位处理涉及外籍人员管理工作的重要事项。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十）负责对全市从事外事工作和涉外人员进行对外政策、外事纪律的培训教育，总结交流外事工作经验；配合做好对外宣传和群众性外事教育工作；根据上级文件和规定，向市委、市政府及全市各部门提供国际形势、对外政策和重大国际问题的宣传资料和对外表态口径，协同审核全市重要涉外报道文稿。</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（十一）认真贯彻执行外事纪律；配合纪检、监察和保密部门监督检查外事纪律及保密制度的执行情况，协助有关部门对涉外案件和违反外事纪律案件进行查处。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（十二）承办市委、市人民政府交办的其它工作。</w:t>
      </w:r>
    </w:p>
    <w:p>
      <w:pPr>
        <w:numPr>
          <w:ilvl w:val="0"/>
          <w:numId w:val="0"/>
        </w:numPr>
        <w:jc w:val="left"/>
        <w:outlineLvl w:val="0"/>
        <w:rPr>
          <w:rFonts w:hint="eastAsia" w:ascii="黑体" w:hAnsi="黑体" w:eastAsia="黑体" w:cs="黑体"/>
          <w:color w:val="333333"/>
          <w:sz w:val="32"/>
          <w:szCs w:val="32"/>
          <w:shd w:val="clear" w:fill="FFFFFF"/>
          <w:lang w:val="en-US" w:eastAsia="zh-CN"/>
        </w:rPr>
      </w:pPr>
      <w:bookmarkStart w:id="1" w:name="_Toc3554"/>
      <w:r>
        <w:rPr>
          <w:rFonts w:hint="eastAsia" w:ascii="黑体" w:hAnsi="黑体" w:eastAsia="黑体" w:cs="黑体"/>
          <w:color w:val="333333"/>
          <w:sz w:val="32"/>
          <w:szCs w:val="32"/>
          <w:shd w:val="clear" w:fill="FFFFFF"/>
          <w:lang w:val="en-US" w:eastAsia="zh-CN"/>
        </w:rPr>
        <w:t>二、机构设置情况</w:t>
      </w:r>
      <w:bookmarkEnd w:id="1"/>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kern w:val="0"/>
          <w:sz w:val="32"/>
          <w:szCs w:val="32"/>
          <w:shd w:val="clear" w:fill="FFFFFF"/>
          <w:lang w:val="en-US" w:eastAsia="zh-CN" w:bidi="ar"/>
        </w:rPr>
        <w:t xml:space="preserve">　  </w:t>
      </w:r>
      <w:r>
        <w:rPr>
          <w:rFonts w:hint="eastAsia" w:ascii="仿宋_GB2312" w:hAnsi="仿宋_GB2312" w:eastAsia="仿宋_GB2312" w:cs="仿宋_GB2312"/>
          <w:color w:val="333333"/>
          <w:sz w:val="32"/>
          <w:szCs w:val="32"/>
          <w:shd w:val="clear" w:fill="FFFFFF"/>
          <w:lang w:val="en-US" w:eastAsia="zh-CN"/>
        </w:rPr>
        <w:t>忻州市人民政府外事办公室为财政拨款行政单位，正处级建制。编制14人，在职人员14人。内设科室：外事（综合）科、秘书科、台港澳科；下属事业单位1个：涉外涉台港澳交流中心（财务不独立）。</w:t>
      </w:r>
    </w:p>
    <w:p>
      <w:pPr>
        <w:pStyle w:val="4"/>
        <w:keepNext w:val="0"/>
        <w:keepLines w:val="0"/>
        <w:widowControl/>
        <w:suppressLineNumbers w:val="0"/>
        <w:spacing w:before="0" w:beforeAutospacing="0" w:after="0" w:afterAutospacing="0" w:line="504" w:lineRule="auto"/>
        <w:ind w:left="0" w:right="0"/>
        <w:jc w:val="left"/>
        <w:outlineLvl w:val="0"/>
        <w:rPr>
          <w:rFonts w:hint="eastAsia" w:ascii="黑体" w:hAnsi="黑体" w:eastAsia="黑体" w:cs="黑体"/>
          <w:color w:val="333333"/>
          <w:sz w:val="32"/>
          <w:szCs w:val="32"/>
          <w:shd w:val="clear" w:fill="FFFFFF"/>
          <w:lang w:val="en-US" w:eastAsia="zh-CN"/>
        </w:rPr>
      </w:pPr>
      <w:bookmarkStart w:id="2" w:name="_Toc20238"/>
      <w:r>
        <w:rPr>
          <w:rFonts w:hint="eastAsia" w:ascii="黑体" w:hAnsi="黑体" w:eastAsia="黑体" w:cs="黑体"/>
          <w:color w:val="333333"/>
          <w:sz w:val="32"/>
          <w:szCs w:val="32"/>
          <w:shd w:val="clear" w:fill="FFFFFF"/>
          <w:lang w:val="en-US" w:eastAsia="zh-CN"/>
        </w:rPr>
        <w:t>三、忻州市人民政府外事办公室2020年部门预算公开表</w:t>
      </w:r>
      <w:bookmarkEnd w:id="2"/>
    </w:p>
    <w:p>
      <w:pPr>
        <w:pStyle w:val="4"/>
        <w:keepNext w:val="0"/>
        <w:keepLines w:val="0"/>
        <w:widowControl/>
        <w:suppressLineNumbers w:val="0"/>
        <w:spacing w:before="0" w:beforeAutospacing="0" w:after="0" w:afterAutospacing="0" w:line="504" w:lineRule="auto"/>
        <w:ind w:left="0" w:right="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点击查看【附件】</w:t>
      </w:r>
    </w:p>
    <w:p>
      <w:pPr>
        <w:pStyle w:val="4"/>
        <w:keepNext w:val="0"/>
        <w:keepLines w:val="0"/>
        <w:widowControl/>
        <w:suppressLineNumbers w:val="0"/>
        <w:spacing w:before="0" w:beforeAutospacing="0" w:after="0" w:afterAutospacing="0" w:line="504" w:lineRule="auto"/>
        <w:ind w:left="0" w:right="0"/>
        <w:outlineLvl w:val="0"/>
        <w:rPr>
          <w:rFonts w:hint="eastAsia" w:ascii="黑体" w:hAnsi="黑体" w:eastAsia="黑体" w:cs="黑体"/>
          <w:color w:val="333333"/>
          <w:sz w:val="32"/>
          <w:szCs w:val="32"/>
          <w:shd w:val="clear" w:fill="FFFFFF"/>
          <w:lang w:val="en-US" w:eastAsia="zh-CN"/>
        </w:rPr>
      </w:pPr>
      <w:bookmarkStart w:id="3" w:name="_Toc18017"/>
      <w:r>
        <w:rPr>
          <w:rFonts w:hint="eastAsia" w:ascii="黑体" w:hAnsi="黑体" w:eastAsia="黑体" w:cs="黑体"/>
          <w:color w:val="333333"/>
          <w:sz w:val="32"/>
          <w:szCs w:val="32"/>
          <w:shd w:val="clear" w:fill="FFFFFF"/>
          <w:lang w:val="en-US" w:eastAsia="zh-CN"/>
        </w:rPr>
        <w:t>四、忻州市人民政府外事办公室部门预算情况说明</w:t>
      </w:r>
      <w:bookmarkEnd w:id="3"/>
    </w:p>
    <w:p>
      <w:pPr>
        <w:pStyle w:val="4"/>
        <w:keepNext w:val="0"/>
        <w:keepLines w:val="0"/>
        <w:widowControl/>
        <w:suppressLineNumbers w:val="0"/>
        <w:spacing w:before="0" w:beforeAutospacing="0" w:after="0" w:afterAutospacing="0" w:line="504" w:lineRule="auto"/>
        <w:ind w:left="0" w:right="0"/>
        <w:jc w:val="left"/>
        <w:outlineLvl w:val="1"/>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rPr>
        <w:t>　　</w:t>
      </w:r>
      <w:bookmarkStart w:id="4" w:name="_Toc8081"/>
      <w:r>
        <w:rPr>
          <w:rFonts w:hint="eastAsia" w:ascii="仿宋_GB2312" w:hAnsi="仿宋_GB2312" w:eastAsia="仿宋_GB2312" w:cs="仿宋_GB2312"/>
          <w:color w:val="333333"/>
          <w:sz w:val="32"/>
          <w:szCs w:val="32"/>
          <w:shd w:val="clear" w:fill="FFFFFF"/>
          <w:lang w:val="en-US" w:eastAsia="zh-CN"/>
        </w:rPr>
        <w:t>（一）预算收支情况</w:t>
      </w:r>
      <w:bookmarkEnd w:id="4"/>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忻州市人民政府外事办公室2020年收支预算231.23万元，比2019年收支预算增加90.4万元，增加原因为：因机构改革组成新单位，人员增加，项目整合增加预算。收入全部为一般公共预算拨款，无政府性基金预算拨款。</w:t>
      </w:r>
    </w:p>
    <w:p>
      <w:pPr>
        <w:pStyle w:val="4"/>
        <w:keepNext w:val="0"/>
        <w:keepLines w:val="0"/>
        <w:widowControl/>
        <w:suppressLineNumbers w:val="0"/>
        <w:spacing w:before="0" w:beforeAutospacing="0" w:after="0" w:afterAutospacing="0" w:line="504" w:lineRule="auto"/>
        <w:ind w:left="0" w:right="0"/>
        <w:jc w:val="left"/>
        <w:outlineLvl w:val="1"/>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w:t>
      </w:r>
      <w:bookmarkStart w:id="5" w:name="_Toc18297"/>
      <w:r>
        <w:rPr>
          <w:rFonts w:hint="eastAsia" w:ascii="仿宋_GB2312" w:hAnsi="仿宋_GB2312" w:eastAsia="仿宋_GB2312" w:cs="仿宋_GB2312"/>
          <w:color w:val="333333"/>
          <w:sz w:val="32"/>
          <w:szCs w:val="32"/>
          <w:shd w:val="clear" w:fill="FFFFFF"/>
          <w:lang w:val="en-US" w:eastAsia="zh-CN"/>
        </w:rPr>
        <w:t>（二）一般公共预算支出情况</w:t>
      </w:r>
      <w:bookmarkEnd w:id="5"/>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1、2020年基本支出预算140.23万元，比2019年增加36.9万元，增加原因为人员增加。</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其中：人员经费104.08万元，分别为工资福利支出102.94万元、对个人和家庭的补助1.14万元。工资福利支出包括基本工资、津贴补贴、奖金、机关事业单位基本养老保险缴费、 城镇职工基本医疗保险缴费、其他社会保障缴费、住房公积金、其他工资福利支出；对个人和家庭补助包括退休费、生活补助、奖励金等；</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公用经费36.15万元，为商品和服务支出，主要包括办公费、差旅费、劳务费、工会经费、福利费、其他交通费用、其他商品和服务支出等。</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2、2020年项目支出预算91万元，全部为一般公共预算，较2019年项目支出增加53.5万元。主要原因为：机构改革组成新单位新增项目支出，项目支出有外事台港澳事务经费、办公设备购置费、台港澳交流费、外事礼宾礼遇费、宣传经费、出国经费等。</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3、“三公”经费情况</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2020年“三公”经费预算20万元，其中因公出国（境）费用10万元，属于新增项目；公务接待费7万元，属于新增项目；公务用车运行维护费3万元，与上年相同；公务用车购置费0元，和上年相同。</w:t>
      </w:r>
    </w:p>
    <w:p>
      <w:pPr>
        <w:pStyle w:val="4"/>
        <w:keepNext w:val="0"/>
        <w:keepLines w:val="0"/>
        <w:widowControl/>
        <w:suppressLineNumbers w:val="0"/>
        <w:spacing w:before="0" w:beforeAutospacing="0" w:after="0" w:afterAutospacing="0" w:line="504" w:lineRule="auto"/>
        <w:ind w:left="0" w:right="0"/>
        <w:jc w:val="left"/>
        <w:outlineLvl w:val="1"/>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w:t>
      </w:r>
      <w:bookmarkStart w:id="6" w:name="_Toc8837"/>
      <w:r>
        <w:rPr>
          <w:rFonts w:hint="eastAsia" w:ascii="仿宋_GB2312" w:hAnsi="仿宋_GB2312" w:eastAsia="仿宋_GB2312" w:cs="仿宋_GB2312"/>
          <w:color w:val="333333"/>
          <w:sz w:val="32"/>
          <w:szCs w:val="32"/>
          <w:shd w:val="clear" w:fill="FFFFFF"/>
          <w:lang w:val="en-US" w:eastAsia="zh-CN"/>
        </w:rPr>
        <w:t>（三）政府性基金预算情况</w:t>
      </w:r>
      <w:bookmarkEnd w:id="6"/>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我单位没有政府性基金预算。</w:t>
      </w:r>
    </w:p>
    <w:p>
      <w:pPr>
        <w:pStyle w:val="4"/>
        <w:keepNext w:val="0"/>
        <w:keepLines w:val="0"/>
        <w:widowControl/>
        <w:suppressLineNumbers w:val="0"/>
        <w:spacing w:before="0" w:beforeAutospacing="0" w:after="0" w:afterAutospacing="0" w:line="504" w:lineRule="auto"/>
        <w:ind w:left="0" w:right="0"/>
        <w:jc w:val="left"/>
        <w:outlineLvl w:val="1"/>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w:t>
      </w:r>
      <w:bookmarkStart w:id="7" w:name="_Toc4487"/>
      <w:r>
        <w:rPr>
          <w:rFonts w:hint="eastAsia" w:ascii="仿宋_GB2312" w:hAnsi="仿宋_GB2312" w:eastAsia="仿宋_GB2312" w:cs="仿宋_GB2312"/>
          <w:color w:val="333333"/>
          <w:sz w:val="32"/>
          <w:szCs w:val="32"/>
          <w:shd w:val="clear" w:fill="FFFFFF"/>
          <w:lang w:val="en-US" w:eastAsia="zh-CN"/>
        </w:rPr>
        <w:t>（四）机关运行经费情况</w:t>
      </w:r>
      <w:bookmarkEnd w:id="7"/>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忻州市人民政府外事办公室2020年的机关运行经费财政拨款预算36.15万元，比2019年有所增加。主要原因是人员增加，人员经费增加，同时新增培训费、会议费。</w:t>
      </w:r>
    </w:p>
    <w:p>
      <w:pPr>
        <w:pStyle w:val="4"/>
        <w:keepNext w:val="0"/>
        <w:keepLines w:val="0"/>
        <w:widowControl/>
        <w:suppressLineNumbers w:val="0"/>
        <w:spacing w:before="0" w:beforeAutospacing="0" w:after="0" w:afterAutospacing="0" w:line="504" w:lineRule="auto"/>
        <w:ind w:left="0" w:right="0"/>
        <w:jc w:val="left"/>
        <w:outlineLvl w:val="1"/>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w:t>
      </w:r>
      <w:bookmarkStart w:id="8" w:name="_Toc6848"/>
      <w:r>
        <w:rPr>
          <w:rFonts w:hint="eastAsia" w:ascii="仿宋_GB2312" w:hAnsi="仿宋_GB2312" w:eastAsia="仿宋_GB2312" w:cs="仿宋_GB2312"/>
          <w:color w:val="333333"/>
          <w:sz w:val="32"/>
          <w:szCs w:val="32"/>
          <w:shd w:val="clear" w:fill="FFFFFF"/>
          <w:lang w:val="en-US" w:eastAsia="zh-CN"/>
        </w:rPr>
        <w:t>（五）其他说明</w:t>
      </w:r>
      <w:bookmarkEnd w:id="8"/>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1、国有资产占有使用情况</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（1）车辆情况</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我单位代管、使用一辆公务用车。</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（2）房屋情况</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我单位办公室用房面积210.54平米。</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2、绩效管理情况</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2020年我单位绩效目标管理的项目有：外事台港澳事务经费、外事礼宾礼遇费、台港澳交流费、宣传经费等。</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3、政府采购情况</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2020年我单位政府采购经费预算为35万元，用于采买办公家具、办公设备，印刷费等。</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4、政府购买服务情况。</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2020年我单位无政府购买服务项目。</w:t>
      </w:r>
    </w:p>
    <w:p>
      <w:pPr>
        <w:pStyle w:val="4"/>
        <w:keepNext w:val="0"/>
        <w:keepLines w:val="0"/>
        <w:widowControl/>
        <w:suppressLineNumbers w:val="0"/>
        <w:spacing w:before="0" w:beforeAutospacing="0" w:after="0" w:afterAutospacing="0" w:line="504" w:lineRule="auto"/>
        <w:ind w:left="0" w:right="0"/>
        <w:outlineLvl w:val="0"/>
        <w:rPr>
          <w:rFonts w:hint="eastAsia" w:ascii="仿宋_GB2312" w:hAnsi="仿宋_GB2312" w:eastAsia="仿宋_GB2312" w:cs="仿宋_GB2312"/>
          <w:color w:val="333333"/>
          <w:sz w:val="32"/>
          <w:szCs w:val="32"/>
        </w:rPr>
      </w:pPr>
      <w:bookmarkStart w:id="9" w:name="_Toc14409"/>
      <w:r>
        <w:rPr>
          <w:rFonts w:hint="eastAsia" w:ascii="黑体" w:hAnsi="黑体" w:eastAsia="黑体" w:cs="黑体"/>
          <w:color w:val="333333"/>
          <w:sz w:val="32"/>
          <w:szCs w:val="32"/>
          <w:shd w:val="clear" w:fill="FFFFFF"/>
          <w:lang w:val="en-US" w:eastAsia="zh-CN"/>
        </w:rPr>
        <w:t>五</w:t>
      </w:r>
      <w:r>
        <w:rPr>
          <w:rFonts w:hint="eastAsia" w:ascii="黑体" w:hAnsi="黑体" w:eastAsia="黑体" w:cs="黑体"/>
          <w:color w:val="333333"/>
          <w:sz w:val="32"/>
          <w:szCs w:val="32"/>
          <w:shd w:val="clear" w:fill="FFFFFF"/>
        </w:rPr>
        <w:t>、名词解释</w:t>
      </w:r>
      <w:bookmarkEnd w:id="9"/>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color w:val="333333"/>
          <w:sz w:val="32"/>
          <w:szCs w:val="32"/>
          <w:shd w:val="clear" w:fill="FFFFFF"/>
          <w:lang w:val="en-US" w:eastAsia="zh-CN"/>
        </w:rPr>
        <w:t>（一）基本支出：指为保障机构正常运转、完成日常工作任务而发生的人员支出和公用支出。</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（二）项目支出：指在基本支出之外为完成特定行政任务和事业发展目标所发生的支出。</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三）“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（四）机关运行经费：指行政单位和参照公务员管理的事业单位使用一般公共预算安排的基本支出中的日常公用经费支出。</w:t>
      </w:r>
    </w:p>
    <w:p>
      <w:pPr>
        <w:pStyle w:val="4"/>
        <w:keepNext w:val="0"/>
        <w:keepLines w:val="0"/>
        <w:widowControl/>
        <w:suppressLineNumbers w:val="0"/>
        <w:spacing w:before="0" w:beforeAutospacing="0" w:after="0" w:afterAutospacing="0" w:line="504" w:lineRule="auto"/>
        <w:ind w:left="0" w:right="0"/>
        <w:rPr>
          <w:color w:val="333333"/>
          <w:sz w:val="24"/>
          <w:szCs w:val="24"/>
        </w:rPr>
      </w:pPr>
      <w:r>
        <w:rPr>
          <w:color w:val="333333"/>
          <w:sz w:val="24"/>
          <w:szCs w:val="24"/>
          <w:shd w:val="clear" w:fill="FFFFFF"/>
        </w:rPr>
        <w:t>　　</w:t>
      </w:r>
    </w:p>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387222"/>
    <w:rsid w:val="0B0E2A57"/>
    <w:rsid w:val="17595D2E"/>
    <w:rsid w:val="2836496F"/>
    <w:rsid w:val="492F46DC"/>
    <w:rsid w:val="510B3B08"/>
    <w:rsid w:val="6D9F753B"/>
    <w:rsid w:val="780A0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1"/>
      <w:szCs w:val="21"/>
      <w:lang w:val="en-US" w:eastAsia="zh-CN" w:bidi="ar"/>
    </w:rPr>
  </w:style>
  <w:style w:type="character" w:styleId="7">
    <w:name w:val="FollowedHyperlink"/>
    <w:basedOn w:val="6"/>
    <w:uiPriority w:val="0"/>
    <w:rPr>
      <w:color w:val="222222"/>
      <w:u w:val="none"/>
    </w:rPr>
  </w:style>
  <w:style w:type="character" w:styleId="8">
    <w:name w:val="Hyperlink"/>
    <w:basedOn w:val="6"/>
    <w:uiPriority w:val="0"/>
    <w:rPr>
      <w:color w:val="222222"/>
      <w:u w:val="none"/>
    </w:rPr>
  </w:style>
  <w:style w:type="character" w:customStyle="1" w:styleId="9">
    <w:name w:val="owl-numbers"/>
    <w:basedOn w:val="6"/>
    <w:uiPriority w:val="0"/>
    <w:rPr>
      <w:color w:val="FFFFFF"/>
      <w:sz w:val="18"/>
      <w:szCs w:val="18"/>
    </w:rPr>
  </w:style>
  <w:style w:type="paragraph" w:customStyle="1" w:styleId="10">
    <w:name w:val="WPSOffice手动目录 1"/>
    <w:uiPriority w:val="0"/>
    <w:pPr>
      <w:ind w:leftChars="0"/>
    </w:pPr>
    <w:rPr>
      <w:sz w:val="20"/>
      <w:szCs w:val="20"/>
    </w:rPr>
  </w:style>
  <w:style w:type="paragraph" w:customStyle="1" w:styleId="11">
    <w:name w:val="WPSOffice手动目录 2"/>
    <w:uiPriority w:val="0"/>
    <w:pPr>
      <w:ind w:leftChars="200"/>
    </w:pPr>
    <w:rPr>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2020-08-14T01:02:00Z</dcterms:created>
  <dc:creator>lenovo</dc:creator>
  <cp:lastModifiedBy>lenovo</cp:lastModifiedBy>
  <dcterms:modified xsi:type="dcterms:W3CDTF">2021-05-21T01:25:44Z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2C7E1513FCD345038EEA732B79FC4F0A</vt:lpwstr>
  </property>
</Properties>
</file>