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left="0" w:leftChars="0" w:firstLine="0" w:firstLineChars="0"/>
        <w:jc w:val="center"/>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市直离休干部医药费</w:t>
      </w:r>
    </w:p>
    <w:p>
      <w:pPr>
        <w:spacing w:line="480" w:lineRule="auto"/>
        <w:ind w:left="1680" w:firstLine="420" w:firstLineChars="0"/>
        <w:rPr>
          <w:rFonts w:hint="eastAsia" w:ascii="仿宋_GB2312" w:hAnsi="Times New Roman" w:cs="Times New Roman"/>
          <w:kern w:val="0"/>
          <w:sz w:val="32"/>
          <w:szCs w:val="32"/>
          <w:lang w:bidi="en-US"/>
        </w:rPr>
      </w:pPr>
    </w:p>
    <w:p>
      <w:pPr>
        <w:spacing w:line="480" w:lineRule="auto"/>
        <w:ind w:left="1680" w:firstLine="3040" w:firstLineChars="95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忻州市医疗保险服务中心</w:t>
      </w:r>
    </w:p>
    <w:p>
      <w:pPr>
        <w:spacing w:line="480" w:lineRule="auto"/>
        <w:ind w:left="1680" w:firstLine="420" w:firstLineChars="0"/>
        <w:rPr>
          <w:rFonts w:hint="eastAsia" w:ascii="仿宋_GB2312" w:hAnsi="Times New Roman" w:cs="Times New Roman"/>
          <w:kern w:val="0"/>
          <w:sz w:val="32"/>
          <w:szCs w:val="32"/>
          <w:lang w:bidi="en-US"/>
        </w:rPr>
      </w:pPr>
    </w:p>
    <w:p>
      <w:pPr>
        <w:spacing w:line="480" w:lineRule="auto"/>
        <w:ind w:left="1680" w:firstLine="3040" w:firstLineChars="95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忻州市医疗保障局-408</w:t>
      </w: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left="0" w:leftChars="0" w:firstLine="0" w:firstLineChars="0"/>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w:t>
      </w:r>
      <w:r>
        <w:rPr>
          <w:rFonts w:hint="eastAsia" w:ascii="仿宋_GB2312" w:hAnsi="Times New Roman" w:cs="Times New Roman"/>
          <w:b w:val="0"/>
          <w:bCs w:val="0"/>
          <w:kern w:val="0"/>
          <w:sz w:val="32"/>
          <w:szCs w:val="32"/>
          <w:lang w:val="en-US" w:eastAsia="zh-CN" w:bidi="en-US"/>
        </w:rPr>
        <w:t>7</w:t>
      </w:r>
      <w:r>
        <w:rPr>
          <w:rFonts w:hint="eastAsia" w:ascii="仿宋_GB2312" w:hAnsi="Times New Roman" w:cs="Times New Roman"/>
          <w:b w:val="0"/>
          <w:bCs w:val="0"/>
          <w:kern w:val="0"/>
          <w:sz w:val="32"/>
          <w:szCs w:val="32"/>
          <w:lang w:eastAsia="zh-CN" w:bidi="en-US"/>
        </w:rPr>
        <w:t>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800" w:left="144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申请年度离休干部医药费，解决离休干部医药费报销问题。</w:t>
      </w:r>
    </w:p>
    <w:p>
      <w:pPr>
        <w:pStyle w:val="44"/>
        <w:ind w:left="280" w:firstLine="562"/>
        <w:rPr>
          <w:rFonts w:hint="eastAsia"/>
          <w:lang w:eastAsia="zh-CN"/>
        </w:rPr>
      </w:pPr>
      <w:r>
        <w:rPr>
          <w:rFonts w:hint="eastAsia"/>
          <w:b/>
          <w:bCs/>
          <w:lang w:val="en-US" w:eastAsia="zh-CN"/>
        </w:rPr>
        <w:t>立项依据：</w:t>
      </w:r>
      <w:r>
        <w:rPr>
          <w:rFonts w:hint="eastAsia"/>
          <w:lang w:eastAsia="zh-CN"/>
        </w:rPr>
        <w:t xml:space="preserve">中共忻州市委老干部局【忻州市市直离休干部医药费管理办法】2002.5.10 </w:t>
      </w:r>
    </w:p>
    <w:p>
      <w:pPr>
        <w:pStyle w:val="44"/>
        <w:ind w:left="280" w:firstLine="562"/>
        <w:rPr>
          <w:lang w:eastAsia="zh-CN"/>
        </w:rPr>
      </w:pPr>
      <w:r>
        <w:rPr>
          <w:rFonts w:hint="eastAsia"/>
          <w:lang w:eastAsia="zh-CN"/>
        </w:rPr>
        <w:t>中共忻州市委老干部局、人力资源</w:t>
      </w:r>
      <w:r>
        <w:rPr>
          <w:rFonts w:hint="eastAsia"/>
          <w:lang w:val="en-US" w:eastAsia="zh-CN"/>
        </w:rPr>
        <w:t>和</w:t>
      </w:r>
      <w:r>
        <w:rPr>
          <w:rFonts w:hint="eastAsia"/>
          <w:lang w:eastAsia="zh-CN"/>
        </w:rPr>
        <w:t>社会保障局、财政局【关于市直离休干部及二等乙级以上伤残军人医药费管理工作移交情况表】2011.11.22</w:t>
      </w:r>
    </w:p>
    <w:p>
      <w:pPr>
        <w:pStyle w:val="44"/>
        <w:ind w:left="280" w:firstLine="562"/>
        <w:rPr>
          <w:lang w:eastAsia="zh-CN"/>
        </w:rPr>
      </w:pPr>
      <w:r>
        <w:rPr>
          <w:rFonts w:hint="eastAsia"/>
          <w:b/>
          <w:bCs/>
          <w:lang w:val="en-US" w:eastAsia="zh-CN"/>
        </w:rPr>
        <w:t>设立的必要性：</w:t>
      </w:r>
      <w:r>
        <w:rPr>
          <w:rFonts w:hint="eastAsia"/>
          <w:lang w:eastAsia="zh-CN"/>
        </w:rPr>
        <w:t>为解决离休干部的医药费待遇问题。</w:t>
      </w:r>
    </w:p>
    <w:p>
      <w:pPr>
        <w:pStyle w:val="44"/>
        <w:ind w:left="280" w:firstLine="562"/>
        <w:rPr>
          <w:rFonts w:hint="eastAsia"/>
          <w:lang w:eastAsia="zh-CN"/>
        </w:rPr>
      </w:pPr>
      <w:r>
        <w:rPr>
          <w:rFonts w:hint="eastAsia"/>
          <w:b/>
          <w:bCs/>
          <w:lang w:val="en-US" w:eastAsia="zh-CN"/>
        </w:rPr>
        <w:t>保证项目实施的措施与制度：</w:t>
      </w:r>
      <w:r>
        <w:rPr>
          <w:rFonts w:hint="eastAsia"/>
          <w:lang w:eastAsia="zh-CN"/>
        </w:rPr>
        <w:t xml:space="preserve">中共忻州市委老干部局【忻州市市直离休干部医药费管理办法】2002.5.10 </w:t>
      </w:r>
    </w:p>
    <w:p>
      <w:pPr>
        <w:pStyle w:val="44"/>
        <w:ind w:left="280" w:firstLine="562"/>
        <w:rPr>
          <w:lang w:eastAsia="zh-CN"/>
        </w:rPr>
      </w:pPr>
      <w:r>
        <w:rPr>
          <w:rFonts w:hint="eastAsia"/>
          <w:lang w:eastAsia="zh-CN"/>
        </w:rPr>
        <w:t>中共忻州市委老干部局、</w:t>
      </w:r>
      <w:bookmarkStart w:id="17" w:name="_GoBack"/>
      <w:bookmarkEnd w:id="17"/>
      <w:r>
        <w:rPr>
          <w:rFonts w:hint="eastAsia"/>
          <w:lang w:eastAsia="zh-CN"/>
        </w:rPr>
        <w:t>人力资源</w:t>
      </w:r>
      <w:r>
        <w:rPr>
          <w:rFonts w:hint="eastAsia"/>
          <w:lang w:val="en-US" w:eastAsia="zh-CN"/>
        </w:rPr>
        <w:t>和</w:t>
      </w:r>
      <w:r>
        <w:rPr>
          <w:rFonts w:hint="eastAsia"/>
          <w:lang w:eastAsia="zh-CN"/>
        </w:rPr>
        <w:t>社会保障局、财政局【关于市直离休干部及二等乙级以上伤残军人医药费管理工作移交情况表】2011.11.22</w:t>
      </w:r>
    </w:p>
    <w:p>
      <w:pPr>
        <w:pStyle w:val="44"/>
        <w:ind w:left="280" w:firstLine="562"/>
        <w:rPr>
          <w:lang w:eastAsia="zh-CN"/>
        </w:rPr>
      </w:pPr>
      <w:r>
        <w:rPr>
          <w:rFonts w:hint="eastAsia"/>
          <w:b/>
          <w:bCs/>
          <w:lang w:val="en-US" w:eastAsia="zh-CN"/>
        </w:rPr>
        <w:t>项目实施计划：</w:t>
      </w:r>
      <w:r>
        <w:rPr>
          <w:rFonts w:hint="eastAsia"/>
          <w:lang w:eastAsia="zh-CN"/>
        </w:rPr>
        <w:t>离休干部医药费实行按季结算，由单位汇总报送至经办机构审核，由经办机构向财政申请相关资金。</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1800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1800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1800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1800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1800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1800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1800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1800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1800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800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55.56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55.56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55.56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2021年度市直离休干部共计184人，我中心及时申请年度离休干部医药费，保障离休干部正常享受医保待遇，有效减轻离休干部就医负担。</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2021年度市直离休干部共计184人，我中心及时申请年度离休干部医药费，保障离休干部正常享受医保待遇，有效减轻离休干部就医负担。</w:t>
      </w: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市直离休干部医药费</w:t>
      </w:r>
      <w:r>
        <w:rPr>
          <w:rFonts w:hint="eastAsia"/>
          <w:lang w:eastAsia="zh-CN"/>
        </w:rPr>
        <w:t>项目绩效自评价结果为:总得分</w:t>
      </w:r>
      <w:r>
        <w:rPr>
          <w:color w:val="auto"/>
          <w:u w:val="none"/>
        </w:rPr>
        <w:t>89.31</w:t>
      </w:r>
      <w:r>
        <w:rPr>
          <w:rFonts w:hint="eastAsia"/>
          <w:lang w:eastAsia="zh-CN"/>
        </w:rPr>
        <w:t>分，属于"</w:t>
      </w:r>
      <w:r>
        <w:rPr>
          <w:color w:val="auto"/>
          <w:u w:val="none"/>
        </w:rPr>
        <w:t>良好</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8830" w:type="dxa"/>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55.55%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5.55</w:t>
            </w:r>
          </w:p>
        </w:tc>
      </w:tr>
    </w:tbl>
    <w:p>
      <w:pPr>
        <w:ind w:firstLine="0" w:firstLineChars="0"/>
        <w:rPr>
          <w:szCs w:val="44"/>
        </w:rPr>
      </w:pPr>
    </w:p>
    <w:p>
      <w:pPr>
        <w:widowControl/>
        <w:ind w:firstLine="562" w:firstLineChars="200"/>
        <w:jc w:val="left"/>
        <w:rPr>
          <w:b/>
          <w:bCs/>
        </w:rPr>
      </w:pPr>
      <w:bookmarkStart w:id="6" w:name="_Toc61505643"/>
      <w:r>
        <w:rPr>
          <w:rFonts w:hint="eastAsia"/>
          <w:b/>
          <w:bCs/>
        </w:rPr>
        <w:t>（二）项目</w:t>
      </w:r>
      <w:r>
        <w:rPr>
          <w:rFonts w:hint="eastAsia"/>
          <w:b/>
          <w:bCs/>
          <w:lang w:eastAsia="zh-CN"/>
        </w:rPr>
        <w:t>产出</w:t>
      </w:r>
      <w:r>
        <w:rPr>
          <w:rFonts w:hint="eastAsia"/>
          <w:b/>
          <w:bCs/>
        </w:rPr>
        <w:t>情况</w:t>
      </w:r>
      <w:bookmarkEnd w:id="6"/>
    </w:p>
    <w:tbl>
      <w:tblPr>
        <w:tblStyle w:val="24"/>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离休干部人数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184</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182人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12.76</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离休干部医疗补助政策知晓程度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基本知晓</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离休干部医药费报销时效</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及时组织报销</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年度离休干部医药费补助资金</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7.14</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离休干部就医负担缓解程度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有效缓解</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12.72</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离休干部医疗补助应补尽补率（%）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我中心根据《忻州市市直离休干部医药费管理办法》中“市直离休干部医药费列入市财政预算，由市财政局直接拨付经办机构”规定，申请2021年度市直离休干部医药费1000万元。</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2021年度离休干部及二等乙级伤残军人共计182人；离休干部相关医疗补助政策基本知晓，由于离休干部大多年龄偏大，相关报销政策由家属掌握；及时组织医药费报销；年度申请离休干部医药费1000万元。</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离休干部医药费补助资金有效保障了离休干部的医保待遇，大大缓解了离休干部的看病就医负担。</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离休干部医药费补助资金有效保障了离休干部的医保待遇，大大缓解了离休干部的看病就医负担，满意度较高。</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在项目实施过程中加强项目管理，强化项目资金管理，严格项目资金拨付，每个项目尽量做到事前有预算，事中有监督，事后有评价。</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对项目绩效目标的设定和各项指标的理解、认识不到位，缺乏可衡量性等。</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进一步加强培训学习，细化预算绩效指标，遵循可取、可比、可测、可用原则，采取定量与定性相结合的方式设定，涵盖决策、过程、产出、效益等方面。</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55.55%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55.55%</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5.55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离休干部人数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184</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182人</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98.91%</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12.76</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两人经核实在预算年度开始前明确已去世且无遗留医疗费用。</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离休干部医疗补助政策知晓程度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基本知晓</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离休干部年龄偏大，待遇多由家属掌握。</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离休干部医药费报销时效</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及时组织报销</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年度离休干部医药费补助资金</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55.56%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7.14</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年度内按实际支出申请资金</w:t>
            </w: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离休干部就医负担缓解程度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有效缓解</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99%</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99%</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12.72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按照现行政策部分场景需要病人先行垫付后报销。</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离休干部医疗补助应补尽补率（%）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103.16%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fixed"/>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YzQzMGFjMjUzMGYwODMwZjhmZTEzMTA0N2U0NTcifQ=="/>
  </w:docVars>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3344C7A"/>
    <w:rsid w:val="09920B03"/>
    <w:rsid w:val="1589274D"/>
    <w:rsid w:val="17D646C5"/>
    <w:rsid w:val="2507775E"/>
    <w:rsid w:val="338B281A"/>
    <w:rsid w:val="37052B93"/>
    <w:rsid w:val="463E1DBD"/>
    <w:rsid w:val="48E40D4B"/>
    <w:rsid w:val="500515CE"/>
    <w:rsid w:val="520F6C90"/>
    <w:rsid w:val="64F07B59"/>
    <w:rsid w:val="65F21522"/>
    <w:rsid w:val="6DA63C63"/>
    <w:rsid w:val="6ECC4064"/>
    <w:rsid w:val="6FBB0AAA"/>
    <w:rsid w:val="72353EE7"/>
    <w:rsid w:val="734E15C2"/>
    <w:rsid w:val="74E434C5"/>
    <w:rsid w:val="7705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autoRedefine/>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qFormat/>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qFormat/>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rFonts w:cs="Calibri"/>
      <w:b/>
      <w:bCs/>
      <w:caps/>
      <w:sz w:val="20"/>
      <w:szCs w:val="20"/>
    </w:rPr>
  </w:style>
  <w:style w:type="paragraph" w:styleId="19">
    <w:name w:val="toc 4"/>
    <w:basedOn w:val="1"/>
    <w:next w:val="1"/>
    <w:unhideWhenUsed/>
    <w:qFormat/>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qFormat/>
    <w:uiPriority w:val="39"/>
    <w:pPr>
      <w:ind w:left="280"/>
      <w:jc w:val="left"/>
    </w:pPr>
    <w:rPr>
      <w:rFonts w:cs="Calibri"/>
      <w:smallCaps/>
      <w:sz w:val="20"/>
      <w:szCs w:val="20"/>
    </w:rPr>
  </w:style>
  <w:style w:type="paragraph" w:styleId="22">
    <w:name w:val="toc 9"/>
    <w:basedOn w:val="1"/>
    <w:next w:val="1"/>
    <w:unhideWhenUsed/>
    <w:qFormat/>
    <w:uiPriority w:val="39"/>
    <w:pPr>
      <w:ind w:left="2240"/>
      <w:jc w:val="left"/>
    </w:pPr>
    <w:rPr>
      <w:rFonts w:cs="Calibri"/>
      <w:sz w:val="18"/>
      <w:szCs w:val="18"/>
    </w:rPr>
  </w:style>
  <w:style w:type="paragraph" w:styleId="23">
    <w:name w:val="annotation subject"/>
    <w:basedOn w:val="11"/>
    <w:next w:val="11"/>
    <w:link w:val="41"/>
    <w:semiHidden/>
    <w:unhideWhenUsed/>
    <w:qFormat/>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qFormat/>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qFormat/>
    <w:uiPriority w:val="99"/>
    <w:rPr>
      <w:sz w:val="18"/>
      <w:szCs w:val="18"/>
    </w:rPr>
  </w:style>
  <w:style w:type="character" w:customStyle="1" w:styleId="30">
    <w:name w:val="页脚 Char"/>
    <w:basedOn w:val="26"/>
    <w:link w:val="16"/>
    <w:qFormat/>
    <w:uiPriority w:val="99"/>
    <w:rPr>
      <w:sz w:val="18"/>
      <w:szCs w:val="18"/>
    </w:rPr>
  </w:style>
  <w:style w:type="character" w:customStyle="1" w:styleId="31">
    <w:name w:val="标题 1 Char"/>
    <w:basedOn w:val="26"/>
    <w:link w:val="2"/>
    <w:qFormat/>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qFormat/>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qFormat/>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autoRedefine/>
    <w:semiHidden/>
    <w:qFormat/>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autoRedefine/>
    <w:qFormat/>
    <w:uiPriority w:val="0"/>
    <w:rPr>
      <w:rFonts w:ascii="Calibri" w:hAnsi="Calibri" w:eastAsia="仿宋_GB2312" w:cs="Times New Roman"/>
      <w:kern w:val="0"/>
      <w:sz w:val="28"/>
      <w:szCs w:val="20"/>
      <w:lang w:val="zh-CN" w:eastAsia="zh-CN"/>
    </w:rPr>
  </w:style>
  <w:style w:type="character" w:customStyle="1" w:styleId="37">
    <w:name w:val="Intense Reference"/>
    <w:autoRedefin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autoRedefine/>
    <w:semiHidden/>
    <w:qFormat/>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autoRedefine/>
    <w:semiHidden/>
    <w:qFormat/>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autoRedefine/>
    <w:qFormat/>
    <w:uiPriority w:val="1"/>
    <w:rPr>
      <w:rFonts w:ascii="Calibri" w:hAnsi="Calibri" w:eastAsia="仿宋_GB2312" w:cs="黑体"/>
      <w:sz w:val="28"/>
    </w:rPr>
  </w:style>
  <w:style w:type="paragraph" w:customStyle="1" w:styleId="44">
    <w:name w:val="闻政-正文段落文字"/>
    <w:basedOn w:val="1"/>
    <w:link w:val="45"/>
    <w:autoRedefine/>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autoRedefine/>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qFormat/>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autoRedefine/>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autoRedefine/>
    <w:qFormat/>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autoRedefine/>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autoRedefine/>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autoRedefine/>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2908</TotalTime>
  <ScaleCrop>false</ScaleCrop>
  <LinksUpToDate>false</LinksUpToDate>
  <CharactersWithSpaces>2973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hope</cp:lastModifiedBy>
  <dcterms:modified xsi:type="dcterms:W3CDTF">2024-03-28T08:54:56Z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AE696B30FAA54004B0ED48A5B6455800</vt:lpwstr>
  </property>
</Properties>
</file>