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职工及城乡居民医疗保险经费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忻州市医疗保险服务中心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忻州市医疗保障局-408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用于各项医疗保险工作所需工作经费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忻州市人民政府关于印发《忻州城区城镇职工基本医疗保险实施办法》的通知（忻政发【2002】37号） 忻州市人民政府关于印发《忻州市城镇职工基本医疗保险市级统筹实施方案》的通知（忻政发【2011】18号） 忻州市人民政府关于印发《忻州市整合城乡居民基本医疗保险制度实施方案》的通知（忻政发【2016】37号）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保障各项医疗保险相关工作的顺利开展，为我市广大参保人员提供服务。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忻州市人民政府关于印发《忻州城区城镇职工基本医疗保险实施办法》的通知（忻政发【2002】37号） 忻州市人民政府关于印发《忻州市城镇职工基本医疗保险市级统筹实施方案》的通知（忻政发【2011】18号） 忻州市人民政府关于印发《忻州市整合城乡居民基本医疗保险制度实施方案》的通知（忻政发【2016】37号）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根据实际工作需要列支。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78.8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78.8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78.8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23.64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23.64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23.64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6.36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6.36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6.36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保障各项医疗保险相关工作的顺利开展，为我市广大参保人员提供服务。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保障各项医疗保险相关工作的顺利开展，为我市广大参保人员提供服务。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职工及城乡居民医疗保险经费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84.5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良好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78.79%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7.87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工作效率提升度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有效提升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支付及时性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及时支付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基金运行成本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23.64万元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参保人员满意度（%）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基金运行连续性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连续运行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我中心根据预算批复指标，在日常医保经办工作中按实际需要列支，有效保障了各项医疗保险经办工作的顺利开展，为我市参保人员提供优质、高效、便民的医保服务。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年度内按实际工作需要列支，项目实际使用金额占预算批复金额的77%，无超预算支出；有效提升了医保工作效率；各项支出计划均及时支付。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项目资金保障各项医疗保险经办工作的顺利开展，保障医保基金连续平稳运行，为我市广大参保人员提供优质高效的服务。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医保经办服务水平不断提高，参保人员满意度较高。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在项目预算管理全过程中融入绩效理念和要求，合理确定绩效目标、全面实施绩效运行监控、科学开展绩效评价、切实强化结果应用，进一步提升项目资金使用效益。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对项目绩效目标的设定、绩效指标的确定、绩效自评等工作缺乏系统性的培训。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进一步加强培训学习，细化预算绩效指标，遵循可取、可比、可测、可用原则，采取定量与定性相结合的方式设定，涵盖决策、过程、产出、效益等方面。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78.79%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78.79%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7.87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年度内根据医保经办工作需要列支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按需支出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工作效率提升度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有效提升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支付及时性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及时支付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基金运行成本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23.64万元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157.60%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职工及城乡居民医疗保险经费项目预算资金30万元，全年支出未超预算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参保人员满意度（%）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12.59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基金运行连续性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连续运行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103.16%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