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信访信息系统运行维护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忻州市信访局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忻州市信访局-113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山西省信访信息系统依托运营商专线，连通国家省市县乡五级信访工作机构，全市以连通1000多个工作机构。进行信访案件登记接收转送交办办理。视频会议信访系统是依托运营商专线，连通山西11个地市级信访工作机构，119个区县级信访工作机构及各级横向责任单位的集视频会议、视频培训、视频会商、视频接访、应急指挥调度为一体的非涉密系统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《国家信访局关于建设国家信访局视频信访系统有关事宜》（国信发[2017]1号）的通知 国家信访局《视频信访系统建设标准规范》 山西省信访局关于转发《国家信访局关于建设国家信访局视频信访系统有关事宜》（晋信发[2017]7号）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中共中央办公厅国务院办公厅印发《关于创新群众工作方法解决信访突出问题的意见》中指出“健全公开透明的诉求表达和办理方式。完善民生热线、视频接访、绿色邮政、信访代理等做法，更加重视群众来信尤其是初次来信办理，引导群众更多以书信、电话、传真、视频、电子邮件等形式表达诉求，树立通过上述形式也能有效解决问题的导向。”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成立领导组，建立工作小组并制定《忻州市视频会议系统建设方案》，《忻州网上视频系统实施方案》，《忻州市视频会议系统所需要的互联网专线费用、系统运行维护》</w:t>
      </w:r>
    </w:p>
    <w:p>
      <w:pPr>
        <w:pStyle w:val="44"/>
        <w:ind w:left="280" w:firstLine="562"/>
        <w:rPr>
          <w:rFonts w:ascii="Times New Roman" w:hAnsi="Times New Roman" w:cs="Times New Roman"/>
          <w:kern w:val="0"/>
          <w:szCs w:val="28"/>
          <w:lang w:val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成立领导组，加强组织领导，制定实施方案。 倒排工期，明确进度。 加强考核监督，把视频会议系统建设任务作为市级信访工作年度重要考核内容。</w:t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19.8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保障信访信息系统安全运行，视频会议系统顺利召开。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保障全国信访信息系统运行顺畅安全，信访案件接收、转送、办理规范，视频会议系统顺利召开，完成任务。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信访信息系统运行维护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93.66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66.00%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6.6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维护系统（软件）数量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全部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更新系统（软件）数量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全部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核心系统连续提供服务能力时长（时/天）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24小时/天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系统故障平均恢复时长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0.5小时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系统故障响应及时性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系统（软件）更新升级及时性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项目总成本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总成本预算数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5.4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对避免重复投入运维费用的改善程度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对信息系统安全性能的改善或提升程度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对信息系统后续可用性及稳定性的持续影响程度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较高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8.02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信访信息系统依托运营商专线，连通国家省市县乡五级信访工作机构，年初预算30万元，实际支出19.8万元。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更新、维护系统软件，全天提供服务，及时响应系统故障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重复投入的运维费减少，系统安全性提高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服务对象满意度100%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通过支出信访信息系统运行维护费，保障信访信息系统正常运转，提高单位工作效率，保障系统安全性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预算编制进一步细化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6.6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更新系统（软件）数量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全部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维护系统（软件）数量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全部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核心系统连续提供服务能力时长（时/天）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24小时/天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系统故障平均恢复时长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0.5小时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系统故障平均恢复时长缩短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系统（软件）更新升级及时性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系统故障响应及时性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项目总成本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总成本预算数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5.4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对避免重复投入运维费用的改善程度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重复投入的运维费减少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对信息系统安全性能的改善或提升程度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系统安全性提高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对信息系统后续可用性及稳定性的持续影响程度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较高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8.02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102.04%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jU1ZDU3YmJjMTU2ZWU3NWIwYjg4OWFhZDY3MWUifQ=="/>
  </w:docVars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88D143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qFormat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qFormat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qFormat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qFormat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qFormat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2169</Words>
  <Characters>2546</Characters>
  <Lines>21</Lines>
  <Paragraphs>5</Paragraphs>
  <TotalTime>2899</TotalTime>
  <ScaleCrop>false</ScaleCrop>
  <LinksUpToDate>false</LinksUpToDate>
  <CharactersWithSpaces>2575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Qiyǎtíng ✨</cp:lastModifiedBy>
  <dcterms:modified xsi:type="dcterms:W3CDTF">2022-07-22T08:19:40Z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AE696B30FAA54004B0ED48A5B6455800</vt:lpwstr>
  </property>
</Properties>
</file>