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忻州市市场监督管理局第3期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关于8批次不合格食品核查处置情况的公告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（2022年第3期）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在国家、省、市级市场监督管理部门组织的食品安全抽检，涉及到我市8批次不合格食品，现将核查处置情况通告如下：</w:t>
      </w:r>
    </w:p>
    <w:p>
      <w:pPr>
        <w:numPr>
          <w:ilvl w:val="0"/>
          <w:numId w:val="0"/>
        </w:numPr>
        <w:spacing w:line="240" w:lineRule="atLeast"/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原平市原平玉丰菜店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销售不符合食品安全国家标准的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bidi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原平市原平玉丰菜店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购进日期为2021年11月15日的韭菜中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克百威项目不符合 GB 2763-2021《食品安全国家标准 食品中农药最大残留 限量》要求，检验结论为不合格。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依法处罚情况</w:t>
      </w:r>
    </w:p>
    <w:p>
      <w:pPr>
        <w:numPr>
          <w:ilvl w:val="0"/>
          <w:numId w:val="0"/>
        </w:numPr>
        <w:spacing w:line="240" w:lineRule="atLeast"/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原平市原平玉丰菜店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销售不符合食品安全国家标准的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违法行为违反了《食用农产品市场销售质量安全监督管理办法》第二十五条（二）项之规定。依据《山西省食品小作坊小经营店小摊点管理条例》第四十一条，食品小作坊、小经营店和小摊点，违反《中华人民共和国食品安全法》第三十四条（二）项之规定，我局作出处罚如下：1、没收违法所得120元，2、并处罚款2000元，罚没款合计2120元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忻州市忻府区欣茂源商行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销售不符合食品安全国家标准的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竹叶酒（露酒）</w:t>
      </w:r>
    </w:p>
    <w:p>
      <w:pPr>
        <w:numPr>
          <w:ilvl w:val="0"/>
          <w:numId w:val="0"/>
        </w:numPr>
        <w:spacing w:line="240" w:lineRule="atLeast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（一）抽检情况</w:t>
      </w:r>
    </w:p>
    <w:p>
      <w:pPr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忻州市忻府区欣茂源商行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购进日期为2021年11月8日的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竹叶酒（露酒）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酒精度（20℃）项目不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GB/T 27588-2011《露酒》标准要求，检验结论为不合格。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依法处罚情况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忻州市忻府区欣茂源商行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销售不符合食品安全国家标准的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竹叶酒（露酒）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违反了《中华人民共和国产品质量法》第三十九条，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依据《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中华人民共和国产品质量法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》第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五十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建议对当事人作如下行政处罚：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1、罚款2700元，2、没收违法所得1800元，没收不合格竹叶酒30斤，4、罚没款共计4500元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原平市原平青年街靖丰综合农贸市场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销售不符合食品安全国家标准的韭菜、粉条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widowControl/>
        <w:shd w:val="clear" w:color="auto" w:fill="FFFFFF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sz w:val="32"/>
          <w:szCs w:val="32"/>
        </w:rPr>
        <w:t>DC22140900166030021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检验报告：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NO：</w:t>
      </w:r>
      <w:r>
        <w:rPr>
          <w:rFonts w:hint="eastAsia" w:ascii="仿宋" w:hAnsi="仿宋" w:eastAsia="仿宋" w:cs="仿宋"/>
          <w:sz w:val="32"/>
          <w:szCs w:val="32"/>
        </w:rPr>
        <w:t xml:space="preserve">JDSP2022020021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韭菜；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DC22140900166030040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检验报告：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NO：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JDSP2022020040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粉条</w:t>
      </w:r>
    </w:p>
    <w:p>
      <w:pPr>
        <w:bidi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原平市原平青年街靖丰综合农贸市场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购进日期为2021年2月14日的韭菜中</w:t>
      </w:r>
      <w:r>
        <w:rPr>
          <w:rFonts w:hint="eastAsia" w:ascii="仿宋" w:hAnsi="仿宋" w:eastAsia="仿宋" w:cs="仿宋"/>
          <w:sz w:val="32"/>
          <w:szCs w:val="32"/>
        </w:rPr>
        <w:t>腐霉利项目不符合 GB 2763-2021《食品安全国家标准 食品中农药最大残留 限量》要求，检验结论为不合格。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购进日期为2021年2月14日的粉条中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铝的残留量(干样品，以 Al 计)项目不符合 GB 2760-2014《食品安全国家标准食品添加剂使用标准》要求，检验结论为不合格。</w:t>
      </w:r>
    </w:p>
    <w:p>
      <w:pP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依法处罚情况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原平市原平青年街靖丰综合农贸市场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销售不符合食品安全国家标准的韭菜、粉条的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违反了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《中华人民共和国食品安全法》第三十四条第四项之规定；依据《山西省食品小作坊小经营店小摊点管理条例》第四十一条第（二）项之规定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建议责令当事人改正上述违法行为，并处罚如下: 1、没收违法所得230元； 2、罚款3500元 合计罚没款3730元。</w:t>
      </w:r>
    </w:p>
    <w:p>
      <w:pPr>
        <w:numPr>
          <w:ilvl w:val="0"/>
          <w:numId w:val="0"/>
        </w:numPr>
        <w:spacing w:line="240" w:lineRule="atLeast"/>
        <w:jc w:val="left"/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四、忻州市忻府区彩萍副食水产经销部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不符合食品安全国家标准的淡水鱼（草鱼、鲤鱼）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widowControl/>
        <w:shd w:val="clear" w:color="auto" w:fill="FFFFFF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SC21140000150333376检验报告：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NO：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CYSP202110370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草鱼；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SC2114000015033377检验报告：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NO：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CYSP202110371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鲤鱼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经抽样检验，该超市销售的生产日期为2021年11月1日的草鱼、鲤鱼中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地西泮项目不符合GB31650-2019《食品安全国家标准 食品中兽药最大残留限量》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检验结论为不合格。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ind w:firstLine="636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1、忻州市忻府区彩萍副食水产经销部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销售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合食品安全国家标准的淡水鱼（草鱼、鲤鱼）违反了《中华人民共和国食品安全法》第三十四条一款（一）项的规定，由于当事人能说明进货来源，并履行了进货查验等义务，索证索票齐全，有充分的证明其不知道所采购的淡水鱼不符合食品安全标准。依据《中华人民共和国食品安全法》第一百三十六条规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，对当事人不予行政处罚。</w:t>
      </w:r>
    </w:p>
    <w:p>
      <w:pPr>
        <w:ind w:firstLine="636" w:firstLineChars="200"/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2、经查，此批不合格草鱼供应商为太原市杏花岭区小沈水产经销部，此批不合格鲤鱼供应商为太原市小店区程江贝水产经销部；均不属于我辖区，依据《市场监督管理行政处罚秩序 暂行规定》第十三条的规定，现已将违法线索移送到太原市市场监督管理局。</w:t>
      </w:r>
    </w:p>
    <w:p>
      <w:pPr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保德县聚源丰蔬菜水产批发门市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销售不符合食品安全国家标准的韭菜、芹菜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widowControl/>
        <w:shd w:val="clear" w:color="auto" w:fill="FFFFFF"/>
        <w:spacing w:line="240" w:lineRule="auto"/>
        <w:ind w:firstLine="640" w:firstLineChars="200"/>
        <w:jc w:val="both"/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DC21140900166032391检验报告：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NO：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JDSP2021112827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韭菜；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DC21140900166032390检验报告：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NO：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JDSP2021112828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芹菜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经抽样检验，该超市销售的生产日期为2021年11月4日的韭菜中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、芹菜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sz w:val="32"/>
          <w:szCs w:val="32"/>
        </w:rPr>
        <w:t>毒死蜱项目不符合 GB 2763-2021《食品安全国家标准 食品中农药最大残留限量》要求，检验结论为不合格。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ind w:firstLine="636" w:firstLineChars="200"/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1、该店经销不合格韭菜、芹菜的行为，违反了《食用农产品市场销售质量安全监督管理办法》第二十五条第二项的规定，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鉴于当事人积极配合调查，能如实说明其进货来源，履行了食用农产品进货查验等义务，不知情的情况下购进了不合格的韭菜、芹菜并收到检验报告后马上进行了召回，且提交了《对已售出的不合格食品法律后果承诺书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依据《食用农产品市场销售质量安全监督管理办法》第五十四条、《中华人民共和国食品安全法》第一百三十六条的规定，综合考虑当事人违法事实、情节，责令改正，建议免于行政处罚。</w:t>
      </w:r>
    </w:p>
    <w:p>
      <w:pPr>
        <w:ind w:firstLine="636" w:firstLineChars="200"/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经查，该批不合格韭菜、芹菜供应商为河北省邯郸市经济开发区小西堡乡后魏村邯邻路南（联邦农产品内），理货4区16号经营者李亮奇处，不属于我辖区，依据《市场监督管理行政处罚程序规定》第十四条的规定，现已将违法线索移送到河北省邯郸市市场监督管理局。</w:t>
      </w: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忻州市市场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监督管理局</w:t>
      </w:r>
    </w:p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2022年10月19日</w:t>
      </w:r>
    </w:p>
    <w:p>
      <w:pPr>
        <w:numPr>
          <w:ilvl w:val="0"/>
          <w:numId w:val="0"/>
        </w:numPr>
        <w:spacing w:line="240" w:lineRule="auto"/>
        <w:ind w:leftChars="0"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c2ODRjOTc1ODkyYTUzZWJjMzU4NzAxMDVkODkifQ=="/>
  </w:docVars>
  <w:rsids>
    <w:rsidRoot w:val="0DF84250"/>
    <w:rsid w:val="0B304DED"/>
    <w:rsid w:val="0DF84250"/>
    <w:rsid w:val="16C3745D"/>
    <w:rsid w:val="19362169"/>
    <w:rsid w:val="1A497C7A"/>
    <w:rsid w:val="1D81772B"/>
    <w:rsid w:val="36C7044C"/>
    <w:rsid w:val="3C685BD1"/>
    <w:rsid w:val="3E483C21"/>
    <w:rsid w:val="486A50DB"/>
    <w:rsid w:val="5208154B"/>
    <w:rsid w:val="5806097D"/>
    <w:rsid w:val="5A0602DA"/>
    <w:rsid w:val="6A642C9D"/>
    <w:rsid w:val="7A7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2081</Words>
  <Characters>2391</Characters>
  <Lines>0</Lines>
  <Paragraphs>0</Paragraphs>
  <TotalTime>32</TotalTime>
  <ScaleCrop>false</ScaleCrop>
  <LinksUpToDate>false</LinksUpToDate>
  <CharactersWithSpaces>2440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2022-10-17T01:06:00Z</dcterms:created>
  <dc:creator>天真遇到现实 </dc:creator>
  <cp:lastModifiedBy>Administrator</cp:lastModifiedBy>
  <cp:lastPrinted>2022-10-19T03:12:12Z</cp:lastPrinted>
  <dcterms:modified xsi:type="dcterms:W3CDTF">2022-10-19T03:12:33Z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4AE92F7270D8463380AD6D4D23F62BA0</vt:lpwstr>
  </property>
</Properties>
</file>