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忻州市市场监督管理局第2期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关于8批次不合格食品核查处置情况的公告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（2022年第2期）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在国家、省、市级市场监督管理部门组织的食品安全抽检，涉及到我市8批次不合格食品，现将核查处置情况通告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如下：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忻州市忻府区乡茂源餐饮店二部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不符合食品安全国家标准的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复用餐饮具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抽样单编号：SC21140000150333430样品名称：复用餐饮具（汤碗）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抽样单编号：SC21140000150333431样品名称：复用餐饮具（热菜盘）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抽样单编号：SC21140000150333433样品名称：复用餐饮具（汤勺）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抽样单编号：SC21140000150333435样品名称：复用餐饮具（面碗）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抽样单编号：SC21140000150333432样品名称：复用餐饮具（凉菜盘）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抽样单编号：SC21140000150333434样品名称：复用餐饮具（鱼盘）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不符合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14934-2016《食品安全国家标准消毒餐（饮）具》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，检验结论为不合格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忻州市忻府区乡茂源餐饮店二部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复用餐饮具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不符合GB 14934-2016《食品安全国家标准消毒餐（饮）具》标准，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忻州市市场监管综合行政执法队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依据《中华人民共和国食品安全法》第一百二十六条第一款第五项的规定，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对该企业下达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给予警告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二、忻州市忻府区亨伟综合经销部冒用某公司生产销售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不符合食品安全国家标准的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桶装水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样检验，忻州市忻府区亨伟综合经销部冒用某公司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产日期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为2021年10月27日的桶装水中铜绿假单胞菌项目不符合GB 19298-2014《食品安全国家标准包装饮用水》要求，检验结论为不合格。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经查，不合格批次桶装水为忻州市忻府区亨伟综合经销部冒用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司的厂名厂址做标签生产，且生产抽检批次的桶装水期间，无法提供《食品生产许可证》，该行为违反了《中华人民共和国食品安全法》第三十四条第二项，第三十五条；《产品质量法》第三十七条规定，依据《中华人民共和国食品安全法》第一百二十二条、第一百二十四条第一项规定、《产品质量法》第五十三条规定。根据《山西省市场监督管理局行政处罚裁量权适用规则》第九条、第十条（一）、（二）项有关规定，综合考虑当事人违法事实、情节，做出如下处罚决定：1、立即改正上述违法行为；2、没收违法所得350元；3、冒用他人厂名、厂址处300元罚款；4、当事人生产不合格桶装水，处50000元罚款；5、当事人在生产抽检不合格桶装水期间，未办理《食品生产许可证》处以50000元罚款；罚没款合计100650元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广西扶绥县中东镇宏发果蔬种植专业合作社销往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原平市青年街靖丰综合农贸市场不符合食品安全国家标准的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抽检基本情况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经抽样检验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，原平市青年街靖丰综合农贸市场销售的购进日期为2021年10月19日的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香蕉中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吡虫啉项目不符合GB2763-2021《食品安全国家标准食品中农药最大残留限量》要求，检验结论为不合格。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原平市青年街靖丰综合农贸市场销售不合格香蕉，违反了《中华人民共和国食品安全法》第三十四条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第二项的规定。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查，该批次不合格香蕉是从原平市德金城晋川果业经销部购进,当事人现场提供了进货票据、供货商的资质，依据《中华人民共和国食品安全法》第一百三十六条:食品经营者履行了本法规定的进货查验等义务，有充分证据证明其不知道所采购的食品不符合食品安全标准，并能如实说明其进货来源的，可以免予处罚。</w:t>
      </w:r>
    </w:p>
    <w:p>
      <w:pPr>
        <w:pStyle w:val="2"/>
        <w:tabs>
          <w:tab w:val="left" w:pos="3320"/>
        </w:tabs>
        <w:spacing w:line="360" w:lineRule="auto"/>
        <w:ind w:left="0" w:firstLine="640" w:firstLineChars="200"/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原平市德金城晋川果业经销部</w:t>
      </w:r>
      <w:r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销售不合格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香蕉的行为</w:t>
      </w:r>
      <w:r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，违反了《中华人民共和国食品安全法》第三十四条</w:t>
      </w:r>
      <w:r>
        <w:rPr>
          <w:rFonts w:hint="eastAsia" w:ascii="仿宋" w:hAnsi="仿宋" w:eastAsia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第二项的规定，经查，该批次不合格香蕉是从</w:t>
      </w:r>
      <w:r>
        <w:rPr>
          <w:rFonts w:hint="eastAsia" w:ascii="仿宋" w:hAnsi="仿宋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广西扶绥县中东镇宏发果蔬种植专业合作社购进，并能提供进货票据、供应商资质，依据《中华人民共和国食品安全法》第一百三十六条，对该经销部免予处罚。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3、经查此批不合格香蕉的供货商为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广西扶绥县中东镇宏发果蔬种植专业合作社，不属于我辖区，依据《市场监督管理行政处罚程序规定》第十四条，将上述违法线索移送到广西扶绥县市场监督管理局。</w:t>
      </w: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忻州市市场监督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管理局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2022年10月12日</w:t>
      </w: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jc2ODRjOTc1ODkyYTUzZWJjMzU4NzAxMDVkODkifQ=="/>
  </w:docVars>
  <w:rsids>
    <w:rsidRoot w:val="6A184930"/>
    <w:rsid w:val="06590829"/>
    <w:rsid w:val="0A7F6BCD"/>
    <w:rsid w:val="183F4F57"/>
    <w:rsid w:val="19FA6697"/>
    <w:rsid w:val="1D9378AA"/>
    <w:rsid w:val="2C072C7B"/>
    <w:rsid w:val="3F8E7D59"/>
    <w:rsid w:val="46057848"/>
    <w:rsid w:val="53BC352A"/>
    <w:rsid w:val="637B092F"/>
    <w:rsid w:val="6A184930"/>
    <w:rsid w:val="704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1504</Words>
  <Characters>1687</Characters>
  <Lines>0</Lines>
  <Paragraphs>0</Paragraphs>
  <TotalTime>265</TotalTime>
  <ScaleCrop>false</ScaleCrop>
  <LinksUpToDate>false</LinksUpToDate>
  <CharactersWithSpaces>1723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2022-10-09T00:43:00Z</dcterms:created>
  <dc:creator>天真遇到现实 </dc:creator>
  <cp:lastModifiedBy>越悦越</cp:lastModifiedBy>
  <cp:lastPrinted>2022-10-12T02:44:00Z</cp:lastPrinted>
  <dcterms:modified xsi:type="dcterms:W3CDTF">2022-10-12T07:46:13Z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F0669D5FB4774C0D8E7B76AAD0F080DE</vt:lpwstr>
  </property>
</Properties>
</file>