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794" w:tblpY="1398"/>
        <w:tblOverlap w:val="never"/>
        <w:tblW w:w="1002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1049"/>
        <w:gridCol w:w="2065"/>
        <w:gridCol w:w="2742"/>
        <w:gridCol w:w="2065"/>
        <w:gridCol w:w="13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</w:trPr>
        <w:tc>
          <w:tcPr>
            <w:tcW w:w="10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忻州市工信局行政执法人员资格信息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行政执法证号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执法类型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编制类别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段连贵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04090006001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运行监测服务科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行政监督检查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高文伟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04090006002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运行监测服务科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行政监督检查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李志发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04090006003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投资规划科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夏继伟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04090006004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材料工业科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行政监督检查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辛敏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04090006005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投资规划科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郑喆儒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04090006006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信访和应急管理科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行政监督检查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公务员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86425F"/>
    <w:rsid w:val="118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2020-10-14T09:48:00Z</dcterms:created>
  <dc:creator>雨歌月</dc:creator>
  <cp:lastModifiedBy>雨歌月</cp:lastModifiedBy>
  <dcterms:modified xsi:type="dcterms:W3CDTF">2020-10-14T09:48:41Z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