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outlineLvl w:val="2"/>
        <w:rPr>
          <w:rFonts w:ascii="Times New Roman" w:hAnsi="Times New Roman" w:eastAsia="仿宋_GB2312"/>
          <w:kern w:val="0"/>
          <w:sz w:val="32"/>
          <w:szCs w:val="32"/>
        </w:rPr>
      </w:pPr>
    </w:p>
    <w:p>
      <w:pPr>
        <w:widowControl/>
        <w:shd w:val="clear" w:color="auto" w:fill="FFFFFF"/>
        <w:spacing w:line="600" w:lineRule="exact"/>
        <w:jc w:val="center"/>
        <w:outlineLvl w:val="2"/>
        <w:rPr>
          <w:rFonts w:ascii="方正小标宋_GBK" w:eastAsia="方正小标宋_GBK"/>
          <w:kern w:val="0"/>
          <w:sz w:val="44"/>
          <w:szCs w:val="44"/>
        </w:rPr>
      </w:pPr>
      <w:r>
        <w:rPr>
          <w:rFonts w:hint="eastAsia" w:ascii="方正小标宋_GBK" w:eastAsia="方正小标宋_GBK"/>
          <w:kern w:val="0"/>
          <w:sz w:val="44"/>
          <w:szCs w:val="44"/>
        </w:rPr>
        <w:t>忻州市发展和改革委员会</w:t>
      </w:r>
    </w:p>
    <w:p>
      <w:pPr>
        <w:widowControl/>
        <w:shd w:val="clear" w:color="auto" w:fill="FFFFFF"/>
        <w:spacing w:line="600" w:lineRule="exact"/>
        <w:jc w:val="center"/>
        <w:outlineLvl w:val="2"/>
        <w:rPr>
          <w:rFonts w:ascii="方正小标宋_GBK" w:eastAsia="方正小标宋_GBK"/>
          <w:kern w:val="0"/>
          <w:sz w:val="44"/>
          <w:szCs w:val="44"/>
        </w:rPr>
      </w:pPr>
      <w:r>
        <w:rPr>
          <w:rFonts w:ascii="方正小标宋_GBK" w:eastAsia="方正小标宋_GBK"/>
          <w:kern w:val="0"/>
          <w:sz w:val="44"/>
          <w:szCs w:val="44"/>
        </w:rPr>
        <w:t>2022</w:t>
      </w:r>
      <w:r>
        <w:rPr>
          <w:rFonts w:hint="eastAsia" w:ascii="方正小标宋_GBK" w:eastAsia="方正小标宋_GBK"/>
          <w:kern w:val="0"/>
          <w:sz w:val="44"/>
          <w:szCs w:val="44"/>
        </w:rPr>
        <w:t>年政府信息公开工作年度报告</w:t>
      </w:r>
    </w:p>
    <w:p>
      <w:pPr>
        <w:widowControl/>
        <w:shd w:val="clear" w:color="auto" w:fill="FFFFFF"/>
        <w:spacing w:line="600" w:lineRule="exact"/>
        <w:ind w:firstLine="640" w:firstLineChars="200"/>
        <w:jc w:val="left"/>
        <w:rPr>
          <w:rFonts w:ascii="Times New Roman" w:hAnsi="Times New Roman" w:eastAsia="仿宋_GB2312"/>
          <w:sz w:val="32"/>
          <w:szCs w:val="32"/>
          <w:shd w:val="clear" w:color="auto" w:fill="FFFFFF"/>
        </w:rPr>
      </w:pPr>
    </w:p>
    <w:p>
      <w:pPr>
        <w:widowControl/>
        <w:shd w:val="clear" w:color="auto" w:fill="FFFFFF"/>
        <w:spacing w:line="600" w:lineRule="exact"/>
        <w:ind w:firstLine="640" w:firstLineChars="200"/>
        <w:jc w:val="left"/>
        <w:rPr>
          <w:rFonts w:ascii="Times New Roman" w:hAnsi="Times New Roman" w:eastAsia="仿宋_GB2312"/>
          <w:sz w:val="32"/>
          <w:szCs w:val="32"/>
          <w:shd w:val="clear" w:color="auto" w:fill="FFFFFF"/>
        </w:rPr>
      </w:pPr>
      <w:r>
        <w:rPr>
          <w:rFonts w:ascii="Times New Roman" w:hAnsi="Times New Roman" w:eastAsia="仿宋_GB2312"/>
          <w:color w:val="000000"/>
          <w:kern w:val="0"/>
          <w:sz w:val="32"/>
          <w:szCs w:val="32"/>
        </w:rPr>
        <w:t>2022</w:t>
      </w:r>
      <w:r>
        <w:rPr>
          <w:rFonts w:hint="eastAsia" w:ascii="Times New Roman" w:hAnsi="Times New Roman" w:eastAsia="仿宋_GB2312"/>
          <w:color w:val="000000"/>
          <w:kern w:val="0"/>
          <w:sz w:val="32"/>
          <w:szCs w:val="32"/>
        </w:rPr>
        <w:t>年，我委在市委、市政府的坚强领导下，</w:t>
      </w:r>
      <w:r>
        <w:rPr>
          <w:rFonts w:hint="eastAsia" w:ascii="Times New Roman" w:hAnsi="Times New Roman" w:eastAsia="仿宋_GB2312"/>
          <w:sz w:val="32"/>
          <w:szCs w:val="32"/>
          <w:shd w:val="clear" w:color="auto" w:fill="FFFFFF"/>
        </w:rPr>
        <w:t>发挥政务公开围绕中心、服务大局的作用，全面推进机构职能及重点工作信息公开，满足社会公众获取、使用政务公开信息的需求。</w:t>
      </w:r>
      <w:r>
        <w:rPr>
          <w:rFonts w:hint="eastAsia" w:ascii="Times New Roman" w:hAnsi="Times New Roman" w:eastAsia="仿宋_GB2312"/>
          <w:sz w:val="32"/>
          <w:szCs w:val="32"/>
        </w:rPr>
        <w:t>按照市政府《关于认真做好政府信息公开工作年报的督办通知》要求，</w:t>
      </w:r>
      <w:r>
        <w:rPr>
          <w:rFonts w:hint="eastAsia" w:ascii="Times New Roman" w:hAnsi="Times New Roman" w:eastAsia="仿宋_GB2312"/>
          <w:kern w:val="0"/>
          <w:sz w:val="32"/>
          <w:szCs w:val="32"/>
        </w:rPr>
        <w:t>现将</w:t>
      </w:r>
      <w:r>
        <w:rPr>
          <w:rFonts w:ascii="Times New Roman" w:hAnsi="Times New Roman" w:eastAsia="仿宋_GB2312"/>
          <w:kern w:val="0"/>
          <w:sz w:val="32"/>
          <w:szCs w:val="32"/>
        </w:rPr>
        <w:t>2022</w:t>
      </w:r>
      <w:r>
        <w:rPr>
          <w:rFonts w:hint="eastAsia" w:ascii="Times New Roman" w:hAnsi="Times New Roman" w:eastAsia="仿宋_GB2312"/>
          <w:kern w:val="0"/>
          <w:sz w:val="32"/>
          <w:szCs w:val="32"/>
        </w:rPr>
        <w:t>年度政府信息公开工作情况报告如下：</w:t>
      </w:r>
    </w:p>
    <w:p>
      <w:pPr>
        <w:widowControl/>
        <w:shd w:val="clear" w:color="auto" w:fill="FFFFFF"/>
        <w:spacing w:line="600" w:lineRule="exact"/>
        <w:ind w:firstLine="640" w:firstLineChars="200"/>
        <w:jc w:val="left"/>
        <w:rPr>
          <w:rFonts w:ascii="黑体" w:eastAsia="黑体"/>
          <w:kern w:val="0"/>
          <w:sz w:val="32"/>
          <w:szCs w:val="32"/>
        </w:rPr>
      </w:pPr>
      <w:r>
        <w:rPr>
          <w:rFonts w:hint="eastAsia" w:ascii="黑体" w:eastAsia="黑体"/>
          <w:kern w:val="0"/>
          <w:sz w:val="32"/>
          <w:szCs w:val="32"/>
        </w:rPr>
        <w:t>一、总体情况</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为了使政务公开有序开展，市发展改革委根据《中华人民共和国政府信息公开条例》（国令</w:t>
      </w:r>
      <w:r>
        <w:rPr>
          <w:rFonts w:ascii="Times New Roman" w:hAnsi="Times New Roman" w:eastAsia="仿宋_GB2312"/>
          <w:kern w:val="0"/>
          <w:sz w:val="32"/>
          <w:szCs w:val="32"/>
        </w:rPr>
        <w:t>711</w:t>
      </w:r>
      <w:r>
        <w:rPr>
          <w:rFonts w:hint="eastAsia" w:ascii="Times New Roman" w:hAnsi="Times New Roman" w:eastAsia="仿宋_GB2312"/>
          <w:kern w:val="0"/>
          <w:sz w:val="32"/>
          <w:szCs w:val="32"/>
        </w:rPr>
        <w:t>号）和《中华人民共和国政府信息公开工作年度报告格式》（国办公开办函</w:t>
      </w:r>
      <w:r>
        <w:rPr>
          <w:rFonts w:ascii="Times New Roman" w:hAnsi="Times New Roman" w:eastAsia="仿宋_GB2312"/>
          <w:kern w:val="0"/>
          <w:sz w:val="32"/>
          <w:szCs w:val="32"/>
        </w:rPr>
        <w:t>[2021]30</w:t>
      </w:r>
      <w:r>
        <w:rPr>
          <w:rFonts w:hint="eastAsia" w:ascii="Times New Roman" w:hAnsi="Times New Roman" w:eastAsia="仿宋_GB2312"/>
          <w:kern w:val="0"/>
          <w:sz w:val="32"/>
          <w:szCs w:val="32"/>
        </w:rPr>
        <w:t>号）文件要求，扎实推进政府信息公开工作，确立了政务公开工作的目标，明确了</w:t>
      </w:r>
      <w:r>
        <w:rPr>
          <w:rFonts w:hint="eastAsia" w:ascii="Times New Roman" w:hAnsi="Times New Roman" w:eastAsia="仿宋_GB2312"/>
          <w:sz w:val="32"/>
          <w:szCs w:val="32"/>
        </w:rPr>
        <w:t>忻州市发展和改革委员会</w:t>
      </w:r>
      <w:r>
        <w:rPr>
          <w:rFonts w:ascii="Times New Roman" w:hAnsi="Times New Roman" w:eastAsia="仿宋_GB2312"/>
          <w:sz w:val="32"/>
          <w:szCs w:val="32"/>
        </w:rPr>
        <w:t>2022</w:t>
      </w:r>
      <w:r>
        <w:rPr>
          <w:rFonts w:hint="eastAsia" w:ascii="Times New Roman" w:hAnsi="Times New Roman" w:eastAsia="仿宋_GB2312"/>
          <w:sz w:val="32"/>
          <w:szCs w:val="32"/>
        </w:rPr>
        <w:t>年政务公开工作要点</w:t>
      </w:r>
      <w:r>
        <w:rPr>
          <w:rFonts w:hint="eastAsia" w:ascii="Times New Roman" w:hAnsi="Times New Roman" w:eastAsia="仿宋_GB2312"/>
          <w:kern w:val="0"/>
          <w:sz w:val="32"/>
          <w:szCs w:val="32"/>
        </w:rPr>
        <w:t>和信息公开原则，在保证信息安全的前提下，做到</w:t>
      </w:r>
      <w:r>
        <w:rPr>
          <w:rFonts w:ascii="Times New Roman" w:hAnsi="Times New Roman" w:eastAsia="仿宋_GB2312"/>
          <w:kern w:val="0"/>
          <w:sz w:val="32"/>
          <w:szCs w:val="32"/>
        </w:rPr>
        <w:t>“</w:t>
      </w:r>
      <w:r>
        <w:rPr>
          <w:rFonts w:hint="eastAsia" w:ascii="Times New Roman" w:hAnsi="Times New Roman" w:eastAsia="仿宋_GB2312"/>
          <w:kern w:val="0"/>
          <w:sz w:val="32"/>
          <w:szCs w:val="32"/>
        </w:rPr>
        <w:t>应公开尽公开</w:t>
      </w:r>
      <w:r>
        <w:rPr>
          <w:rFonts w:ascii="Times New Roman" w:hAnsi="Times New Roman" w:eastAsia="仿宋_GB2312"/>
          <w:kern w:val="0"/>
          <w:sz w:val="32"/>
          <w:szCs w:val="32"/>
        </w:rPr>
        <w:t>”</w:t>
      </w:r>
      <w:r>
        <w:rPr>
          <w:rFonts w:hint="eastAsia" w:ascii="Times New Roman" w:hAnsi="Times New Roman" w:eastAsia="仿宋_GB2312"/>
          <w:kern w:val="0"/>
          <w:sz w:val="32"/>
          <w:szCs w:val="32"/>
        </w:rPr>
        <w:t>。</w:t>
      </w:r>
    </w:p>
    <w:p>
      <w:pPr>
        <w:widowControl/>
        <w:shd w:val="clear" w:color="auto" w:fill="FFFFFF"/>
        <w:spacing w:line="600" w:lineRule="exact"/>
        <w:ind w:firstLine="643" w:firstLineChars="200"/>
        <w:jc w:val="left"/>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（一）强化组织领导。</w:t>
      </w:r>
      <w:r>
        <w:rPr>
          <w:rFonts w:hint="eastAsia" w:ascii="Times New Roman" w:hAnsi="Times New Roman" w:eastAsia="仿宋_GB2312"/>
          <w:kern w:val="0"/>
          <w:sz w:val="32"/>
          <w:szCs w:val="32"/>
        </w:rPr>
        <w:t>我委高度重视政府信息公开工作，把政府信息公开纳入重要议事日程，纳入工作全局统筹谋划。一是调整了网站安全领导小组的通知，由委党组书记、主任李德刚任组长，副主任李志刚、四级调研员闫建炜任副组长，相关科室主要负责人为成员。同时，因岗位调整我委第一时间在国办系统更新了新媒体负责人的信息备案。二是建立健全工作机制，完善了《忻州市发展改革委政府信息公开工作制度》，对各科室信息公开的内容、方式、程序作了进一步优化。按照</w:t>
      </w:r>
      <w:r>
        <w:rPr>
          <w:rFonts w:ascii="Times New Roman" w:hAnsi="Times New Roman" w:eastAsia="仿宋_GB2312"/>
          <w:kern w:val="0"/>
          <w:sz w:val="32"/>
          <w:szCs w:val="32"/>
        </w:rPr>
        <w:t>“</w:t>
      </w:r>
      <w:r>
        <w:rPr>
          <w:rFonts w:hint="eastAsia" w:ascii="Times New Roman" w:hAnsi="Times New Roman" w:eastAsia="仿宋_GB2312"/>
          <w:kern w:val="0"/>
          <w:sz w:val="32"/>
          <w:szCs w:val="32"/>
        </w:rPr>
        <w:t>谁主管、谁负责，谁公开、谁审查</w:t>
      </w:r>
      <w:r>
        <w:rPr>
          <w:rFonts w:ascii="Times New Roman" w:hAnsi="Times New Roman" w:eastAsia="仿宋_GB2312"/>
          <w:kern w:val="0"/>
          <w:sz w:val="32"/>
          <w:szCs w:val="32"/>
        </w:rPr>
        <w:t>”</w:t>
      </w:r>
      <w:r>
        <w:rPr>
          <w:rFonts w:hint="eastAsia" w:ascii="Times New Roman" w:hAnsi="Times New Roman" w:eastAsia="仿宋_GB2312"/>
          <w:kern w:val="0"/>
          <w:sz w:val="32"/>
          <w:szCs w:val="32"/>
        </w:rPr>
        <w:t>的原则，对拟公开的信息</w:t>
      </w:r>
      <w:r>
        <w:rPr>
          <w:rFonts w:hint="eastAsia" w:ascii="仿宋_GB2312" w:eastAsia="仿宋_GB2312"/>
          <w:sz w:val="32"/>
          <w:szCs w:val="32"/>
        </w:rPr>
        <w:t>坚持“三审三校”信息发布审核制度，</w:t>
      </w:r>
      <w:r>
        <w:rPr>
          <w:rFonts w:hint="eastAsia" w:ascii="仿宋_GB2312" w:eastAsia="仿宋_GB2312"/>
          <w:color w:val="auto"/>
          <w:sz w:val="32"/>
          <w:szCs w:val="32"/>
        </w:rPr>
        <w:t>同时，坚决杜绝表述错误、泄露个人信息、空白栏目、栏目信息更新不及时等问题。</w:t>
      </w:r>
      <w:r>
        <w:rPr>
          <w:rFonts w:hint="eastAsia" w:ascii="Times New Roman" w:hAnsi="Times New Roman" w:eastAsia="仿宋_GB2312"/>
          <w:kern w:val="0"/>
          <w:sz w:val="32"/>
          <w:szCs w:val="32"/>
        </w:rPr>
        <w:t>三是做好保密审查工作。公文起草人员拟制公文或信息时，按照《保密法》《市发展改革委保密工作制度》对其是否涉密进行初审，科室负责人对拟制的公文或信息提出审批意见，由分管主任审批，办公室审核确定</w:t>
      </w:r>
      <w:r>
        <w:rPr>
          <w:rFonts w:hint="eastAsia" w:ascii="Times New Roman" w:hAnsi="Times New Roman" w:eastAsia="仿宋_GB2312"/>
          <w:kern w:val="0"/>
          <w:sz w:val="32"/>
          <w:szCs w:val="32"/>
          <w:lang w:eastAsia="zh-CN"/>
        </w:rPr>
        <w:t>后上网</w:t>
      </w:r>
      <w:r>
        <w:rPr>
          <w:rFonts w:hint="eastAsia" w:ascii="Times New Roman" w:hAnsi="Times New Roman" w:eastAsia="仿宋_GB2312"/>
          <w:kern w:val="0"/>
          <w:sz w:val="32"/>
          <w:szCs w:val="32"/>
        </w:rPr>
        <w:t>。</w:t>
      </w:r>
    </w:p>
    <w:p>
      <w:pPr>
        <w:widowControl/>
        <w:shd w:val="clear" w:color="auto" w:fill="FFFFFF"/>
        <w:spacing w:line="600" w:lineRule="exact"/>
        <w:ind w:firstLine="643" w:firstLineChars="200"/>
        <w:jc w:val="left"/>
        <w:rPr>
          <w:rFonts w:ascii="Times New Roman" w:hAnsi="Times New Roman" w:eastAsia="仿宋_GB2312"/>
          <w:kern w:val="0"/>
          <w:sz w:val="32"/>
          <w:szCs w:val="32"/>
        </w:rPr>
      </w:pPr>
      <w:r>
        <w:rPr>
          <w:rFonts w:hint="eastAsia" w:ascii="Times New Roman" w:hAnsi="Times New Roman" w:eastAsia="仿宋_GB2312"/>
          <w:b/>
          <w:bCs/>
          <w:kern w:val="0"/>
          <w:sz w:val="32"/>
          <w:szCs w:val="32"/>
        </w:rPr>
        <w:t>（二）开展学习宣传。</w:t>
      </w:r>
      <w:r>
        <w:rPr>
          <w:rFonts w:hint="eastAsia" w:ascii="仿宋_GB2312" w:eastAsia="仿宋_GB2312"/>
          <w:sz w:val="32"/>
          <w:szCs w:val="32"/>
        </w:rPr>
        <w:t>积极参加全省</w:t>
      </w:r>
      <w:r>
        <w:rPr>
          <w:rFonts w:ascii="仿宋_GB2312" w:eastAsia="仿宋_GB2312"/>
          <w:sz w:val="32"/>
          <w:szCs w:val="32"/>
        </w:rPr>
        <w:t>2022</w:t>
      </w:r>
      <w:r>
        <w:rPr>
          <w:rFonts w:hint="eastAsia" w:ascii="仿宋_GB2312" w:eastAsia="仿宋_GB2312"/>
          <w:sz w:val="32"/>
          <w:szCs w:val="32"/>
        </w:rPr>
        <w:t>年政务公开大讲堂线上培训，并认真完成了课后的线上考试，同时，</w:t>
      </w:r>
      <w:r>
        <w:rPr>
          <w:rFonts w:hint="eastAsia" w:ascii="Times New Roman" w:hAnsi="Times New Roman" w:eastAsia="仿宋_GB2312"/>
          <w:kern w:val="0"/>
          <w:sz w:val="32"/>
          <w:szCs w:val="32"/>
        </w:rPr>
        <w:t>组织全委干部职工认真学习《中华人民共和国政府信息公开条例》，对政府信息公开的主体和原则、范围和内容、方式和程序，监督和保障等有了明确的了解，对贯彻落实《条例》的重要性有了清晰的认识，提高了工作的主动性和自觉性，真正达到统一思想，提高认识，为建立健全长效工作机制奠定了基础。</w:t>
      </w:r>
    </w:p>
    <w:p>
      <w:pPr>
        <w:widowControl/>
        <w:shd w:val="clear" w:color="auto" w:fill="FFFFFF"/>
        <w:spacing w:line="600" w:lineRule="exact"/>
        <w:ind w:firstLine="643" w:firstLineChars="200"/>
        <w:jc w:val="left"/>
        <w:rPr>
          <w:rFonts w:ascii="Times New Roman" w:hAnsi="Times New Roman" w:eastAsia="仿宋_GB2312"/>
          <w:sz w:val="32"/>
          <w:szCs w:val="32"/>
        </w:rPr>
      </w:pPr>
      <w:r>
        <w:rPr>
          <w:rFonts w:hint="eastAsia" w:ascii="Times New Roman" w:hAnsi="Times New Roman" w:eastAsia="仿宋_GB2312"/>
          <w:b/>
          <w:bCs/>
          <w:kern w:val="0"/>
          <w:sz w:val="32"/>
          <w:szCs w:val="32"/>
        </w:rPr>
        <w:t>（三）加强政务公开管理。</w:t>
      </w:r>
      <w:r>
        <w:rPr>
          <w:rFonts w:hint="eastAsia" w:ascii="仿宋_GB2312" w:hAnsi="Times New Roman" w:eastAsia="仿宋_GB2312"/>
          <w:bCs/>
          <w:kern w:val="0"/>
          <w:sz w:val="32"/>
          <w:szCs w:val="32"/>
        </w:rPr>
        <w:t>因工作需要今年新开设了扩大有效投资和重点工程项目两个栏目，现有专栏专题维护数量共</w:t>
      </w:r>
      <w:r>
        <w:rPr>
          <w:rFonts w:ascii="仿宋_GB2312" w:hAnsi="Times New Roman" w:eastAsia="仿宋_GB2312"/>
          <w:bCs/>
          <w:kern w:val="0"/>
          <w:sz w:val="32"/>
          <w:szCs w:val="32"/>
        </w:rPr>
        <w:t>27</w:t>
      </w:r>
      <w:r>
        <w:rPr>
          <w:rFonts w:hint="eastAsia" w:ascii="仿宋_GB2312" w:hAnsi="Times New Roman" w:eastAsia="仿宋_GB2312"/>
          <w:bCs/>
          <w:kern w:val="0"/>
          <w:sz w:val="32"/>
          <w:szCs w:val="32"/>
        </w:rPr>
        <w:t>个。这一年，</w:t>
      </w:r>
      <w:r>
        <w:rPr>
          <w:rFonts w:hint="eastAsia" w:ascii="仿宋_GB2312" w:hAnsi="Times New Roman" w:eastAsia="仿宋_GB2312"/>
          <w:sz w:val="32"/>
          <w:szCs w:val="32"/>
        </w:rPr>
        <w:t>在全面公开我委机构及职能设置、行政</w:t>
      </w:r>
      <w:r>
        <w:rPr>
          <w:rFonts w:hint="eastAsia" w:ascii="Times New Roman" w:hAnsi="Times New Roman" w:eastAsia="仿宋_GB2312"/>
          <w:sz w:val="32"/>
          <w:szCs w:val="32"/>
        </w:rPr>
        <w:t>决策、通知公告、工作动态的基础上，加强了对新</w:t>
      </w:r>
      <w:r>
        <w:rPr>
          <w:rFonts w:hint="eastAsia" w:ascii="仿宋_GB2312" w:hAnsi="Times New Roman" w:eastAsia="仿宋_GB2312"/>
          <w:bCs/>
          <w:kern w:val="0"/>
          <w:sz w:val="32"/>
          <w:szCs w:val="32"/>
        </w:rPr>
        <w:t>开设的扩大有效投资和重点工程项目</w:t>
      </w:r>
      <w:r>
        <w:rPr>
          <w:rFonts w:hint="eastAsia" w:ascii="Times New Roman" w:hAnsi="Times New Roman" w:eastAsia="仿宋_GB2312"/>
          <w:sz w:val="32"/>
          <w:szCs w:val="32"/>
        </w:rPr>
        <w:t>的信息公开。</w:t>
      </w:r>
      <w:r>
        <w:rPr>
          <w:rFonts w:ascii="Times New Roman" w:hAnsi="Times New Roman" w:eastAsia="仿宋_GB2312"/>
          <w:color w:val="000000"/>
          <w:sz w:val="32"/>
          <w:szCs w:val="32"/>
        </w:rPr>
        <w:t>2022</w:t>
      </w:r>
      <w:r>
        <w:rPr>
          <w:rFonts w:hint="eastAsia" w:ascii="Times New Roman" w:hAnsi="Times New Roman" w:eastAsia="仿宋_GB2312"/>
          <w:color w:val="000000"/>
          <w:sz w:val="32"/>
          <w:szCs w:val="32"/>
        </w:rPr>
        <w:t>年，我委信息公开总数为</w:t>
      </w:r>
      <w:r>
        <w:rPr>
          <w:rFonts w:ascii="Times New Roman" w:hAnsi="Times New Roman" w:eastAsia="仿宋_GB2312"/>
          <w:color w:val="000000"/>
          <w:sz w:val="32"/>
          <w:szCs w:val="32"/>
        </w:rPr>
        <w:t>1715</w:t>
      </w:r>
      <w:r>
        <w:rPr>
          <w:rFonts w:hint="eastAsia" w:ascii="Times New Roman" w:hAnsi="Times New Roman" w:eastAsia="仿宋_GB2312"/>
          <w:color w:val="000000"/>
          <w:sz w:val="32"/>
          <w:szCs w:val="32"/>
        </w:rPr>
        <w:t>条，其中：概况类信息更新量</w:t>
      </w:r>
      <w:r>
        <w:rPr>
          <w:rFonts w:ascii="Times New Roman" w:hAnsi="Times New Roman" w:eastAsia="仿宋_GB2312"/>
          <w:color w:val="000000"/>
          <w:sz w:val="32"/>
          <w:szCs w:val="32"/>
        </w:rPr>
        <w:t>121</w:t>
      </w:r>
      <w:r>
        <w:rPr>
          <w:rFonts w:hint="eastAsia" w:ascii="Times New Roman" w:hAnsi="Times New Roman" w:eastAsia="仿宋_GB2312"/>
          <w:color w:val="000000"/>
          <w:sz w:val="32"/>
          <w:szCs w:val="32"/>
        </w:rPr>
        <w:t>条，政务动态信息更新量</w:t>
      </w:r>
      <w:r>
        <w:rPr>
          <w:rFonts w:ascii="Times New Roman" w:hAnsi="Times New Roman" w:eastAsia="仿宋_GB2312"/>
          <w:color w:val="000000"/>
          <w:sz w:val="32"/>
          <w:szCs w:val="32"/>
        </w:rPr>
        <w:t>1507</w:t>
      </w:r>
      <w:r>
        <w:rPr>
          <w:rFonts w:hint="eastAsia" w:ascii="Times New Roman" w:hAnsi="Times New Roman" w:eastAsia="仿宋_GB2312"/>
          <w:color w:val="000000"/>
          <w:sz w:val="32"/>
          <w:szCs w:val="32"/>
        </w:rPr>
        <w:t>条，解读信息发布</w:t>
      </w:r>
      <w:r>
        <w:rPr>
          <w:rFonts w:ascii="Times New Roman" w:hAnsi="Times New Roman" w:eastAsia="仿宋_GB2312"/>
          <w:color w:val="000000"/>
          <w:sz w:val="32"/>
          <w:szCs w:val="32"/>
        </w:rPr>
        <w:t>32</w:t>
      </w:r>
      <w:r>
        <w:rPr>
          <w:rFonts w:hint="eastAsia" w:ascii="Times New Roman" w:hAnsi="Times New Roman" w:eastAsia="仿宋_GB2312"/>
          <w:color w:val="000000"/>
          <w:sz w:val="32"/>
          <w:szCs w:val="32"/>
        </w:rPr>
        <w:t>条，信息公开目录信息更新量</w:t>
      </w:r>
      <w:r>
        <w:rPr>
          <w:rFonts w:ascii="Times New Roman" w:hAnsi="Times New Roman" w:eastAsia="仿宋_GB2312"/>
          <w:color w:val="000000"/>
          <w:sz w:val="32"/>
          <w:szCs w:val="32"/>
        </w:rPr>
        <w:t>87</w:t>
      </w:r>
      <w:r>
        <w:rPr>
          <w:rFonts w:hint="eastAsia" w:ascii="Times New Roman" w:hAnsi="Times New Roman" w:eastAsia="仿宋_GB2312"/>
          <w:color w:val="000000"/>
          <w:sz w:val="32"/>
          <w:szCs w:val="32"/>
        </w:rPr>
        <w:t>条，互动交流共收到留言</w:t>
      </w:r>
      <w:r>
        <w:rPr>
          <w:rFonts w:ascii="Times New Roman" w:hAnsi="Times New Roman" w:eastAsia="仿宋_GB2312"/>
          <w:color w:val="000000"/>
          <w:sz w:val="32"/>
          <w:szCs w:val="32"/>
        </w:rPr>
        <w:t>29</w:t>
      </w:r>
      <w:r>
        <w:rPr>
          <w:rFonts w:hint="eastAsia" w:ascii="Times New Roman" w:hAnsi="Times New Roman" w:eastAsia="仿宋_GB2312"/>
          <w:color w:val="000000"/>
          <w:sz w:val="32"/>
          <w:szCs w:val="32"/>
        </w:rPr>
        <w:t>条，办理</w:t>
      </w:r>
      <w:r>
        <w:rPr>
          <w:rFonts w:ascii="Times New Roman" w:hAnsi="Times New Roman" w:eastAsia="仿宋_GB2312"/>
          <w:color w:val="000000"/>
          <w:sz w:val="32"/>
          <w:szCs w:val="32"/>
        </w:rPr>
        <w:t>28</w:t>
      </w:r>
      <w:r>
        <w:rPr>
          <w:rFonts w:hint="eastAsia" w:ascii="Times New Roman" w:hAnsi="Times New Roman" w:eastAsia="仿宋_GB2312"/>
          <w:color w:val="000000"/>
          <w:sz w:val="32"/>
          <w:szCs w:val="32"/>
        </w:rPr>
        <w:t>条。</w:t>
      </w:r>
    </w:p>
    <w:p>
      <w:pPr>
        <w:widowControl/>
        <w:shd w:val="clear" w:color="auto" w:fill="FFFFFF"/>
        <w:spacing w:line="600" w:lineRule="exact"/>
        <w:ind w:firstLine="640" w:firstLineChars="200"/>
        <w:jc w:val="left"/>
        <w:rPr>
          <w:rFonts w:ascii="黑体" w:eastAsia="黑体"/>
          <w:kern w:val="0"/>
          <w:sz w:val="32"/>
          <w:szCs w:val="32"/>
        </w:rPr>
      </w:pPr>
      <w:r>
        <w:rPr>
          <w:rFonts w:hint="eastAsia" w:ascii="黑体" w:eastAsia="黑体"/>
          <w:kern w:val="0"/>
          <w:sz w:val="32"/>
          <w:szCs w:val="32"/>
        </w:rPr>
        <w:t>二、主动公开政府信息情况</w:t>
      </w:r>
    </w:p>
    <w:tbl>
      <w:tblPr>
        <w:tblStyle w:val="9"/>
        <w:tblW w:w="8439" w:type="dxa"/>
        <w:jc w:val="center"/>
        <w:tblLayout w:type="fixed"/>
        <w:tblCellMar>
          <w:top w:w="15" w:type="dxa"/>
          <w:left w:w="15" w:type="dxa"/>
          <w:bottom w:w="15" w:type="dxa"/>
          <w:right w:w="15" w:type="dxa"/>
        </w:tblCellMar>
      </w:tblPr>
      <w:tblGrid>
        <w:gridCol w:w="3113"/>
        <w:gridCol w:w="1881"/>
        <w:gridCol w:w="1612"/>
        <w:gridCol w:w="1833"/>
      </w:tblGrid>
      <w:tr>
        <w:tblPrEx>
          <w:tblCellMar>
            <w:top w:w="15" w:type="dxa"/>
            <w:left w:w="15" w:type="dxa"/>
            <w:bottom w:w="15" w:type="dxa"/>
            <w:right w:w="15" w:type="dxa"/>
          </w:tblCellMar>
        </w:tblPrEx>
        <w:trPr>
          <w:trHeight w:val="385" w:hRule="atLeast"/>
          <w:jc w:val="center"/>
        </w:trPr>
        <w:tc>
          <w:tcPr>
            <w:tcW w:w="8439"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line="400" w:lineRule="exact"/>
              <w:jc w:val="center"/>
              <w:rPr>
                <w:rFonts w:ascii="仿宋_GB2312" w:eastAsia="仿宋_GB2312"/>
                <w:color w:val="000000"/>
                <w:kern w:val="0"/>
                <w:sz w:val="24"/>
                <w:szCs w:val="24"/>
              </w:rPr>
            </w:pPr>
            <w:r>
              <w:rPr>
                <w:rFonts w:hint="eastAsia" w:ascii="仿宋_GB2312" w:eastAsia="仿宋_GB2312"/>
                <w:color w:val="000000"/>
                <w:kern w:val="0"/>
                <w:sz w:val="24"/>
                <w:szCs w:val="24"/>
              </w:rPr>
              <w:t>第二十条第（一）项</w:t>
            </w:r>
          </w:p>
        </w:tc>
      </w:tr>
      <w:tr>
        <w:tblPrEx>
          <w:tblCellMar>
            <w:top w:w="15" w:type="dxa"/>
            <w:left w:w="15" w:type="dxa"/>
            <w:bottom w:w="15" w:type="dxa"/>
            <w:right w:w="15" w:type="dxa"/>
          </w:tblCellMar>
        </w:tblPrEx>
        <w:trPr>
          <w:trHeight w:val="527"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仿宋_GB2312" w:eastAsia="仿宋_GB2312"/>
                <w:color w:val="000000"/>
                <w:kern w:val="0"/>
                <w:sz w:val="24"/>
                <w:szCs w:val="24"/>
              </w:rPr>
            </w:pPr>
            <w:r>
              <w:rPr>
                <w:rFonts w:hint="eastAsia" w:ascii="仿宋_GB2312" w:eastAsia="仿宋_GB2312"/>
                <w:color w:val="000000"/>
                <w:kern w:val="0"/>
                <w:sz w:val="24"/>
                <w:szCs w:val="24"/>
              </w:rPr>
              <w:t>信息内容</w:t>
            </w:r>
          </w:p>
        </w:tc>
        <w:tc>
          <w:tcPr>
            <w:tcW w:w="1881"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仿宋_GB2312" w:eastAsia="仿宋_GB2312"/>
                <w:color w:val="000000"/>
                <w:kern w:val="0"/>
                <w:sz w:val="24"/>
                <w:szCs w:val="24"/>
              </w:rPr>
            </w:pPr>
            <w:r>
              <w:rPr>
                <w:rFonts w:hint="eastAsia" w:ascii="仿宋_GB2312" w:eastAsia="仿宋_GB2312"/>
                <w:color w:val="000000"/>
                <w:kern w:val="0"/>
                <w:sz w:val="24"/>
                <w:szCs w:val="24"/>
              </w:rPr>
              <w:t>本年制发件数</w:t>
            </w:r>
          </w:p>
        </w:tc>
        <w:tc>
          <w:tcPr>
            <w:tcW w:w="1612" w:type="dxa"/>
            <w:tcBorders>
              <w:top w:val="single" w:color="auto" w:sz="8" w:space="0"/>
              <w:left w:val="nil"/>
              <w:bottom w:val="single" w:color="auto" w:sz="8" w:space="0"/>
              <w:right w:val="single" w:color="auto" w:sz="8" w:space="0"/>
            </w:tcBorders>
            <w:shd w:val="clear" w:color="auto" w:fill="E6F4FF"/>
            <w:vAlign w:val="center"/>
          </w:tcPr>
          <w:p>
            <w:pPr>
              <w:widowControl/>
              <w:spacing w:line="400" w:lineRule="exact"/>
              <w:jc w:val="center"/>
              <w:rPr>
                <w:rFonts w:ascii="仿宋_GB2312" w:eastAsia="仿宋_GB2312"/>
                <w:color w:val="000000"/>
                <w:kern w:val="0"/>
                <w:sz w:val="24"/>
                <w:szCs w:val="24"/>
              </w:rPr>
            </w:pPr>
            <w:r>
              <w:rPr>
                <w:rFonts w:hint="eastAsia" w:ascii="仿宋_GB2312" w:eastAsia="仿宋_GB2312"/>
                <w:color w:val="000000"/>
                <w:kern w:val="0"/>
                <w:sz w:val="24"/>
                <w:szCs w:val="24"/>
              </w:rPr>
              <w:t>本年废止件数</w:t>
            </w:r>
          </w:p>
        </w:tc>
        <w:tc>
          <w:tcPr>
            <w:tcW w:w="183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仿宋_GB2312" w:eastAsia="仿宋_GB2312"/>
                <w:color w:val="000000"/>
                <w:kern w:val="0"/>
                <w:sz w:val="24"/>
                <w:szCs w:val="24"/>
              </w:rPr>
            </w:pPr>
            <w:r>
              <w:rPr>
                <w:rFonts w:hint="eastAsia" w:ascii="仿宋_GB2312" w:eastAsia="仿宋_GB2312"/>
                <w:color w:val="000000"/>
                <w:kern w:val="0"/>
                <w:sz w:val="24"/>
                <w:szCs w:val="24"/>
              </w:rPr>
              <w:t>现行有效件数</w:t>
            </w:r>
          </w:p>
        </w:tc>
      </w:tr>
      <w:tr>
        <w:tblPrEx>
          <w:tblCellMar>
            <w:top w:w="15" w:type="dxa"/>
            <w:left w:w="15" w:type="dxa"/>
            <w:bottom w:w="15" w:type="dxa"/>
            <w:right w:w="15"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left"/>
              <w:rPr>
                <w:rFonts w:ascii="仿宋_GB2312" w:eastAsia="仿宋_GB2312"/>
                <w:color w:val="000000"/>
                <w:kern w:val="0"/>
                <w:sz w:val="24"/>
                <w:szCs w:val="24"/>
              </w:rPr>
            </w:pPr>
            <w:r>
              <w:rPr>
                <w:rFonts w:hint="eastAsia" w:ascii="仿宋_GB2312" w:eastAsia="仿宋_GB2312"/>
                <w:color w:val="000000"/>
                <w:kern w:val="0"/>
                <w:sz w:val="24"/>
                <w:szCs w:val="24"/>
              </w:rPr>
              <w:t>规章</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仿宋_GB2312" w:eastAsia="仿宋_GB2312"/>
                <w:color w:val="000000"/>
                <w:kern w:val="0"/>
                <w:sz w:val="24"/>
                <w:szCs w:val="24"/>
              </w:rPr>
            </w:pPr>
            <w:r>
              <w:rPr>
                <w:rFonts w:ascii="仿宋_GB2312" w:eastAsia="仿宋_GB2312"/>
                <w:color w:val="000000"/>
                <w:kern w:val="0"/>
                <w:sz w:val="24"/>
                <w:szCs w:val="24"/>
              </w:rPr>
              <w:t>0</w:t>
            </w:r>
          </w:p>
        </w:tc>
        <w:tc>
          <w:tcPr>
            <w:tcW w:w="1612" w:type="dxa"/>
            <w:tcBorders>
              <w:top w:val="nil"/>
              <w:left w:val="nil"/>
              <w:bottom w:val="single" w:color="auto" w:sz="8" w:space="0"/>
              <w:right w:val="single" w:color="auto" w:sz="8" w:space="0"/>
            </w:tcBorders>
            <w:shd w:val="clear" w:color="auto" w:fill="E6F4FF"/>
            <w:vAlign w:val="center"/>
          </w:tcPr>
          <w:p>
            <w:pPr>
              <w:widowControl/>
              <w:spacing w:line="400" w:lineRule="exact"/>
              <w:jc w:val="center"/>
              <w:rPr>
                <w:rFonts w:ascii="仿宋_GB2312" w:eastAsia="仿宋_GB2312"/>
                <w:color w:val="000000"/>
                <w:kern w:val="0"/>
                <w:sz w:val="24"/>
                <w:szCs w:val="24"/>
              </w:rPr>
            </w:pPr>
            <w:r>
              <w:rPr>
                <w:rFonts w:ascii="Times New Roman" w:hAnsi="Times New Roman" w:eastAsia="仿宋_GB2312"/>
                <w:color w:val="000000"/>
                <w:kern w:val="0"/>
                <w:sz w:val="24"/>
                <w:szCs w:val="24"/>
              </w:rPr>
              <w:t> </w:t>
            </w:r>
            <w:r>
              <w:rPr>
                <w:rFonts w:ascii="仿宋_GB2312" w:eastAsia="仿宋_GB2312"/>
                <w:color w:val="000000"/>
                <w:kern w:val="0"/>
                <w:sz w:val="24"/>
                <w:szCs w:val="24"/>
              </w:rPr>
              <w:t>0</w:t>
            </w:r>
          </w:p>
        </w:tc>
        <w:tc>
          <w:tcPr>
            <w:tcW w:w="183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仿宋_GB2312" w:eastAsia="仿宋_GB2312"/>
                <w:color w:val="000000"/>
                <w:kern w:val="0"/>
                <w:sz w:val="24"/>
                <w:szCs w:val="24"/>
              </w:rPr>
            </w:pPr>
            <w:r>
              <w:rPr>
                <w:rFonts w:ascii="仿宋_GB2312" w:eastAsia="仿宋_GB2312"/>
                <w:color w:val="000000"/>
                <w:kern w:val="0"/>
                <w:sz w:val="24"/>
                <w:szCs w:val="24"/>
              </w:rPr>
              <w:t>0</w:t>
            </w:r>
          </w:p>
        </w:tc>
      </w:tr>
      <w:tr>
        <w:tblPrEx>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left"/>
              <w:rPr>
                <w:rFonts w:ascii="仿宋_GB2312" w:eastAsia="仿宋_GB2312"/>
                <w:color w:val="000000"/>
                <w:kern w:val="0"/>
                <w:sz w:val="24"/>
                <w:szCs w:val="24"/>
              </w:rPr>
            </w:pPr>
            <w:r>
              <w:rPr>
                <w:rFonts w:hint="eastAsia" w:ascii="仿宋_GB2312" w:eastAsia="仿宋_GB2312"/>
                <w:color w:val="000000"/>
                <w:kern w:val="0"/>
                <w:sz w:val="24"/>
                <w:szCs w:val="24"/>
              </w:rPr>
              <w:t>规范性文件</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仿宋_GB2312" w:eastAsia="仿宋_GB2312"/>
                <w:color w:val="000000"/>
                <w:kern w:val="0"/>
                <w:sz w:val="24"/>
                <w:szCs w:val="24"/>
              </w:rPr>
            </w:pPr>
            <w:r>
              <w:rPr>
                <w:rFonts w:ascii="仿宋_GB2312" w:eastAsia="仿宋_GB2312"/>
                <w:color w:val="000000"/>
                <w:kern w:val="0"/>
                <w:sz w:val="24"/>
                <w:szCs w:val="24"/>
              </w:rPr>
              <w:t>0</w:t>
            </w:r>
          </w:p>
        </w:tc>
        <w:tc>
          <w:tcPr>
            <w:tcW w:w="1612" w:type="dxa"/>
            <w:tcBorders>
              <w:top w:val="nil"/>
              <w:left w:val="nil"/>
              <w:bottom w:val="single" w:color="auto" w:sz="8" w:space="0"/>
              <w:right w:val="single" w:color="auto" w:sz="8" w:space="0"/>
            </w:tcBorders>
            <w:shd w:val="clear" w:color="auto" w:fill="E6F4FF"/>
            <w:vAlign w:val="center"/>
          </w:tcPr>
          <w:p>
            <w:pPr>
              <w:widowControl/>
              <w:spacing w:line="400" w:lineRule="exact"/>
              <w:jc w:val="center"/>
              <w:rPr>
                <w:rFonts w:ascii="仿宋_GB2312" w:eastAsia="仿宋_GB2312"/>
                <w:color w:val="000000"/>
                <w:kern w:val="0"/>
                <w:sz w:val="24"/>
                <w:szCs w:val="24"/>
              </w:rPr>
            </w:pPr>
            <w:r>
              <w:rPr>
                <w:rFonts w:ascii="Times New Roman" w:hAnsi="Times New Roman" w:eastAsia="仿宋_GB2312"/>
                <w:color w:val="000000"/>
                <w:kern w:val="0"/>
                <w:sz w:val="24"/>
                <w:szCs w:val="24"/>
              </w:rPr>
              <w:t> </w:t>
            </w:r>
            <w:r>
              <w:rPr>
                <w:rFonts w:ascii="仿宋_GB2312" w:eastAsia="仿宋_GB2312"/>
                <w:color w:val="000000"/>
                <w:kern w:val="0"/>
                <w:sz w:val="24"/>
                <w:szCs w:val="24"/>
              </w:rPr>
              <w:t>0</w:t>
            </w:r>
          </w:p>
        </w:tc>
        <w:tc>
          <w:tcPr>
            <w:tcW w:w="183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仿宋_GB2312" w:eastAsia="仿宋_GB2312"/>
                <w:color w:val="000000"/>
                <w:kern w:val="0"/>
                <w:sz w:val="24"/>
                <w:szCs w:val="24"/>
              </w:rPr>
            </w:pPr>
            <w:r>
              <w:rPr>
                <w:rFonts w:ascii="仿宋_GB2312" w:eastAsia="仿宋_GB2312"/>
                <w:color w:val="000000"/>
                <w:kern w:val="0"/>
                <w:sz w:val="24"/>
                <w:szCs w:val="24"/>
              </w:rPr>
              <w:t>0</w:t>
            </w:r>
          </w:p>
        </w:tc>
      </w:tr>
      <w:tr>
        <w:tblPrEx>
          <w:tblCellMar>
            <w:top w:w="15" w:type="dxa"/>
            <w:left w:w="15" w:type="dxa"/>
            <w:bottom w:w="15" w:type="dxa"/>
            <w:right w:w="15" w:type="dxa"/>
          </w:tblCellMar>
        </w:tblPrEx>
        <w:trPr>
          <w:trHeight w:val="480" w:hRule="atLeast"/>
          <w:jc w:val="center"/>
        </w:trPr>
        <w:tc>
          <w:tcPr>
            <w:tcW w:w="8439"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line="400" w:lineRule="exact"/>
              <w:jc w:val="center"/>
              <w:rPr>
                <w:rFonts w:ascii="仿宋_GB2312" w:eastAsia="仿宋_GB2312"/>
                <w:color w:val="000000"/>
                <w:kern w:val="0"/>
                <w:sz w:val="24"/>
                <w:szCs w:val="24"/>
              </w:rPr>
            </w:pPr>
            <w:r>
              <w:rPr>
                <w:rFonts w:hint="eastAsia" w:ascii="仿宋_GB2312" w:eastAsia="仿宋_GB2312"/>
                <w:color w:val="000000"/>
                <w:kern w:val="0"/>
                <w:sz w:val="24"/>
                <w:szCs w:val="24"/>
              </w:rPr>
              <w:t>第二十条第（五）项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仿宋_GB2312" w:eastAsia="仿宋_GB2312"/>
                <w:color w:val="000000"/>
                <w:kern w:val="0"/>
                <w:sz w:val="24"/>
                <w:szCs w:val="24"/>
              </w:rPr>
            </w:pPr>
            <w:r>
              <w:rPr>
                <w:rFonts w:hint="eastAsia" w:ascii="仿宋_GB2312" w:eastAsia="仿宋_GB2312"/>
                <w:color w:val="000000"/>
                <w:kern w:val="0"/>
                <w:sz w:val="24"/>
                <w:szCs w:val="24"/>
              </w:rPr>
              <w:t>信息内容</w:t>
            </w:r>
          </w:p>
        </w:tc>
        <w:tc>
          <w:tcPr>
            <w:tcW w:w="5326" w:type="dxa"/>
            <w:gridSpan w:val="3"/>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仿宋_GB2312" w:eastAsia="仿宋_GB2312"/>
                <w:color w:val="000000"/>
                <w:kern w:val="0"/>
                <w:sz w:val="24"/>
                <w:szCs w:val="24"/>
              </w:rPr>
            </w:pPr>
            <w:r>
              <w:rPr>
                <w:rFonts w:hint="eastAsia" w:ascii="仿宋_GB2312" w:eastAsia="仿宋_GB2312"/>
                <w:color w:val="000000"/>
                <w:kern w:val="0"/>
                <w:sz w:val="24"/>
                <w:szCs w:val="24"/>
              </w:rPr>
              <w:t>本年处理决定数量</w:t>
            </w:r>
          </w:p>
        </w:tc>
      </w:tr>
      <w:tr>
        <w:tblPrEx>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E6F4FF"/>
            <w:vAlign w:val="center"/>
          </w:tcPr>
          <w:p>
            <w:pPr>
              <w:widowControl/>
              <w:spacing w:line="400" w:lineRule="exact"/>
              <w:jc w:val="left"/>
              <w:rPr>
                <w:rFonts w:ascii="仿宋_GB2312" w:eastAsia="仿宋_GB2312"/>
                <w:color w:val="000000"/>
                <w:kern w:val="0"/>
                <w:sz w:val="24"/>
                <w:szCs w:val="24"/>
              </w:rPr>
            </w:pPr>
            <w:r>
              <w:rPr>
                <w:rFonts w:hint="eastAsia" w:ascii="仿宋_GB2312" w:eastAsia="仿宋_GB2312"/>
                <w:color w:val="000000"/>
                <w:kern w:val="0"/>
                <w:sz w:val="24"/>
                <w:szCs w:val="24"/>
              </w:rPr>
              <w:t>行政许可</w:t>
            </w:r>
          </w:p>
        </w:tc>
        <w:tc>
          <w:tcPr>
            <w:tcW w:w="5326" w:type="dxa"/>
            <w:gridSpan w:val="3"/>
            <w:tcBorders>
              <w:top w:val="nil"/>
              <w:left w:val="nil"/>
              <w:bottom w:val="single" w:color="auto" w:sz="8" w:space="0"/>
              <w:right w:val="single" w:color="auto" w:sz="8" w:space="0"/>
            </w:tcBorders>
            <w:shd w:val="clear" w:color="auto" w:fill="E6F4FF"/>
            <w:vAlign w:val="center"/>
          </w:tcPr>
          <w:p>
            <w:pPr>
              <w:widowControl/>
              <w:spacing w:line="400" w:lineRule="exact"/>
              <w:jc w:val="center"/>
              <w:rPr>
                <w:rFonts w:ascii="仿宋_GB2312" w:eastAsia="仿宋_GB2312"/>
                <w:color w:val="000000"/>
                <w:kern w:val="0"/>
                <w:sz w:val="24"/>
                <w:szCs w:val="24"/>
              </w:rPr>
            </w:pPr>
            <w:r>
              <w:rPr>
                <w:rFonts w:ascii="仿宋_GB2312" w:eastAsia="仿宋_GB2312"/>
                <w:color w:val="000000"/>
                <w:kern w:val="0"/>
                <w:sz w:val="24"/>
                <w:szCs w:val="24"/>
              </w:rPr>
              <w:t>0</w:t>
            </w:r>
          </w:p>
        </w:tc>
      </w:tr>
      <w:tr>
        <w:tblPrEx>
          <w:tblCellMar>
            <w:top w:w="15" w:type="dxa"/>
            <w:left w:w="15" w:type="dxa"/>
            <w:bottom w:w="15" w:type="dxa"/>
            <w:right w:w="15" w:type="dxa"/>
          </w:tblCellMar>
        </w:tblPrEx>
        <w:trPr>
          <w:trHeight w:val="406" w:hRule="atLeast"/>
          <w:jc w:val="center"/>
        </w:trPr>
        <w:tc>
          <w:tcPr>
            <w:tcW w:w="8439"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line="400" w:lineRule="exact"/>
              <w:jc w:val="center"/>
              <w:rPr>
                <w:rFonts w:ascii="仿宋_GB2312" w:eastAsia="仿宋_GB2312"/>
                <w:color w:val="000000"/>
                <w:kern w:val="0"/>
                <w:sz w:val="24"/>
                <w:szCs w:val="24"/>
              </w:rPr>
            </w:pPr>
            <w:r>
              <w:rPr>
                <w:rFonts w:hint="eastAsia" w:ascii="仿宋_GB2312" w:eastAsia="仿宋_GB2312"/>
                <w:color w:val="000000"/>
                <w:kern w:val="0"/>
                <w:sz w:val="24"/>
                <w:szCs w:val="24"/>
              </w:rPr>
              <w:t>第二十条第（六）项</w:t>
            </w:r>
          </w:p>
        </w:tc>
      </w:tr>
      <w:tr>
        <w:tblPrEx>
          <w:tblCellMar>
            <w:top w:w="15" w:type="dxa"/>
            <w:left w:w="15" w:type="dxa"/>
            <w:bottom w:w="15" w:type="dxa"/>
            <w:right w:w="15" w:type="dxa"/>
          </w:tblCellMar>
        </w:tblPrEx>
        <w:trPr>
          <w:trHeight w:val="399"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仿宋_GB2312" w:eastAsia="仿宋_GB2312"/>
                <w:color w:val="000000"/>
                <w:kern w:val="0"/>
                <w:sz w:val="24"/>
                <w:szCs w:val="24"/>
              </w:rPr>
            </w:pPr>
            <w:r>
              <w:rPr>
                <w:rFonts w:hint="eastAsia" w:ascii="仿宋_GB2312" w:eastAsia="仿宋_GB2312"/>
                <w:color w:val="000000"/>
                <w:kern w:val="0"/>
                <w:sz w:val="24"/>
                <w:szCs w:val="24"/>
              </w:rPr>
              <w:t>信息内容</w:t>
            </w:r>
          </w:p>
        </w:tc>
        <w:tc>
          <w:tcPr>
            <w:tcW w:w="5326" w:type="dxa"/>
            <w:gridSpan w:val="3"/>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仿宋_GB2312" w:eastAsia="仿宋_GB2312"/>
                <w:color w:val="000000"/>
                <w:kern w:val="0"/>
                <w:sz w:val="24"/>
                <w:szCs w:val="24"/>
              </w:rPr>
            </w:pPr>
            <w:r>
              <w:rPr>
                <w:rFonts w:hint="eastAsia" w:ascii="仿宋_GB2312" w:eastAsia="仿宋_GB2312"/>
                <w:color w:val="000000"/>
                <w:kern w:val="0"/>
                <w:sz w:val="24"/>
                <w:szCs w:val="24"/>
              </w:rPr>
              <w:t>本年处理决定数量</w:t>
            </w:r>
          </w:p>
        </w:tc>
      </w:tr>
      <w:tr>
        <w:tblPrEx>
          <w:tblCellMar>
            <w:top w:w="15" w:type="dxa"/>
            <w:left w:w="15" w:type="dxa"/>
            <w:bottom w:w="15" w:type="dxa"/>
            <w:right w:w="15"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E6F4FF"/>
            <w:vAlign w:val="center"/>
          </w:tcPr>
          <w:p>
            <w:pPr>
              <w:widowControl/>
              <w:spacing w:line="400" w:lineRule="exact"/>
              <w:jc w:val="left"/>
              <w:rPr>
                <w:rFonts w:ascii="仿宋_GB2312" w:eastAsia="仿宋_GB2312"/>
                <w:color w:val="000000"/>
                <w:kern w:val="0"/>
                <w:sz w:val="24"/>
                <w:szCs w:val="24"/>
              </w:rPr>
            </w:pPr>
            <w:r>
              <w:rPr>
                <w:rFonts w:hint="eastAsia" w:ascii="仿宋_GB2312" w:eastAsia="仿宋_GB2312"/>
                <w:color w:val="000000"/>
                <w:kern w:val="0"/>
                <w:sz w:val="24"/>
                <w:szCs w:val="24"/>
              </w:rPr>
              <w:t>行政处罚</w:t>
            </w:r>
          </w:p>
        </w:tc>
        <w:tc>
          <w:tcPr>
            <w:tcW w:w="5326" w:type="dxa"/>
            <w:gridSpan w:val="3"/>
            <w:tcBorders>
              <w:top w:val="nil"/>
              <w:left w:val="nil"/>
              <w:bottom w:val="single" w:color="auto" w:sz="8" w:space="0"/>
              <w:right w:val="single" w:color="auto" w:sz="8" w:space="0"/>
            </w:tcBorders>
            <w:shd w:val="clear" w:color="auto" w:fill="E6F4FF"/>
            <w:vAlign w:val="center"/>
          </w:tcPr>
          <w:p>
            <w:pPr>
              <w:widowControl/>
              <w:spacing w:line="400" w:lineRule="exact"/>
              <w:jc w:val="center"/>
              <w:rPr>
                <w:rFonts w:hint="eastAsia" w:ascii="仿宋_GB2312" w:eastAsia="仿宋_GB2312"/>
                <w:color w:val="000000"/>
                <w:kern w:val="0"/>
                <w:sz w:val="24"/>
                <w:szCs w:val="24"/>
                <w:lang w:val="en-US" w:eastAsia="zh-CN"/>
              </w:rPr>
            </w:pPr>
            <w:r>
              <w:rPr>
                <w:rFonts w:hint="eastAsia" w:ascii="仿宋_GB2312" w:eastAsia="仿宋_GB2312"/>
                <w:color w:val="000000"/>
                <w:kern w:val="0"/>
                <w:sz w:val="24"/>
                <w:szCs w:val="24"/>
                <w:lang w:val="en-US" w:eastAsia="zh-CN"/>
              </w:rPr>
              <w:t>0</w:t>
            </w:r>
          </w:p>
        </w:tc>
      </w:tr>
      <w:tr>
        <w:tblPrEx>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E6F4FF"/>
            <w:vAlign w:val="center"/>
          </w:tcPr>
          <w:p>
            <w:pPr>
              <w:widowControl/>
              <w:spacing w:line="400" w:lineRule="exact"/>
              <w:jc w:val="left"/>
              <w:rPr>
                <w:rFonts w:ascii="仿宋_GB2312" w:eastAsia="仿宋_GB2312"/>
                <w:color w:val="000000"/>
                <w:kern w:val="0"/>
                <w:sz w:val="24"/>
                <w:szCs w:val="24"/>
              </w:rPr>
            </w:pPr>
            <w:r>
              <w:rPr>
                <w:rFonts w:hint="eastAsia" w:ascii="仿宋_GB2312" w:eastAsia="仿宋_GB2312"/>
                <w:color w:val="000000"/>
                <w:kern w:val="0"/>
                <w:sz w:val="24"/>
                <w:szCs w:val="24"/>
              </w:rPr>
              <w:t>行政强制</w:t>
            </w:r>
          </w:p>
        </w:tc>
        <w:tc>
          <w:tcPr>
            <w:tcW w:w="5326" w:type="dxa"/>
            <w:gridSpan w:val="3"/>
            <w:tcBorders>
              <w:top w:val="nil"/>
              <w:left w:val="nil"/>
              <w:bottom w:val="single" w:color="auto" w:sz="8" w:space="0"/>
              <w:right w:val="single" w:color="auto" w:sz="8" w:space="0"/>
            </w:tcBorders>
            <w:shd w:val="clear" w:color="auto" w:fill="E6F4FF"/>
            <w:vAlign w:val="center"/>
          </w:tcPr>
          <w:p>
            <w:pPr>
              <w:widowControl/>
              <w:spacing w:line="400" w:lineRule="exact"/>
              <w:jc w:val="center"/>
              <w:rPr>
                <w:rFonts w:hint="eastAsia" w:ascii="仿宋_GB2312" w:eastAsia="仿宋_GB2312"/>
                <w:color w:val="000000"/>
                <w:kern w:val="0"/>
                <w:sz w:val="24"/>
                <w:szCs w:val="24"/>
                <w:lang w:val="en-US" w:eastAsia="zh-CN"/>
              </w:rPr>
            </w:pPr>
            <w:r>
              <w:rPr>
                <w:rFonts w:hint="eastAsia" w:ascii="仿宋_GB2312" w:eastAsia="仿宋_GB2312"/>
                <w:color w:val="000000"/>
                <w:kern w:val="0"/>
                <w:sz w:val="24"/>
                <w:szCs w:val="24"/>
                <w:lang w:val="en-US" w:eastAsia="zh-CN"/>
              </w:rPr>
              <w:t>0</w:t>
            </w:r>
          </w:p>
        </w:tc>
      </w:tr>
      <w:tr>
        <w:tblPrEx>
          <w:tblCellMar>
            <w:top w:w="15" w:type="dxa"/>
            <w:left w:w="15" w:type="dxa"/>
            <w:bottom w:w="15" w:type="dxa"/>
            <w:right w:w="15" w:type="dxa"/>
          </w:tblCellMar>
        </w:tblPrEx>
        <w:trPr>
          <w:trHeight w:val="474" w:hRule="atLeast"/>
          <w:jc w:val="center"/>
        </w:trPr>
        <w:tc>
          <w:tcPr>
            <w:tcW w:w="8439"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line="400" w:lineRule="exact"/>
              <w:jc w:val="center"/>
              <w:rPr>
                <w:rFonts w:ascii="仿宋_GB2312" w:eastAsia="仿宋_GB2312"/>
                <w:color w:val="000000"/>
                <w:kern w:val="0"/>
                <w:sz w:val="24"/>
                <w:szCs w:val="24"/>
              </w:rPr>
            </w:pPr>
            <w:r>
              <w:rPr>
                <w:rFonts w:hint="eastAsia" w:ascii="仿宋_GB2312" w:eastAsia="仿宋_GB2312"/>
                <w:color w:val="000000"/>
                <w:kern w:val="0"/>
                <w:sz w:val="24"/>
                <w:szCs w:val="24"/>
              </w:rPr>
              <w:t>第二十条第（八）项</w:t>
            </w:r>
          </w:p>
        </w:tc>
      </w:tr>
      <w:tr>
        <w:tblPrEx>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仿宋_GB2312" w:eastAsia="仿宋_GB2312"/>
                <w:color w:val="000000"/>
                <w:kern w:val="0"/>
                <w:sz w:val="24"/>
                <w:szCs w:val="24"/>
              </w:rPr>
            </w:pPr>
            <w:r>
              <w:rPr>
                <w:rFonts w:hint="eastAsia" w:ascii="仿宋_GB2312" w:eastAsia="仿宋_GB2312"/>
                <w:color w:val="000000"/>
                <w:kern w:val="0"/>
                <w:sz w:val="24"/>
                <w:szCs w:val="24"/>
              </w:rPr>
              <w:t>信息内容</w:t>
            </w:r>
          </w:p>
        </w:tc>
        <w:tc>
          <w:tcPr>
            <w:tcW w:w="5326" w:type="dxa"/>
            <w:gridSpan w:val="3"/>
            <w:tcBorders>
              <w:top w:val="nil"/>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widowControl/>
              <w:spacing w:line="400" w:lineRule="exact"/>
              <w:jc w:val="center"/>
              <w:rPr>
                <w:rFonts w:ascii="仿宋_GB2312" w:eastAsia="仿宋_GB2312"/>
                <w:color w:val="000000"/>
                <w:kern w:val="0"/>
                <w:sz w:val="24"/>
                <w:szCs w:val="24"/>
              </w:rPr>
            </w:pPr>
            <w:r>
              <w:rPr>
                <w:rFonts w:hint="eastAsia" w:ascii="仿宋_GB2312" w:eastAsia="仿宋_GB2312"/>
                <w:color w:val="000000"/>
                <w:kern w:val="0"/>
                <w:sz w:val="24"/>
                <w:szCs w:val="24"/>
              </w:rPr>
              <w:t>本年收费金额（单位：万元）</w:t>
            </w:r>
          </w:p>
        </w:tc>
      </w:tr>
      <w:tr>
        <w:tblPrEx>
          <w:tblCellMar>
            <w:top w:w="15" w:type="dxa"/>
            <w:left w:w="15" w:type="dxa"/>
            <w:bottom w:w="15" w:type="dxa"/>
            <w:right w:w="15" w:type="dxa"/>
          </w:tblCellMar>
        </w:tblPrEx>
        <w:trPr>
          <w:trHeight w:val="417"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left"/>
              <w:rPr>
                <w:rFonts w:ascii="仿宋_GB2312" w:eastAsia="仿宋_GB2312"/>
                <w:color w:val="000000"/>
                <w:kern w:val="0"/>
                <w:sz w:val="24"/>
                <w:szCs w:val="24"/>
              </w:rPr>
            </w:pPr>
            <w:r>
              <w:rPr>
                <w:rFonts w:hint="eastAsia" w:ascii="仿宋_GB2312" w:eastAsia="仿宋_GB2312"/>
                <w:color w:val="000000"/>
                <w:kern w:val="0"/>
                <w:sz w:val="24"/>
                <w:szCs w:val="24"/>
              </w:rPr>
              <w:t>行政事业性收费</w:t>
            </w:r>
          </w:p>
        </w:tc>
        <w:tc>
          <w:tcPr>
            <w:tcW w:w="5326" w:type="dxa"/>
            <w:gridSpan w:val="3"/>
            <w:tcBorders>
              <w:top w:val="nil"/>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widowControl/>
              <w:spacing w:line="400" w:lineRule="exact"/>
              <w:jc w:val="center"/>
              <w:rPr>
                <w:rFonts w:ascii="仿宋_GB2312" w:eastAsia="仿宋_GB2312"/>
                <w:color w:val="000000"/>
                <w:kern w:val="0"/>
                <w:sz w:val="24"/>
                <w:szCs w:val="24"/>
              </w:rPr>
            </w:pPr>
            <w:r>
              <w:rPr>
                <w:rFonts w:ascii="仿宋_GB2312" w:eastAsia="仿宋_GB2312"/>
                <w:color w:val="000000"/>
                <w:kern w:val="0"/>
                <w:sz w:val="24"/>
                <w:szCs w:val="24"/>
              </w:rPr>
              <w:t>0</w:t>
            </w:r>
          </w:p>
        </w:tc>
      </w:tr>
    </w:tbl>
    <w:p>
      <w:pPr>
        <w:widowControl/>
        <w:shd w:val="clear" w:color="auto" w:fill="FFFFFF"/>
        <w:spacing w:line="600" w:lineRule="exact"/>
        <w:ind w:firstLine="640" w:firstLineChars="200"/>
        <w:jc w:val="left"/>
        <w:rPr>
          <w:rFonts w:ascii="黑体" w:eastAsia="黑体"/>
          <w:color w:val="000000"/>
          <w:kern w:val="0"/>
          <w:sz w:val="32"/>
          <w:szCs w:val="32"/>
        </w:rPr>
      </w:pPr>
      <w:r>
        <w:rPr>
          <w:rFonts w:hint="eastAsia" w:ascii="黑体" w:eastAsia="黑体"/>
          <w:color w:val="000000"/>
          <w:kern w:val="0"/>
          <w:sz w:val="32"/>
          <w:szCs w:val="32"/>
        </w:rPr>
        <w:t>三、收到和处理政府信息公开申请情况</w:t>
      </w:r>
    </w:p>
    <w:tbl>
      <w:tblPr>
        <w:tblStyle w:val="9"/>
        <w:tblW w:w="9071" w:type="dxa"/>
        <w:jc w:val="center"/>
        <w:tblLayout w:type="fixed"/>
        <w:tblCellMar>
          <w:top w:w="15" w:type="dxa"/>
          <w:left w:w="15" w:type="dxa"/>
          <w:bottom w:w="15" w:type="dxa"/>
          <w:right w:w="15" w:type="dxa"/>
        </w:tblCellMar>
      </w:tblPr>
      <w:tblGrid>
        <w:gridCol w:w="494"/>
        <w:gridCol w:w="855"/>
        <w:gridCol w:w="2130"/>
        <w:gridCol w:w="825"/>
        <w:gridCol w:w="765"/>
        <w:gridCol w:w="765"/>
        <w:gridCol w:w="825"/>
        <w:gridCol w:w="990"/>
        <w:gridCol w:w="720"/>
        <w:gridCol w:w="702"/>
      </w:tblGrid>
      <w:tr>
        <w:tblPrEx>
          <w:tblCellMar>
            <w:top w:w="15" w:type="dxa"/>
            <w:left w:w="15" w:type="dxa"/>
            <w:bottom w:w="15" w:type="dxa"/>
            <w:right w:w="15"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申请人情况</w:t>
            </w:r>
          </w:p>
        </w:tc>
      </w:tr>
      <w:tr>
        <w:tblPrEx>
          <w:tblCellMar>
            <w:top w:w="15" w:type="dxa"/>
            <w:left w:w="15" w:type="dxa"/>
            <w:bottom w:w="15" w:type="dxa"/>
            <w:right w:w="15"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tc>
        <w:tc>
          <w:tcPr>
            <w:tcW w:w="82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自然人</w:t>
            </w:r>
          </w:p>
        </w:tc>
        <w:tc>
          <w:tcPr>
            <w:tcW w:w="4065"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法人或其他组织</w:t>
            </w:r>
          </w:p>
        </w:tc>
        <w:tc>
          <w:tcPr>
            <w:tcW w:w="702"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总计</w:t>
            </w:r>
          </w:p>
        </w:tc>
      </w:tr>
      <w:tr>
        <w:tblPrEx>
          <w:tblCellMar>
            <w:top w:w="15" w:type="dxa"/>
            <w:left w:w="15" w:type="dxa"/>
            <w:bottom w:w="15" w:type="dxa"/>
            <w:right w:w="15"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tc>
        <w:tc>
          <w:tcPr>
            <w:tcW w:w="825" w:type="dxa"/>
            <w:vMerge w:val="continue"/>
            <w:tcBorders>
              <w:top w:val="nil"/>
              <w:left w:val="nil"/>
              <w:bottom w:val="single" w:color="auto" w:sz="8" w:space="0"/>
              <w:right w:val="single" w:color="auto" w:sz="8" w:space="0"/>
            </w:tcBorders>
            <w:vAlign w:val="center"/>
          </w:tcP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商业企业</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科研机构</w:t>
            </w:r>
          </w:p>
        </w:tc>
        <w:tc>
          <w:tcPr>
            <w:tcW w:w="82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社会公益组织</w:t>
            </w:r>
          </w:p>
        </w:tc>
        <w:tc>
          <w:tcPr>
            <w:tcW w:w="99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法律服务机构</w:t>
            </w:r>
          </w:p>
        </w:tc>
        <w:tc>
          <w:tcPr>
            <w:tcW w:w="72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其他</w:t>
            </w:r>
          </w:p>
        </w:tc>
        <w:tc>
          <w:tcPr>
            <w:tcW w:w="702" w:type="dxa"/>
            <w:vMerge w:val="continue"/>
            <w:tcBorders>
              <w:top w:val="single" w:color="auto" w:sz="8" w:space="0"/>
              <w:left w:val="nil"/>
              <w:bottom w:val="single" w:color="auto" w:sz="8" w:space="0"/>
              <w:right w:val="single" w:color="auto" w:sz="8" w:space="0"/>
            </w:tcBorders>
            <w:vAlign w:val="center"/>
          </w:tcP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vAlign w:val="center"/>
          </w:tcPr>
          <w:p>
            <w:pPr>
              <w:widowControl/>
              <w:spacing w:line="360" w:lineRule="exact"/>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一、本年新收政府信息公开申请数量</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w:t>
            </w: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vAlign w:val="center"/>
          </w:tcPr>
          <w:p>
            <w:pPr>
              <w:widowControl/>
              <w:spacing w:line="360" w:lineRule="exact"/>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二、上年结转政府信息公开申请数量</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w:t>
            </w:r>
          </w:p>
        </w:tc>
      </w:tr>
      <w:tr>
        <w:tblPrEx>
          <w:tblCellMar>
            <w:top w:w="15" w:type="dxa"/>
            <w:left w:w="15" w:type="dxa"/>
            <w:bottom w:w="15" w:type="dxa"/>
            <w:right w:w="15" w:type="dxa"/>
          </w:tblCellMar>
        </w:tblPrEx>
        <w:trPr>
          <w:jc w:val="center"/>
        </w:trPr>
        <w:tc>
          <w:tcPr>
            <w:tcW w:w="494" w:type="dxa"/>
            <w:vMerge w:val="restart"/>
            <w:tcBorders>
              <w:top w:val="nil"/>
              <w:left w:val="single" w:color="auto" w:sz="8" w:space="0"/>
              <w:bottom w:val="single" w:color="auto" w:sz="8" w:space="0"/>
              <w:right w:val="single" w:color="auto" w:sz="8" w:space="0"/>
            </w:tcBorders>
            <w:shd w:val="clear" w:color="auto" w:fill="E6F4FF"/>
            <w:vAlign w:val="center"/>
          </w:tcPr>
          <w:p>
            <w:pPr>
              <w:widowControl/>
              <w:spacing w:line="36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三、本年度办理结果</w:t>
            </w:r>
          </w:p>
        </w:tc>
        <w:tc>
          <w:tcPr>
            <w:tcW w:w="2985" w:type="dxa"/>
            <w:gridSpan w:val="2"/>
            <w:tcBorders>
              <w:top w:val="nil"/>
              <w:left w:val="nil"/>
              <w:bottom w:val="single" w:color="auto" w:sz="8" w:space="0"/>
              <w:right w:val="single" w:color="auto" w:sz="8" w:space="0"/>
            </w:tcBorders>
            <w:shd w:val="clear" w:color="auto" w:fill="E6F4FF"/>
            <w:vAlign w:val="center"/>
          </w:tcPr>
          <w:p>
            <w:pPr>
              <w:widowControl/>
              <w:spacing w:line="360" w:lineRule="exact"/>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（一）予以公开</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tc>
        <w:tc>
          <w:tcPr>
            <w:tcW w:w="2985" w:type="dxa"/>
            <w:gridSpan w:val="2"/>
            <w:tcBorders>
              <w:top w:val="nil"/>
              <w:left w:val="nil"/>
              <w:bottom w:val="single" w:color="auto" w:sz="8" w:space="0"/>
              <w:right w:val="single" w:color="auto" w:sz="8" w:space="0"/>
            </w:tcBorders>
            <w:shd w:val="clear" w:color="auto" w:fill="E6F4FF"/>
            <w:vAlign w:val="center"/>
          </w:tcPr>
          <w:p>
            <w:pPr>
              <w:widowControl/>
              <w:spacing w:line="360" w:lineRule="exact"/>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（二）部分公开（区分处理的，只计这一情形，不计其他情形）</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（三）不予公开</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r>
              <w:rPr>
                <w:rFonts w:hint="eastAsia" w:ascii="Times New Roman" w:hAnsi="Times New Roman" w:eastAsia="仿宋_GB2312"/>
                <w:color w:val="000000"/>
                <w:kern w:val="0"/>
                <w:sz w:val="24"/>
                <w:szCs w:val="24"/>
              </w:rPr>
              <w:t>属于国家秘密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tc>
        <w:tc>
          <w:tcPr>
            <w:tcW w:w="855" w:type="dxa"/>
            <w:vMerge w:val="continue"/>
            <w:tcBorders>
              <w:top w:val="nil"/>
              <w:left w:val="nil"/>
              <w:bottom w:val="single" w:color="auto" w:sz="8" w:space="0"/>
              <w:right w:val="single" w:color="auto" w:sz="8" w:space="0"/>
            </w:tcBorders>
            <w:vAlign w:val="center"/>
          </w:tc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r>
              <w:rPr>
                <w:rFonts w:hint="eastAsia" w:ascii="Times New Roman" w:hAnsi="Times New Roman" w:eastAsia="仿宋_GB2312"/>
                <w:color w:val="000000"/>
                <w:kern w:val="0"/>
                <w:sz w:val="24"/>
                <w:szCs w:val="24"/>
              </w:rPr>
              <w:t>其他法律行政法规禁止公开</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tc>
        <w:tc>
          <w:tcPr>
            <w:tcW w:w="855" w:type="dxa"/>
            <w:vMerge w:val="continue"/>
            <w:tcBorders>
              <w:top w:val="nil"/>
              <w:left w:val="nil"/>
              <w:bottom w:val="single" w:color="auto" w:sz="8" w:space="0"/>
              <w:right w:val="single" w:color="auto" w:sz="8" w:space="0"/>
            </w:tcBorders>
            <w:vAlign w:val="center"/>
          </w:tc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r>
              <w:rPr>
                <w:rFonts w:hint="eastAsia" w:ascii="Times New Roman" w:hAnsi="Times New Roman" w:eastAsia="仿宋_GB2312"/>
                <w:color w:val="000000"/>
                <w:kern w:val="0"/>
                <w:sz w:val="24"/>
                <w:szCs w:val="24"/>
              </w:rPr>
              <w:t>危及</w:t>
            </w:r>
            <w:r>
              <w:rPr>
                <w:rFonts w:ascii="Times New Roman" w:hAnsi="Times New Roman" w:eastAsia="仿宋_GB2312"/>
                <w:color w:val="000000"/>
                <w:kern w:val="0"/>
                <w:sz w:val="24"/>
                <w:szCs w:val="24"/>
              </w:rPr>
              <w:t>“</w:t>
            </w:r>
            <w:r>
              <w:rPr>
                <w:rFonts w:hint="eastAsia" w:ascii="Times New Roman" w:hAnsi="Times New Roman" w:eastAsia="仿宋_GB2312"/>
                <w:color w:val="000000"/>
                <w:kern w:val="0"/>
                <w:sz w:val="24"/>
                <w:szCs w:val="24"/>
              </w:rPr>
              <w:t>三安全一稳定</w:t>
            </w:r>
            <w:r>
              <w:rPr>
                <w:rFonts w:ascii="Times New Roman" w:hAnsi="Times New Roman" w:eastAsia="仿宋_GB2312"/>
                <w:color w:val="000000"/>
                <w:kern w:val="0"/>
                <w:sz w:val="24"/>
                <w:szCs w:val="24"/>
              </w:rPr>
              <w:t>”</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tc>
        <w:tc>
          <w:tcPr>
            <w:tcW w:w="855" w:type="dxa"/>
            <w:vMerge w:val="continue"/>
            <w:tcBorders>
              <w:top w:val="nil"/>
              <w:left w:val="nil"/>
              <w:bottom w:val="single" w:color="auto" w:sz="8" w:space="0"/>
              <w:right w:val="single" w:color="auto" w:sz="8" w:space="0"/>
            </w:tcBorders>
            <w:vAlign w:val="center"/>
          </w:tc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w:t>
            </w:r>
            <w:r>
              <w:rPr>
                <w:rFonts w:hint="eastAsia" w:ascii="Times New Roman" w:hAnsi="Times New Roman" w:eastAsia="仿宋_GB2312"/>
                <w:color w:val="000000"/>
                <w:kern w:val="0"/>
                <w:sz w:val="24"/>
                <w:szCs w:val="24"/>
              </w:rPr>
              <w:t>保护第三方合法权益</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tc>
        <w:tc>
          <w:tcPr>
            <w:tcW w:w="855" w:type="dxa"/>
            <w:vMerge w:val="continue"/>
            <w:tcBorders>
              <w:top w:val="nil"/>
              <w:left w:val="nil"/>
              <w:bottom w:val="single" w:color="auto" w:sz="8" w:space="0"/>
              <w:right w:val="single" w:color="auto" w:sz="8" w:space="0"/>
            </w:tcBorders>
            <w:vAlign w:val="center"/>
          </w:tc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r>
              <w:rPr>
                <w:rFonts w:hint="eastAsia" w:ascii="Times New Roman" w:hAnsi="Times New Roman" w:eastAsia="仿宋_GB2312"/>
                <w:color w:val="000000"/>
                <w:kern w:val="0"/>
                <w:sz w:val="24"/>
                <w:szCs w:val="24"/>
              </w:rPr>
              <w:t>属于三类内部事务信息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tc>
        <w:tc>
          <w:tcPr>
            <w:tcW w:w="855" w:type="dxa"/>
            <w:vMerge w:val="continue"/>
            <w:tcBorders>
              <w:top w:val="nil"/>
              <w:left w:val="nil"/>
              <w:bottom w:val="single" w:color="auto" w:sz="8" w:space="0"/>
              <w:right w:val="single" w:color="auto" w:sz="8" w:space="0"/>
            </w:tcBorders>
            <w:vAlign w:val="center"/>
          </w:tc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w:t>
            </w:r>
            <w:r>
              <w:rPr>
                <w:rFonts w:hint="eastAsia" w:ascii="Times New Roman" w:hAnsi="Times New Roman" w:eastAsia="仿宋_GB2312"/>
                <w:color w:val="000000"/>
                <w:kern w:val="0"/>
                <w:sz w:val="24"/>
                <w:szCs w:val="24"/>
              </w:rPr>
              <w:t>属于四类过程性信息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tc>
        <w:tc>
          <w:tcPr>
            <w:tcW w:w="855" w:type="dxa"/>
            <w:vMerge w:val="continue"/>
            <w:tcBorders>
              <w:top w:val="nil"/>
              <w:left w:val="nil"/>
              <w:bottom w:val="single" w:color="auto" w:sz="8" w:space="0"/>
              <w:right w:val="single" w:color="auto" w:sz="8" w:space="0"/>
            </w:tcBorders>
            <w:vAlign w:val="center"/>
          </w:tc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7.</w:t>
            </w:r>
            <w:r>
              <w:rPr>
                <w:rFonts w:hint="eastAsia" w:ascii="Times New Roman" w:hAnsi="Times New Roman" w:eastAsia="仿宋_GB2312"/>
                <w:color w:val="000000"/>
                <w:kern w:val="0"/>
                <w:sz w:val="24"/>
                <w:szCs w:val="24"/>
              </w:rPr>
              <w:t>属于行政执法案卷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tc>
        <w:tc>
          <w:tcPr>
            <w:tcW w:w="855" w:type="dxa"/>
            <w:vMerge w:val="continue"/>
            <w:tcBorders>
              <w:top w:val="nil"/>
              <w:left w:val="nil"/>
              <w:bottom w:val="single" w:color="auto" w:sz="8" w:space="0"/>
              <w:right w:val="single" w:color="auto" w:sz="8" w:space="0"/>
            </w:tcBorders>
            <w:vAlign w:val="center"/>
          </w:tc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w:t>
            </w:r>
            <w:r>
              <w:rPr>
                <w:rFonts w:hint="eastAsia" w:ascii="Times New Roman" w:hAnsi="Times New Roman" w:eastAsia="仿宋_GB2312"/>
                <w:color w:val="000000"/>
                <w:kern w:val="0"/>
                <w:sz w:val="24"/>
                <w:szCs w:val="24"/>
              </w:rPr>
              <w:t>属于行政查询事项</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（四）无法提供</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r>
              <w:rPr>
                <w:rFonts w:hint="eastAsia" w:ascii="Times New Roman" w:hAnsi="Times New Roman" w:eastAsia="仿宋_GB2312"/>
                <w:color w:val="000000"/>
                <w:kern w:val="0"/>
                <w:sz w:val="24"/>
                <w:szCs w:val="24"/>
              </w:rPr>
              <w:t>本机关不掌握相关政府信息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0</w:t>
            </w:r>
            <w:bookmarkStart w:id="0" w:name="_GoBack"/>
            <w:bookmarkEnd w:id="0"/>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tc>
        <w:tc>
          <w:tcPr>
            <w:tcW w:w="855" w:type="dxa"/>
            <w:vMerge w:val="continue"/>
            <w:tcBorders>
              <w:top w:val="nil"/>
              <w:left w:val="nil"/>
              <w:bottom w:val="single" w:color="auto" w:sz="8" w:space="0"/>
              <w:right w:val="single" w:color="auto" w:sz="8" w:space="0"/>
            </w:tcBorders>
            <w:vAlign w:val="center"/>
          </w:tc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r>
              <w:rPr>
                <w:rFonts w:hint="eastAsia" w:ascii="Times New Roman" w:hAnsi="Times New Roman" w:eastAsia="仿宋_GB2312"/>
                <w:color w:val="000000"/>
                <w:kern w:val="0"/>
                <w:sz w:val="24"/>
                <w:szCs w:val="24"/>
              </w:rPr>
              <w:t>没有现成信息需要另行制作</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tc>
        <w:tc>
          <w:tcPr>
            <w:tcW w:w="855" w:type="dxa"/>
            <w:vMerge w:val="continue"/>
            <w:tcBorders>
              <w:top w:val="nil"/>
              <w:left w:val="nil"/>
              <w:bottom w:val="single" w:color="auto" w:sz="8" w:space="0"/>
              <w:right w:val="single" w:color="auto" w:sz="8" w:space="0"/>
            </w:tcBorders>
            <w:vAlign w:val="center"/>
          </w:tc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r>
              <w:rPr>
                <w:rFonts w:hint="eastAsia" w:ascii="Times New Roman" w:hAnsi="Times New Roman" w:eastAsia="仿宋_GB2312"/>
                <w:color w:val="000000"/>
                <w:kern w:val="0"/>
                <w:sz w:val="24"/>
                <w:szCs w:val="24"/>
              </w:rPr>
              <w:t>补正后申请内容仍不明确</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（五）不予处理</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r>
              <w:rPr>
                <w:rFonts w:hint="eastAsia" w:ascii="Times New Roman" w:hAnsi="Times New Roman" w:eastAsia="仿宋_GB2312"/>
                <w:color w:val="000000"/>
                <w:kern w:val="0"/>
                <w:sz w:val="24"/>
                <w:szCs w:val="24"/>
              </w:rPr>
              <w:t>信访举报投诉类申请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tc>
        <w:tc>
          <w:tcPr>
            <w:tcW w:w="855" w:type="dxa"/>
            <w:vMerge w:val="continue"/>
            <w:tcBorders>
              <w:top w:val="nil"/>
              <w:left w:val="nil"/>
              <w:bottom w:val="single" w:color="auto" w:sz="8" w:space="0"/>
              <w:right w:val="single" w:color="auto" w:sz="8" w:space="0"/>
            </w:tcBorders>
            <w:vAlign w:val="center"/>
          </w:tc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r>
              <w:rPr>
                <w:rFonts w:hint="eastAsia" w:ascii="Times New Roman" w:hAnsi="Times New Roman" w:eastAsia="仿宋_GB2312"/>
                <w:color w:val="000000"/>
                <w:kern w:val="0"/>
                <w:sz w:val="24"/>
                <w:szCs w:val="24"/>
              </w:rPr>
              <w:t>重复申请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tc>
        <w:tc>
          <w:tcPr>
            <w:tcW w:w="855" w:type="dxa"/>
            <w:vMerge w:val="continue"/>
            <w:tcBorders>
              <w:top w:val="nil"/>
              <w:left w:val="nil"/>
              <w:bottom w:val="single" w:color="auto" w:sz="8" w:space="0"/>
              <w:right w:val="single" w:color="auto" w:sz="8" w:space="0"/>
            </w:tcBorders>
            <w:vAlign w:val="center"/>
          </w:tc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r>
              <w:rPr>
                <w:rFonts w:hint="eastAsia" w:ascii="Times New Roman" w:hAnsi="Times New Roman" w:eastAsia="仿宋_GB2312"/>
                <w:color w:val="000000"/>
                <w:kern w:val="0"/>
                <w:sz w:val="24"/>
                <w:szCs w:val="24"/>
              </w:rPr>
              <w:t>要求提供公开出版物</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tc>
        <w:tc>
          <w:tcPr>
            <w:tcW w:w="855" w:type="dxa"/>
            <w:vMerge w:val="continue"/>
            <w:tcBorders>
              <w:top w:val="nil"/>
              <w:left w:val="nil"/>
              <w:bottom w:val="single" w:color="auto" w:sz="8" w:space="0"/>
              <w:right w:val="single" w:color="auto" w:sz="8" w:space="0"/>
            </w:tcBorders>
            <w:vAlign w:val="center"/>
          </w:tc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w:t>
            </w:r>
            <w:r>
              <w:rPr>
                <w:rFonts w:hint="eastAsia" w:ascii="Times New Roman" w:hAnsi="Times New Roman" w:eastAsia="仿宋_GB2312"/>
                <w:color w:val="000000"/>
                <w:kern w:val="0"/>
                <w:sz w:val="24"/>
                <w:szCs w:val="24"/>
              </w:rPr>
              <w:t>无正当理由大量反复申请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tc>
        <w:tc>
          <w:tcPr>
            <w:tcW w:w="855" w:type="dxa"/>
            <w:vMerge w:val="continue"/>
            <w:tcBorders>
              <w:top w:val="nil"/>
              <w:left w:val="nil"/>
              <w:bottom w:val="single" w:color="auto" w:sz="8" w:space="0"/>
              <w:right w:val="single" w:color="auto" w:sz="8" w:space="0"/>
            </w:tcBorders>
            <w:vAlign w:val="center"/>
          </w:tc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r>
              <w:rPr>
                <w:rFonts w:hint="eastAsia" w:ascii="Times New Roman" w:hAnsi="Times New Roman" w:eastAsia="仿宋_GB2312"/>
                <w:color w:val="000000"/>
                <w:kern w:val="0"/>
                <w:sz w:val="24"/>
                <w:szCs w:val="24"/>
              </w:rPr>
              <w:t>要求行政机关确认或重新出具已获取信息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tc>
        <w:tc>
          <w:tcPr>
            <w:tcW w:w="2985" w:type="dxa"/>
            <w:gridSpan w:val="2"/>
            <w:tcBorders>
              <w:top w:val="nil"/>
              <w:left w:val="nil"/>
              <w:bottom w:val="single" w:color="auto" w:sz="8" w:space="0"/>
              <w:right w:val="single" w:color="auto" w:sz="8" w:space="0"/>
            </w:tcBorders>
            <w:shd w:val="clear" w:color="auto" w:fill="E6F4FF"/>
            <w:vAlign w:val="center"/>
          </w:tcPr>
          <w:p>
            <w:pPr>
              <w:widowControl/>
              <w:spacing w:line="360" w:lineRule="exact"/>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（六）其他处理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tc>
        <w:tc>
          <w:tcPr>
            <w:tcW w:w="2985" w:type="dxa"/>
            <w:gridSpan w:val="2"/>
            <w:tcBorders>
              <w:top w:val="nil"/>
              <w:left w:val="nil"/>
              <w:bottom w:val="single" w:color="auto" w:sz="8" w:space="0"/>
              <w:right w:val="single" w:color="auto" w:sz="8" w:space="0"/>
            </w:tcBorders>
            <w:shd w:val="clear" w:color="auto" w:fill="E6F4FF"/>
            <w:vAlign w:val="center"/>
          </w:tcPr>
          <w:p>
            <w:pPr>
              <w:widowControl/>
              <w:spacing w:line="360" w:lineRule="exact"/>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（七）总计</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hint="eastAsia" w:ascii="Times New Roman" w:hAnsi="Times New Roman" w:eastAsia="仿宋_GB2312"/>
                <w:color w:val="000000"/>
                <w:kern w:val="0"/>
                <w:sz w:val="24"/>
                <w:szCs w:val="24"/>
                <w:lang w:eastAsia="zh-CN"/>
              </w:rPr>
            </w:pPr>
            <w:r>
              <w:rPr>
                <w:rFonts w:ascii="Times New Roman" w:hAnsi="Times New Roman" w:eastAsia="仿宋_GB2312"/>
                <w:color w:val="000000"/>
                <w:kern w:val="0"/>
                <w:sz w:val="24"/>
                <w:szCs w:val="24"/>
              </w:rPr>
              <w:t> </w:t>
            </w:r>
            <w:r>
              <w:rPr>
                <w:rFonts w:hint="eastAsia" w:ascii="Times New Roman" w:hAnsi="Times New Roman" w:eastAsia="仿宋_GB2312"/>
                <w:color w:val="000000"/>
                <w:kern w:val="0"/>
                <w:sz w:val="24"/>
                <w:szCs w:val="24"/>
                <w:lang w:val="en-US" w:eastAsia="zh-CN"/>
              </w:rPr>
              <w:t>0</w:t>
            </w: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vAlign w:val="center"/>
          </w:tcPr>
          <w:p>
            <w:pPr>
              <w:widowControl/>
              <w:spacing w:line="360" w:lineRule="exact"/>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四、结转下年度继续办理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exact"/>
              <w:ind w:firstLine="240" w:firstLineChars="100"/>
              <w:jc w:val="left"/>
              <w:rPr>
                <w:rFonts w:hint="eastAsia" w:ascii="Times New Roman" w:hAnsi="Times New Roman" w:eastAsia="仿宋_GB2312"/>
                <w:color w:val="000000"/>
                <w:kern w:val="0"/>
                <w:sz w:val="24"/>
                <w:szCs w:val="24"/>
                <w:lang w:eastAsia="zh-CN"/>
              </w:rPr>
            </w:pPr>
            <w:r>
              <w:rPr>
                <w:rFonts w:hint="eastAsia" w:ascii="Times New Roman" w:hAnsi="Times New Roman" w:eastAsia="仿宋_GB2312"/>
                <w:color w:val="000000"/>
                <w:kern w:val="0"/>
                <w:sz w:val="24"/>
                <w:szCs w:val="24"/>
                <w:lang w:val="en-US" w:eastAsia="zh-CN"/>
              </w:rPr>
              <w:t>0</w:t>
            </w:r>
          </w:p>
        </w:tc>
      </w:tr>
    </w:tbl>
    <w:p>
      <w:pPr>
        <w:widowControl/>
        <w:spacing w:line="600" w:lineRule="exact"/>
        <w:ind w:firstLine="640" w:firstLineChars="200"/>
        <w:rPr>
          <w:rFonts w:ascii="黑体" w:eastAsia="黑体"/>
          <w:bCs/>
          <w:color w:val="000000"/>
          <w:kern w:val="0"/>
          <w:sz w:val="32"/>
          <w:szCs w:val="32"/>
        </w:rPr>
      </w:pPr>
    </w:p>
    <w:p>
      <w:pPr>
        <w:widowControl/>
        <w:spacing w:line="600" w:lineRule="exact"/>
        <w:ind w:firstLine="640" w:firstLineChars="200"/>
        <w:rPr>
          <w:rFonts w:ascii="黑体" w:eastAsia="黑体"/>
          <w:bCs/>
          <w:color w:val="000000"/>
          <w:kern w:val="0"/>
          <w:sz w:val="32"/>
          <w:szCs w:val="32"/>
        </w:rPr>
      </w:pPr>
      <w:r>
        <w:rPr>
          <w:rFonts w:hint="eastAsia" w:ascii="黑体" w:eastAsia="黑体"/>
          <w:bCs/>
          <w:color w:val="000000"/>
          <w:kern w:val="0"/>
          <w:sz w:val="32"/>
          <w:szCs w:val="32"/>
        </w:rPr>
        <w:t>四、政府信息公开行政复议、行政诉讼情况</w:t>
      </w:r>
    </w:p>
    <w:p>
      <w:pPr>
        <w:widowControl/>
        <w:shd w:val="clear" w:color="auto" w:fill="FFFFFF"/>
        <w:spacing w:line="600" w:lineRule="exact"/>
        <w:ind w:firstLine="640" w:firstLineChars="200"/>
        <w:jc w:val="left"/>
        <w:rPr>
          <w:rFonts w:ascii="Times New Roman" w:hAnsi="Times New Roman" w:eastAsia="仿宋_GB2312"/>
          <w:b/>
          <w:color w:val="000000"/>
          <w:kern w:val="0"/>
          <w:sz w:val="32"/>
          <w:szCs w:val="32"/>
        </w:rPr>
      </w:pPr>
      <w:r>
        <w:rPr>
          <w:rFonts w:ascii="Times New Roman" w:hAnsi="Times New Roman" w:eastAsia="仿宋_GB2312"/>
          <w:kern w:val="0"/>
          <w:sz w:val="32"/>
          <w:szCs w:val="32"/>
        </w:rPr>
        <w:t>202</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年度无被申请行政复议、行政诉讼的情况。</w:t>
      </w:r>
    </w:p>
    <w:tbl>
      <w:tblPr>
        <w:tblStyle w:val="9"/>
        <w:tblW w:w="9071" w:type="dxa"/>
        <w:jc w:val="center"/>
        <w:tblLayout w:type="fixed"/>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行政诉讼</w:t>
            </w:r>
          </w:p>
        </w:tc>
      </w:tr>
      <w:tr>
        <w:tblPrEx>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复议后起诉</w:t>
            </w:r>
          </w:p>
        </w:tc>
      </w:tr>
      <w:tr>
        <w:tblPrEx>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tc>
        <w:tc>
          <w:tcPr>
            <w:tcW w:w="604" w:type="dxa"/>
            <w:vMerge w:val="continue"/>
            <w:tcBorders>
              <w:top w:val="nil"/>
              <w:left w:val="nil"/>
              <w:bottom w:val="single" w:color="auto" w:sz="8" w:space="0"/>
              <w:right w:val="single" w:color="auto" w:sz="8" w:space="0"/>
            </w:tcBorders>
            <w:vAlign w:val="center"/>
          </w:tcPr>
          <w:p/>
        </w:tc>
        <w:tc>
          <w:tcPr>
            <w:tcW w:w="604" w:type="dxa"/>
            <w:vMerge w:val="continue"/>
            <w:tcBorders>
              <w:top w:val="single" w:color="auto" w:sz="8" w:space="0"/>
              <w:left w:val="nil"/>
              <w:bottom w:val="single" w:color="auto" w:sz="8" w:space="0"/>
              <w:right w:val="single" w:color="auto" w:sz="8" w:space="0"/>
            </w:tcBorders>
            <w:vAlign w:val="center"/>
          </w:tcPr>
          <w:p/>
        </w:tc>
        <w:tc>
          <w:tcPr>
            <w:tcW w:w="604" w:type="dxa"/>
            <w:vMerge w:val="continue"/>
            <w:tcBorders>
              <w:top w:val="single" w:color="auto" w:sz="8" w:space="0"/>
              <w:left w:val="nil"/>
              <w:bottom w:val="single" w:color="auto" w:sz="8" w:space="0"/>
              <w:right w:val="single" w:color="auto" w:sz="8" w:space="0"/>
            </w:tcBorders>
            <w:vAlign w:val="center"/>
          </w:tcPr>
          <w:p/>
        </w:tc>
        <w:tc>
          <w:tcPr>
            <w:tcW w:w="658" w:type="dxa"/>
            <w:vMerge w:val="continue"/>
            <w:tcBorders>
              <w:top w:val="single" w:color="auto" w:sz="8" w:space="0"/>
              <w:left w:val="nil"/>
              <w:bottom w:val="single" w:color="auto" w:sz="8" w:space="0"/>
              <w:right w:val="single" w:color="auto" w:sz="8" w:space="0"/>
            </w:tcBorders>
            <w:vAlign w:val="center"/>
          </w:tc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总计</w:t>
            </w:r>
          </w:p>
        </w:tc>
      </w:tr>
      <w:tr>
        <w:tblPrEx>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0 </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400" w:lineRule="exact"/>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w:t>
            </w:r>
          </w:p>
        </w:tc>
      </w:tr>
    </w:tbl>
    <w:p>
      <w:pPr>
        <w:widowControl/>
        <w:shd w:val="clear" w:color="auto" w:fill="FFFFFF"/>
        <w:spacing w:line="600" w:lineRule="exact"/>
        <w:ind w:firstLine="640" w:firstLineChars="200"/>
        <w:jc w:val="left"/>
        <w:rPr>
          <w:rFonts w:ascii="黑体" w:eastAsia="黑体"/>
          <w:bCs/>
          <w:color w:val="000000"/>
          <w:kern w:val="0"/>
          <w:sz w:val="32"/>
          <w:szCs w:val="32"/>
        </w:rPr>
      </w:pPr>
      <w:r>
        <w:rPr>
          <w:rFonts w:hint="eastAsia" w:ascii="黑体" w:eastAsia="黑体"/>
          <w:bCs/>
          <w:color w:val="000000"/>
          <w:kern w:val="0"/>
          <w:sz w:val="32"/>
          <w:szCs w:val="32"/>
        </w:rPr>
        <w:t>五、存在的主要问题及改进情况</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2022</w:t>
      </w:r>
      <w:r>
        <w:rPr>
          <w:rFonts w:hint="eastAsia" w:ascii="Times New Roman" w:hAnsi="Times New Roman" w:eastAsia="仿宋_GB2312"/>
          <w:kern w:val="0"/>
          <w:sz w:val="32"/>
          <w:szCs w:val="32"/>
        </w:rPr>
        <w:t>年度，我委在</w:t>
      </w:r>
      <w:r>
        <w:rPr>
          <w:rFonts w:hint="eastAsia" w:ascii="Times New Roman" w:hAnsi="Times New Roman" w:eastAsia="仿宋_GB2312"/>
          <w:color w:val="000000"/>
          <w:sz w:val="32"/>
          <w:szCs w:val="32"/>
          <w:shd w:val="clear" w:color="auto" w:fill="FFFFFF"/>
        </w:rPr>
        <w:t>推进政务信息公开中做了一些工作，取得了一些成绩，</w:t>
      </w:r>
      <w:r>
        <w:rPr>
          <w:rFonts w:hint="eastAsia" w:ascii="Times New Roman" w:hAnsi="Times New Roman" w:eastAsia="仿宋_GB2312"/>
          <w:kern w:val="0"/>
          <w:sz w:val="32"/>
          <w:szCs w:val="32"/>
        </w:rPr>
        <w:t>但在工作实践中，仍发现了一些问题亟需改进和提高。一是主动公开的意识不够强，少数内容更新不够及时；二是原创稿件偏少，内容同质化比较严重，没有形成本单位自有特色。公开信息类别较为单一，多为时政类信息，政策解读类信息较少。</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w:t>
      </w:r>
      <w:r>
        <w:rPr>
          <w:rFonts w:hint="eastAsia" w:ascii="Times New Roman" w:hAnsi="Times New Roman" w:eastAsia="仿宋_GB2312"/>
          <w:kern w:val="0"/>
          <w:sz w:val="32"/>
          <w:szCs w:val="32"/>
        </w:rPr>
        <w:t>我委</w:t>
      </w:r>
      <w:r>
        <w:rPr>
          <w:rFonts w:hint="eastAsia" w:ascii="Times New Roman" w:hAnsi="Times New Roman" w:eastAsia="仿宋_GB2312"/>
          <w:color w:val="000000"/>
          <w:sz w:val="32"/>
          <w:szCs w:val="32"/>
          <w:shd w:val="clear" w:color="auto" w:fill="FFFFFF"/>
        </w:rPr>
        <w:t>将继续积极贯彻落实有关文件精神，</w:t>
      </w:r>
      <w:r>
        <w:rPr>
          <w:rFonts w:hint="eastAsia" w:ascii="Times New Roman" w:hAnsi="Times New Roman" w:eastAsia="仿宋_GB2312"/>
          <w:color w:val="000000"/>
          <w:sz w:val="32"/>
          <w:szCs w:val="32"/>
          <w:shd w:val="clear" w:color="auto" w:fill="FFFFFF"/>
          <w:lang w:eastAsia="zh-CN"/>
        </w:rPr>
        <w:t>持续推进政府网站和政务新媒体适老化改造与无障碍改造工作，</w:t>
      </w:r>
      <w:r>
        <w:rPr>
          <w:rFonts w:hint="eastAsia" w:ascii="Times New Roman" w:hAnsi="Times New Roman" w:eastAsia="仿宋_GB2312"/>
          <w:kern w:val="0"/>
          <w:sz w:val="32"/>
          <w:szCs w:val="32"/>
        </w:rPr>
        <w:t>加大对政府信息公开工作的落实力度，结合之前工作中存在的问题和不足，具体抓好以下工作。</w:t>
      </w:r>
    </w:p>
    <w:p>
      <w:pPr>
        <w:pStyle w:val="8"/>
        <w:widowControl/>
        <w:shd w:val="clear" w:color="auto" w:fill="FFFFFF"/>
        <w:spacing w:beforeAutospacing="0" w:afterAutospacing="0" w:line="30" w:lineRule="atLeast"/>
        <w:ind w:firstLine="645"/>
        <w:jc w:val="both"/>
        <w:textAlignment w:val="baseline"/>
        <w:rPr>
          <w:rFonts w:ascii="Times New Roman" w:hAnsi="Times New Roman" w:eastAsia="仿宋_GB2312"/>
          <w:color w:val="333333"/>
          <w:sz w:val="32"/>
          <w:szCs w:val="32"/>
        </w:rPr>
      </w:pPr>
      <w:r>
        <w:rPr>
          <w:rStyle w:val="11"/>
          <w:rFonts w:hint="eastAsia" w:ascii="Times New Roman" w:hAnsi="Times New Roman" w:eastAsia="仿宋_GB2312"/>
          <w:color w:val="333333"/>
          <w:sz w:val="32"/>
          <w:szCs w:val="32"/>
          <w:shd w:val="clear" w:color="auto" w:fill="FFFFFF"/>
        </w:rPr>
        <w:t>（一）进一步建立和完善政府信息公开工作制度。</w:t>
      </w:r>
      <w:r>
        <w:rPr>
          <w:rFonts w:hint="eastAsia" w:ascii="Times New Roman" w:hAnsi="Times New Roman" w:eastAsia="仿宋_GB2312"/>
          <w:color w:val="333333"/>
          <w:sz w:val="32"/>
          <w:szCs w:val="32"/>
          <w:shd w:val="clear" w:color="auto" w:fill="FFFFFF"/>
        </w:rPr>
        <w:t>通过修订委内政府信息公开制度，抓好制度落实，争取在政务公开工作的全面性、时效性方面有所进步，切实提高委内干部职工对做好政务信息公开工作的认识。</w:t>
      </w:r>
    </w:p>
    <w:p>
      <w:pPr>
        <w:spacing w:line="600" w:lineRule="exact"/>
        <w:ind w:left="10" w:leftChars="5" w:firstLine="668" w:firstLineChars="208"/>
        <w:rPr>
          <w:rFonts w:ascii="Times New Roman" w:hAnsi="Times New Roman" w:eastAsia="仿宋_GB2312"/>
          <w:sz w:val="32"/>
          <w:szCs w:val="32"/>
        </w:rPr>
      </w:pPr>
      <w:r>
        <w:rPr>
          <w:rFonts w:hint="eastAsia" w:ascii="Times New Roman" w:hAnsi="Times New Roman" w:eastAsia="仿宋_GB2312"/>
          <w:b/>
          <w:bCs/>
          <w:sz w:val="32"/>
          <w:szCs w:val="32"/>
        </w:rPr>
        <w:t>（二）进一步深化公开内容，扩大公开范围。</w:t>
      </w:r>
      <w:r>
        <w:rPr>
          <w:rFonts w:hint="eastAsia" w:ascii="Times New Roman" w:hAnsi="Times New Roman" w:eastAsia="仿宋_GB2312"/>
          <w:sz w:val="32"/>
          <w:szCs w:val="32"/>
        </w:rPr>
        <w:t>进一步梳理政府信息，对原有的政府政务公开目录进行补充完善，保证公开信息的完整性和准确性。</w:t>
      </w:r>
    </w:p>
    <w:p>
      <w:pPr>
        <w:widowControl/>
        <w:shd w:val="clear" w:color="auto" w:fill="FFFFFF"/>
        <w:spacing w:line="600" w:lineRule="exact"/>
        <w:ind w:firstLine="643" w:firstLineChars="200"/>
        <w:jc w:val="left"/>
        <w:rPr>
          <w:rFonts w:ascii="Times New Roman" w:hAnsi="Times New Roman" w:eastAsia="仿宋_GB2312"/>
          <w:color w:val="000000"/>
          <w:kern w:val="0"/>
          <w:sz w:val="32"/>
          <w:szCs w:val="32"/>
        </w:rPr>
      </w:pPr>
      <w:r>
        <w:rPr>
          <w:rFonts w:hint="eastAsia" w:ascii="Times New Roman" w:hAnsi="Times New Roman" w:eastAsia="仿宋_GB2312"/>
          <w:b/>
          <w:bCs/>
          <w:sz w:val="32"/>
          <w:szCs w:val="32"/>
        </w:rPr>
        <w:t>（三）进一步增强公开效果，发挥职能作用。</w:t>
      </w:r>
      <w:r>
        <w:rPr>
          <w:rFonts w:hint="eastAsia" w:ascii="Times New Roman" w:hAnsi="Times New Roman" w:eastAsia="仿宋_GB2312"/>
          <w:sz w:val="32"/>
          <w:szCs w:val="32"/>
        </w:rPr>
        <w:t>切实增强信息发布和公开的针对性时效性，充分发挥信息公开的渠道作用、宣传作用，更好发挥政府信息公开对于委内工作的监督、规范作用。</w:t>
      </w:r>
    </w:p>
    <w:p>
      <w:pPr>
        <w:widowControl/>
        <w:shd w:val="clear" w:color="auto" w:fill="FFFFFF"/>
        <w:spacing w:line="600" w:lineRule="exact"/>
        <w:ind w:firstLine="640" w:firstLineChars="200"/>
        <w:jc w:val="left"/>
        <w:rPr>
          <w:rFonts w:ascii="黑体" w:eastAsia="黑体"/>
          <w:bCs/>
          <w:color w:val="000000"/>
          <w:kern w:val="0"/>
          <w:sz w:val="32"/>
          <w:szCs w:val="32"/>
        </w:rPr>
      </w:pPr>
      <w:r>
        <w:rPr>
          <w:rFonts w:hint="eastAsia" w:ascii="黑体" w:eastAsia="黑体"/>
          <w:bCs/>
          <w:color w:val="000000"/>
          <w:kern w:val="0"/>
          <w:sz w:val="32"/>
          <w:szCs w:val="32"/>
        </w:rPr>
        <w:t>六、其他需要报告的事项</w:t>
      </w:r>
    </w:p>
    <w:p>
      <w:pPr>
        <w:widowControl/>
        <w:shd w:val="clear" w:color="auto" w:fill="FFFFFF"/>
        <w:wordWrap w:val="0"/>
        <w:spacing w:line="600" w:lineRule="exact"/>
        <w:rPr>
          <w:rFonts w:ascii="Times New Roman" w:hAnsi="Times New Roman" w:eastAsia="仿宋_GB2312"/>
          <w:kern w:val="0"/>
          <w:sz w:val="32"/>
          <w:szCs w:val="32"/>
        </w:rPr>
      </w:pP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无其他需要报告的事项。</w:t>
      </w:r>
    </w:p>
    <w:p>
      <w:pPr>
        <w:widowControl/>
        <w:shd w:val="clear" w:color="auto" w:fill="FFFFFF"/>
        <w:wordWrap w:val="0"/>
        <w:spacing w:line="600" w:lineRule="exact"/>
        <w:rPr>
          <w:rFonts w:ascii="Times New Roman" w:hAnsi="Times New Roman" w:eastAsia="仿宋_GB2312"/>
          <w:kern w:val="0"/>
          <w:sz w:val="32"/>
          <w:szCs w:val="32"/>
        </w:rPr>
      </w:pPr>
    </w:p>
    <w:p>
      <w:pPr>
        <w:widowControl/>
        <w:shd w:val="clear" w:color="auto" w:fill="FFFFFF"/>
        <w:wordWrap w:val="0"/>
        <w:spacing w:line="600" w:lineRule="exact"/>
        <w:rPr>
          <w:rFonts w:ascii="Times New Roman" w:hAnsi="Times New Roman" w:eastAsia="仿宋_GB2312"/>
          <w:kern w:val="0"/>
          <w:sz w:val="32"/>
          <w:szCs w:val="32"/>
        </w:rPr>
      </w:pPr>
    </w:p>
    <w:p>
      <w:pPr>
        <w:widowControl/>
        <w:shd w:val="clear" w:color="auto" w:fill="FFFFFF"/>
        <w:wordWrap w:val="0"/>
        <w:spacing w:line="600" w:lineRule="exact"/>
        <w:rPr>
          <w:rFonts w:ascii="Times New Roman" w:hAnsi="Times New Roman" w:eastAsia="仿宋_GB2312"/>
          <w:kern w:val="0"/>
          <w:sz w:val="32"/>
          <w:szCs w:val="32"/>
        </w:rPr>
      </w:pPr>
    </w:p>
    <w:p>
      <w:pPr>
        <w:widowControl/>
        <w:shd w:val="clear" w:color="auto" w:fill="FFFFFF"/>
        <w:spacing w:line="60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忻州市发展和改革委员会</w:t>
      </w:r>
    </w:p>
    <w:p>
      <w:pPr>
        <w:widowControl/>
        <w:shd w:val="clear" w:color="auto" w:fill="FFFFFF"/>
        <w:spacing w:line="600" w:lineRule="exact"/>
        <w:jc w:val="center"/>
        <w:rPr>
          <w:rFonts w:ascii="Times New Roman" w:hAnsi="Times New Roman" w:eastAsia="仿宋_GB2312"/>
          <w:kern w:val="0"/>
          <w:sz w:val="32"/>
          <w:szCs w:val="32"/>
        </w:rPr>
      </w:pPr>
      <w:r>
        <w:rPr>
          <w:rFonts w:ascii="Times New Roman" w:hAnsi="Times New Roman" w:eastAsia="仿宋_GB2312"/>
          <w:kern w:val="0"/>
          <w:sz w:val="32"/>
          <w:szCs w:val="32"/>
        </w:rPr>
        <w:t xml:space="preserve">                 202</w:t>
      </w: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rPr>
        <w:t>年</w:t>
      </w:r>
      <w:r>
        <w:rPr>
          <w:rFonts w:ascii="Times New Roman" w:hAnsi="Times New Roman" w:eastAsia="仿宋_GB2312"/>
          <w:kern w:val="0"/>
          <w:sz w:val="32"/>
          <w:szCs w:val="32"/>
        </w:rPr>
        <w:t>1</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31</w:t>
      </w:r>
      <w:r>
        <w:rPr>
          <w:rFonts w:hint="eastAsia" w:ascii="Times New Roman" w:hAnsi="Times New Roman" w:eastAsia="仿宋_GB2312"/>
          <w:kern w:val="0"/>
          <w:sz w:val="32"/>
          <w:szCs w:val="32"/>
        </w:rPr>
        <w:t>日</w:t>
      </w:r>
    </w:p>
    <w:sectPr>
      <w:headerReference r:id="rId3" w:type="default"/>
      <w:footerReference r:id="rId4" w:type="default"/>
      <w:pgSz w:w="11906" w:h="16838"/>
      <w:pgMar w:top="1440" w:right="1800" w:bottom="1440" w:left="1800"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xi Sans">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noPunctuationKerning w:val="1"/>
  <w:characterSpacingControl w:val="compressPunctuation"/>
  <w:noLineBreaksAfter w:lang="zh-CN" w:val="$([{£¥·‘“〈《「『【〔〖〝﹙﹛﹝＄（．［｛￡￥"/>
  <w:noLineBreaksBefore w:lang="zh-CN" w:val="!%),.:;&gt;?]}¢¨°·ˇˉ―‖’”…‰′″›℃∶、。〃〉》」』】〕〗〞︶︺︾﹀﹄﹚﹜﹞！＂％＇），．：；？］｀｜｝～￠"/>
  <w:compat>
    <w:spaceForUL/>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MDkxY2MyMDNhMjE5Y2I4YWZjN2ZhNDQ1YTljYWUifQ=="/>
  </w:docVars>
  <w:rsids>
    <w:rsidRoot w:val="001C766C"/>
    <w:rsid w:val="000E3C0D"/>
    <w:rsid w:val="001C766C"/>
    <w:rsid w:val="003004C1"/>
    <w:rsid w:val="003512BE"/>
    <w:rsid w:val="0037315E"/>
    <w:rsid w:val="003A00BC"/>
    <w:rsid w:val="00427052"/>
    <w:rsid w:val="00461110"/>
    <w:rsid w:val="004865CC"/>
    <w:rsid w:val="005153D6"/>
    <w:rsid w:val="005B3768"/>
    <w:rsid w:val="005C206F"/>
    <w:rsid w:val="005F2388"/>
    <w:rsid w:val="00644583"/>
    <w:rsid w:val="00674576"/>
    <w:rsid w:val="006866A9"/>
    <w:rsid w:val="006E2CC0"/>
    <w:rsid w:val="0077144E"/>
    <w:rsid w:val="00781587"/>
    <w:rsid w:val="00783E37"/>
    <w:rsid w:val="007D6C01"/>
    <w:rsid w:val="007F34E3"/>
    <w:rsid w:val="00936D86"/>
    <w:rsid w:val="00A3228C"/>
    <w:rsid w:val="00A94CB0"/>
    <w:rsid w:val="00AA2E09"/>
    <w:rsid w:val="00B875D3"/>
    <w:rsid w:val="00B95B2B"/>
    <w:rsid w:val="00BC7E8E"/>
    <w:rsid w:val="00BF321D"/>
    <w:rsid w:val="00BF3C59"/>
    <w:rsid w:val="00F47B6C"/>
    <w:rsid w:val="00F77171"/>
    <w:rsid w:val="046E6DDE"/>
    <w:rsid w:val="09DB6DCC"/>
    <w:rsid w:val="0ADA655F"/>
    <w:rsid w:val="1218482D"/>
    <w:rsid w:val="1D28001A"/>
    <w:rsid w:val="2CE73722"/>
    <w:rsid w:val="42D812EB"/>
    <w:rsid w:val="46A71061"/>
    <w:rsid w:val="484B3FAD"/>
    <w:rsid w:val="6115578D"/>
    <w:rsid w:val="638C7C76"/>
    <w:rsid w:val="65476131"/>
    <w:rsid w:val="6891448F"/>
    <w:rsid w:val="6CFA441C"/>
    <w:rsid w:val="6E5D4C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rPr>
  </w:style>
  <w:style w:type="paragraph" w:styleId="3">
    <w:name w:val="heading 2"/>
    <w:basedOn w:val="1"/>
    <w:next w:val="1"/>
    <w:link w:val="16"/>
    <w:qFormat/>
    <w:uiPriority w:val="99"/>
    <w:pPr>
      <w:keepNext/>
      <w:keepLines/>
      <w:spacing w:before="260" w:after="260" w:line="415" w:lineRule="auto"/>
      <w:outlineLvl w:val="1"/>
    </w:pPr>
    <w:rPr>
      <w:rFonts w:ascii="Luxi Sans" w:hAnsi="Luxi Sans" w:eastAsia="黑体"/>
      <w:b/>
      <w:sz w:val="32"/>
    </w:rPr>
  </w:style>
  <w:style w:type="paragraph" w:styleId="4">
    <w:name w:val="heading 3"/>
    <w:basedOn w:val="1"/>
    <w:next w:val="1"/>
    <w:link w:val="17"/>
    <w:qFormat/>
    <w:uiPriority w:val="99"/>
    <w:pPr>
      <w:keepNext/>
      <w:keepLines/>
      <w:spacing w:before="260" w:after="260" w:line="415" w:lineRule="auto"/>
      <w:outlineLvl w:val="2"/>
    </w:pPr>
    <w:rPr>
      <w:b/>
      <w:sz w:val="32"/>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8"/>
    <w:qFormat/>
    <w:uiPriority w:val="99"/>
    <w:pPr>
      <w:ind w:left="2500" w:leftChars="2500"/>
    </w:p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character" w:styleId="11">
    <w:name w:val="Strong"/>
    <w:basedOn w:val="10"/>
    <w:qFormat/>
    <w:uiPriority w:val="99"/>
    <w:rPr>
      <w:rFonts w:cs="Times New Roman"/>
      <w:b/>
    </w:rPr>
  </w:style>
  <w:style w:type="character" w:styleId="12">
    <w:name w:val="page number"/>
    <w:basedOn w:val="10"/>
    <w:qFormat/>
    <w:uiPriority w:val="99"/>
    <w:rPr>
      <w:rFonts w:cs="Times New Roman"/>
    </w:rPr>
  </w:style>
  <w:style w:type="character" w:styleId="13">
    <w:name w:val="FollowedHyperlink"/>
    <w:basedOn w:val="10"/>
    <w:qFormat/>
    <w:uiPriority w:val="99"/>
    <w:rPr>
      <w:rFonts w:cs="Times New Roman"/>
      <w:color w:val="222222"/>
      <w:u w:val="none"/>
    </w:rPr>
  </w:style>
  <w:style w:type="character" w:styleId="14">
    <w:name w:val="Hyperlink"/>
    <w:basedOn w:val="10"/>
    <w:qFormat/>
    <w:uiPriority w:val="99"/>
    <w:rPr>
      <w:rFonts w:cs="Times New Roman"/>
      <w:color w:val="222222"/>
      <w:u w:val="none"/>
    </w:rPr>
  </w:style>
  <w:style w:type="character" w:customStyle="1" w:styleId="15">
    <w:name w:val="Heading 1 Char"/>
    <w:basedOn w:val="10"/>
    <w:link w:val="2"/>
    <w:qFormat/>
    <w:locked/>
    <w:uiPriority w:val="99"/>
    <w:rPr>
      <w:rFonts w:ascii="Calibri" w:hAnsi="Calibri" w:cs="Times New Roman"/>
      <w:b/>
      <w:bCs/>
      <w:kern w:val="44"/>
      <w:sz w:val="44"/>
      <w:szCs w:val="44"/>
    </w:rPr>
  </w:style>
  <w:style w:type="character" w:customStyle="1" w:styleId="16">
    <w:name w:val="Heading 2 Char"/>
    <w:basedOn w:val="10"/>
    <w:link w:val="3"/>
    <w:semiHidden/>
    <w:qFormat/>
    <w:locked/>
    <w:uiPriority w:val="99"/>
    <w:rPr>
      <w:rFonts w:ascii="Cambria" w:hAnsi="Cambria" w:eastAsia="宋体" w:cs="Times New Roman"/>
      <w:b/>
      <w:bCs/>
      <w:sz w:val="32"/>
      <w:szCs w:val="32"/>
    </w:rPr>
  </w:style>
  <w:style w:type="character" w:customStyle="1" w:styleId="17">
    <w:name w:val="Heading 3 Char"/>
    <w:basedOn w:val="10"/>
    <w:link w:val="4"/>
    <w:semiHidden/>
    <w:qFormat/>
    <w:locked/>
    <w:uiPriority w:val="99"/>
    <w:rPr>
      <w:rFonts w:ascii="Calibri" w:hAnsi="Calibri" w:cs="Times New Roman"/>
      <w:b/>
      <w:bCs/>
      <w:sz w:val="32"/>
      <w:szCs w:val="32"/>
    </w:rPr>
  </w:style>
  <w:style w:type="character" w:customStyle="1" w:styleId="18">
    <w:name w:val="Date Char"/>
    <w:basedOn w:val="10"/>
    <w:link w:val="5"/>
    <w:semiHidden/>
    <w:qFormat/>
    <w:locked/>
    <w:uiPriority w:val="99"/>
    <w:rPr>
      <w:rFonts w:ascii="Calibri" w:hAnsi="Calibri" w:cs="Times New Roman"/>
    </w:rPr>
  </w:style>
  <w:style w:type="character" w:customStyle="1" w:styleId="19">
    <w:name w:val="Footer Char"/>
    <w:basedOn w:val="10"/>
    <w:link w:val="6"/>
    <w:semiHidden/>
    <w:qFormat/>
    <w:locked/>
    <w:uiPriority w:val="99"/>
    <w:rPr>
      <w:rFonts w:ascii="Calibri" w:hAnsi="Calibri" w:cs="Times New Roman"/>
      <w:sz w:val="18"/>
      <w:szCs w:val="18"/>
    </w:rPr>
  </w:style>
  <w:style w:type="character" w:customStyle="1" w:styleId="20">
    <w:name w:val="Header Char"/>
    <w:basedOn w:val="10"/>
    <w:link w:val="7"/>
    <w:semiHidden/>
    <w:qFormat/>
    <w:locked/>
    <w:uiPriority w:val="99"/>
    <w:rPr>
      <w:rFonts w:ascii="Calibri" w:hAnsi="Calibri" w:cs="Times New Roman"/>
      <w:sz w:val="18"/>
      <w:szCs w:val="18"/>
    </w:rPr>
  </w:style>
  <w:style w:type="paragraph" w:customStyle="1" w:styleId="21">
    <w:name w:val="列出段落1"/>
    <w:basedOn w:val="1"/>
    <w:qFormat/>
    <w:uiPriority w:val="99"/>
    <w:pPr>
      <w:ind w:firstLine="200" w:firstLineChars="200"/>
    </w:pPr>
  </w:style>
  <w:style w:type="paragraph" w:customStyle="1" w:styleId="22">
    <w:name w:val="Char"/>
    <w:basedOn w:val="1"/>
    <w:qFormat/>
    <w:uiPriority w:val="99"/>
    <w:rPr>
      <w:szCs w:val="24"/>
    </w:rPr>
  </w:style>
  <w:style w:type="character" w:customStyle="1" w:styleId="23">
    <w:name w:val="owl-numbers"/>
    <w:basedOn w:val="10"/>
    <w:qFormat/>
    <w:uiPriority w:val="99"/>
    <w:rPr>
      <w:rFonts w:cs="Times New Roman"/>
      <w:color w:val="FFFFFF"/>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2444</Words>
  <Characters>2513</Characters>
  <Lines>0</Lines>
  <Paragraphs>0</Paragraphs>
  <TotalTime>433</TotalTime>
  <ScaleCrop>false</ScaleCrop>
  <LinksUpToDate>false</LinksUpToDate>
  <CharactersWithSpaces>2717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2023-01-12T10:03:00Z</dcterms:created>
  <dc:creator>lenovo</dc:creator>
  <cp:lastModifiedBy>h</cp:lastModifiedBy>
  <cp:lastPrinted>2020-02-21T09:15:00Z</cp:lastPrinted>
  <dcterms:modified xsi:type="dcterms:W3CDTF">2023-01-31T03:16:36Z</dcterms:modified>
  <dc:title>忻州市发展和改革委员会</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9995F3D706484B57B82E6E3897FA0788</vt:lpwstr>
  </property>
</Properties>
</file>