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bookmarkStart w:id="17" w:name="_GoBack"/>
      <w:bookmarkEnd w:id="17"/>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eastAsia="仿宋_GB2312" w:cs="仿宋_GB2312"/>
          <w:color w:val="auto"/>
          <w:sz w:val="32"/>
          <w:u w:val="none"/>
        </w:rPr>
        <w:t>脱贫成效宣传总结</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eastAsia="仿宋_GB2312" w:cs="仿宋_GB2312"/>
          <w:color w:val="auto"/>
          <w:sz w:val="32"/>
          <w:u w:val="none"/>
        </w:rPr>
        <w:t>忻州市扶贫开发办公室</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eastAsia="仿宋_GB2312" w:cs="仿宋_GB2312"/>
          <w:color w:val="auto"/>
          <w:sz w:val="32"/>
          <w:u w:val="none"/>
        </w:rPr>
        <w:t>忻州市扶贫开发办公室-303</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加大脱贫攻坚成果的总结宣传力度，深入宣传脱贫攻坚伟大成就，为全面脱贫、全面小康，全力推进乡村振兴营造浓厚氛围。</w:t>
      </w:r>
    </w:p>
    <w:p>
      <w:pPr>
        <w:pStyle w:val="44"/>
        <w:ind w:left="280" w:firstLine="562"/>
        <w:rPr>
          <w:lang w:eastAsia="zh-CN"/>
        </w:rPr>
      </w:pPr>
      <w:r>
        <w:rPr>
          <w:rFonts w:hint="eastAsia"/>
          <w:b/>
          <w:bCs/>
          <w:lang w:val="en-US" w:eastAsia="zh-CN"/>
        </w:rPr>
        <w:t>立项依据：</w:t>
      </w:r>
      <w:r>
        <w:rPr>
          <w:rFonts w:hint="eastAsia"/>
          <w:lang w:eastAsia="zh-CN"/>
        </w:rPr>
        <w:t>《山西省脱贫攻坚收官总结宣传工作方案》（晋脱贫攻坚组2020 21号）</w:t>
      </w:r>
    </w:p>
    <w:p>
      <w:pPr>
        <w:pStyle w:val="44"/>
        <w:ind w:left="280" w:firstLine="562"/>
        <w:rPr>
          <w:lang w:eastAsia="zh-CN"/>
        </w:rPr>
      </w:pPr>
      <w:r>
        <w:rPr>
          <w:rFonts w:hint="eastAsia"/>
          <w:b/>
          <w:bCs/>
          <w:lang w:val="en-US" w:eastAsia="zh-CN"/>
        </w:rPr>
        <w:t>设立的必要性：</w:t>
      </w:r>
      <w:r>
        <w:rPr>
          <w:rFonts w:hint="eastAsia"/>
          <w:lang w:eastAsia="zh-CN"/>
        </w:rPr>
        <w:t>按照习近平总书记“脱贫攻坚不仅要做得好，而且要讲得好”的重要指示，系统梳理脱贫攻坚经验做法、先进典型和脱贫模范，推出一批有影响力的重大成果，传播忻州扶贫声音，展示忻州脱贫攻坚的生动实践、非凡成就和宝贵经验，为决胜全面小康、推进乡村振兴增添持续奋进动力。</w:t>
      </w:r>
    </w:p>
    <w:p>
      <w:pPr>
        <w:pStyle w:val="44"/>
        <w:ind w:left="280" w:firstLine="562"/>
        <w:rPr>
          <w:lang w:eastAsia="zh-CN"/>
        </w:rPr>
      </w:pPr>
      <w:r>
        <w:rPr>
          <w:rFonts w:hint="eastAsia"/>
          <w:b/>
          <w:bCs/>
          <w:lang w:val="en-US" w:eastAsia="zh-CN"/>
        </w:rPr>
        <w:t>保证项目实施的措施与制度：</w:t>
      </w:r>
      <w:r>
        <w:rPr>
          <w:rFonts w:hint="eastAsia"/>
          <w:lang w:eastAsia="zh-CN"/>
        </w:rPr>
        <w:t>高质量总结、多层级联动、广覆盖宣传。</w:t>
      </w:r>
    </w:p>
    <w:p>
      <w:pPr>
        <w:pStyle w:val="44"/>
        <w:ind w:left="280" w:firstLine="562"/>
        <w:rPr>
          <w:lang w:eastAsia="zh-CN"/>
        </w:rPr>
      </w:pPr>
      <w:r>
        <w:rPr>
          <w:rFonts w:hint="eastAsia"/>
          <w:b/>
          <w:bCs/>
          <w:lang w:val="en-US" w:eastAsia="zh-CN"/>
        </w:rPr>
        <w:t>项目实施计划：</w:t>
      </w:r>
      <w:r>
        <w:rPr>
          <w:rFonts w:hint="eastAsia"/>
          <w:lang w:eastAsia="zh-CN"/>
        </w:rPr>
        <w:t>一是全面全面总结整体工作，系统总结专项工作，深度总结先进做法，案例总结典型经验，提炼弘扬脱贫精神。二是把脱贫攻坚总结宣传工作作为一项系统工程抓实抓细，有机衔接、有序推进、有效运转，形成上下互动、部门协同、内外联动的工作机制。三是帮销助销农特产品活动。建载体、搭平台、选路子，探索消费扶贫新模式，帮销助销贫困群众农特产品，有效缓解销售难问题。四是妥处涉贫信访舆情。全面加强涉贫舆情监测预警，建立健全协同处置工作机制，分类研判，妥善处置。对热点、敏感的涉贫舆情，及时核查办理、及时回应关切，有力有效引导。全力做好涉贫信访核处工作，及时解决群众合理诉求，有效化解矛盾。</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全面总结整体工作，系统总结专项工作，深度总结先进做法，案例总结典型经验，提炼弘扬脱贫精神；宣传总结脱贫攻坚工作实践、非凡成就和宝贵经验。为推进乡村振兴增添动力。</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全面总结整体工作，系统总结专项工作，深度总结先进做法，案例总结典型经验，提炼弘扬脱贫精神；宣传总结脱贫攻坚工作实践、非凡成就和宝贵经验。为推进乡村振兴增添动力。</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auto"/>
          <w:u w:val="none"/>
        </w:rPr>
        <w:t>脱贫成效宣传总结</w:t>
      </w:r>
      <w:r>
        <w:rPr>
          <w:rFonts w:hint="eastAsia"/>
          <w:lang w:eastAsia="zh-CN"/>
        </w:rPr>
        <w:t>项目绩效自评价结果为:总得分</w:t>
      </w:r>
      <w:r>
        <w:rPr>
          <w:color w:val="auto"/>
          <w:u w:val="none"/>
        </w:rPr>
        <w:t>100</w:t>
      </w:r>
      <w:r>
        <w:rPr>
          <w:rFonts w:hint="eastAsia"/>
          <w:lang w:eastAsia="zh-CN"/>
        </w:rPr>
        <w:t>分，属于"</w:t>
      </w:r>
      <w:r>
        <w:rPr>
          <w:color w:val="auto"/>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宣传活动举办次数（次）</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宣传资料质量达标率（%）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达100%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宣传知晓率（%）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宣传天数（天）</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一年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宣传资料印刷成本（元）</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30万元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展示忻州脱贫攻坚的实践、成就和经验</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为推进乡村振兴持续增添动力</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宣传对象满意度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预算执行率100%</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推出一批有重大影响力的成果，展现忻州乡村振兴生动实践探索，传播忻州乡村振兴声音，为推进全面振兴增添持续奋进动力。</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营造了以经济社会发展统揽巩固脱贫成果同乡村振兴有效衔接的良好氛围。</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满意度100%</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创设性的成立巩固拓展脱贫攻坚成果同乡村振兴有效衔接领导小组，成立由宣传部门牵头的工作小组，在制度层面保障了宣传工作开展。</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部分政策宣传还存在不及时，在舆论导向方面还不够主动。</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安排专人负责公众号和网站的运营维护，及时更新有关内容，按要求组织各级乡村振兴机构、驻村工作对进村入户做好宣传工作。</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宣传活动举办次数（次）</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2次</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宣传资料质量达标率（%）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达100%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宣传知晓率（%）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宣传天数（天）</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一年</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宣传资料印刷成本（元）</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30万元</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展示忻州脱贫攻坚的实践、成就和经验</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为推进乡村振兴持续增添动力</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宣传对象满意度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54B04A4C"/>
    <w:rsid w:val="64F07B59"/>
    <w:rsid w:val="72353EE7"/>
    <w:rsid w:val="7246016D"/>
    <w:rsid w:val="7F2E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2899</TotalTime>
  <ScaleCrop>false</ScaleCrop>
  <LinksUpToDate>false</LinksUpToDate>
  <CharactersWithSpaces>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2020-07-13T07:59:00Z</dcterms:created>
  <dc:creator>qq</dc:creator>
  <cp:lastModifiedBy>Administrator</cp:lastModifiedBy>
  <dcterms:modified xsi:type="dcterms:W3CDTF">2022-09-28T03:48:47Z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F88E91001AE3485082CC9111EF648954</vt:lpwstr>
  </property>
</Properties>
</file>