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忻州市城市管理局“双公示”目录</w:t>
      </w:r>
    </w:p>
    <w:tbl>
      <w:tblPr>
        <w:tblStyle w:val="5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00"/>
        <w:gridCol w:w="1995"/>
        <w:gridCol w:w="2595"/>
        <w:gridCol w:w="463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行政决定部门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行政职权类别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4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设定依据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关闭、闲置、拆除城市环卫设施许可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《中华人民共和国固体废物污染环境防治法》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2016年修正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第四十四条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《城市市容和环境卫生管理条例》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1992年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国务院令第101号发布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2017年修正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第二十二条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从事生活垃圾（含粪便）经营性清扫、收集、运输、处理服务审批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《国务院对确需保留的行政审批项目设定行政许可的决定》（2004年6月29日国务院令第412号，2009年1月29日予以修改）附件第102项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特殊车辆在城市道路上行驶（包括经过城市桥梁）审批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《城市道路管理条例》（1996年6月4日国务院令第198号，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2019年修正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）第二十八条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时性建筑物搭建、堆放物料、占道施工审批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《城市市容和环境卫生管理条例》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1992年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国务院令第101号发布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2017年修正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第十四条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改变绿化规划、绿化用地的使用性质审批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《国务院对确需保留的行政审批项目设定行政许可的决定》（2004年6月29日国务院令第412号，2016年8月25日予以修改）附件第107项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忻州市城市管理局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停止供气审批</w:t>
            </w:r>
          </w:p>
        </w:tc>
        <w:tc>
          <w:tcPr>
            <w:tcW w:w="463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【行政法规】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《城镇燃气管理条例》（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2010年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国务院令第583号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发布，2016年修正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）第二十条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法人和其他组织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6838" w:h="11906" w:orient="landscape"/>
      <w:pgMar w:top="1463" w:right="1383" w:bottom="1463" w:left="138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0065"/>
    <w:rsid w:val="0D372AEB"/>
    <w:rsid w:val="10DA4A96"/>
    <w:rsid w:val="18C84911"/>
    <w:rsid w:val="1AF44AAF"/>
    <w:rsid w:val="24805AE9"/>
    <w:rsid w:val="2CE26CD2"/>
    <w:rsid w:val="32451E73"/>
    <w:rsid w:val="35607EF6"/>
    <w:rsid w:val="38B204B2"/>
    <w:rsid w:val="51C575C2"/>
    <w:rsid w:val="5C43634F"/>
    <w:rsid w:val="60D94AF1"/>
    <w:rsid w:val="724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2019-08-06T10:11:00Z</dcterms:created>
  <dc:creator>Administrator</dc:creator>
  <cp:lastModifiedBy>今生有你</cp:lastModifiedBy>
  <dcterms:modified xsi:type="dcterms:W3CDTF">2020-04-15T00:32:20Z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