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eastAsia="宋体"/>
          <w:b/>
          <w:sz w:val="44"/>
          <w:szCs w:val="44"/>
        </w:rPr>
      </w:pPr>
    </w:p>
    <w:p>
      <w:pPr>
        <w:spacing w:line="560" w:lineRule="exact"/>
        <w:jc w:val="center"/>
        <w:rPr>
          <w:rFonts w:ascii="宋体" w:hAnsi="宋体" w:eastAsia="宋体"/>
          <w:b/>
          <w:sz w:val="44"/>
          <w:szCs w:val="44"/>
        </w:rPr>
      </w:pPr>
    </w:p>
    <w:p>
      <w:pPr>
        <w:spacing w:line="560" w:lineRule="exact"/>
        <w:jc w:val="center"/>
        <w:rPr>
          <w:rFonts w:ascii="宋体" w:hAnsi="宋体" w:eastAsia="宋体"/>
          <w:b/>
          <w:sz w:val="44"/>
          <w:szCs w:val="44"/>
        </w:rPr>
      </w:pPr>
    </w:p>
    <w:p>
      <w:pPr>
        <w:spacing w:line="560" w:lineRule="exact"/>
        <w:ind w:firstLine="442" w:firstLineChars="100"/>
        <w:jc w:val="both"/>
        <w:rPr>
          <w:rFonts w:hint="eastAsia" w:ascii="宋体" w:hAnsi="宋体" w:eastAsia="宋体"/>
          <w:b/>
          <w:sz w:val="44"/>
          <w:szCs w:val="44"/>
        </w:rPr>
      </w:pPr>
    </w:p>
    <w:p>
      <w:pPr>
        <w:spacing w:line="560" w:lineRule="exact"/>
        <w:ind w:firstLine="442" w:firstLineChars="100"/>
        <w:jc w:val="both"/>
        <w:rPr>
          <w:rFonts w:ascii="宋体" w:hAnsi="宋体" w:eastAsia="宋体"/>
          <w:b/>
          <w:sz w:val="44"/>
          <w:szCs w:val="44"/>
        </w:rPr>
      </w:pPr>
      <w:r>
        <w:rPr>
          <w:rFonts w:hint="eastAsia" w:ascii="宋体" w:hAnsi="宋体" w:eastAsia="宋体"/>
          <w:b/>
          <w:sz w:val="44"/>
          <w:szCs w:val="44"/>
        </w:rPr>
        <w:t>忻州市</w:t>
      </w:r>
      <w:r>
        <w:rPr>
          <w:rFonts w:hint="eastAsia" w:ascii="宋体" w:hAnsi="宋体" w:eastAsia="宋体"/>
          <w:b/>
          <w:sz w:val="44"/>
          <w:szCs w:val="44"/>
          <w:lang w:eastAsia="zh-CN"/>
        </w:rPr>
        <w:t>防震减灾中心</w:t>
      </w:r>
      <w:r>
        <w:rPr>
          <w:rFonts w:hint="eastAsia" w:ascii="宋体" w:hAnsi="宋体" w:eastAsia="宋体"/>
          <w:b/>
          <w:sz w:val="44"/>
          <w:szCs w:val="44"/>
        </w:rPr>
        <w:t>20</w:t>
      </w:r>
      <w:r>
        <w:rPr>
          <w:rFonts w:hint="eastAsia" w:ascii="宋体" w:hAnsi="宋体"/>
          <w:b/>
          <w:sz w:val="44"/>
          <w:szCs w:val="44"/>
          <w:lang w:val="en-US" w:eastAsia="zh-CN"/>
        </w:rPr>
        <w:t>21</w:t>
      </w:r>
      <w:r>
        <w:rPr>
          <w:rFonts w:hint="eastAsia" w:ascii="宋体" w:hAnsi="宋体" w:eastAsia="宋体"/>
          <w:b/>
          <w:sz w:val="44"/>
          <w:szCs w:val="44"/>
        </w:rPr>
        <w:t>年度部门决算公开</w:t>
      </w:r>
    </w:p>
    <w:p>
      <w:pPr>
        <w:spacing w:line="560" w:lineRule="exact"/>
        <w:jc w:val="center"/>
        <w:rPr>
          <w:rFonts w:ascii="宋体" w:hAnsi="宋体" w:eastAsia="宋体"/>
          <w:b/>
          <w:sz w:val="44"/>
          <w:szCs w:val="44"/>
        </w:rPr>
      </w:pPr>
    </w:p>
    <w:p>
      <w:pPr>
        <w:spacing w:line="600" w:lineRule="exact"/>
        <w:ind w:firstLine="640" w:firstLineChars="200"/>
        <w:rPr>
          <w:rFonts w:ascii="黑体" w:eastAsia="黑体"/>
          <w:sz w:val="32"/>
          <w:szCs w:val="32"/>
        </w:rPr>
      </w:pPr>
      <w:r>
        <w:rPr>
          <w:rFonts w:hint="eastAsia" w:ascii="黑体" w:eastAsia="黑体"/>
          <w:sz w:val="32"/>
          <w:szCs w:val="32"/>
        </w:rPr>
        <w:t>第一部分    概况</w:t>
      </w:r>
    </w:p>
    <w:p>
      <w:pPr>
        <w:spacing w:line="600" w:lineRule="exact"/>
        <w:ind w:firstLine="640" w:firstLineChars="200"/>
        <w:rPr>
          <w:rFonts w:ascii="仿宋" w:hAnsi="仿宋" w:eastAsia="仿宋" w:cs="仿宋"/>
          <w:sz w:val="32"/>
          <w:szCs w:val="32"/>
        </w:rPr>
      </w:pPr>
      <w:r>
        <w:rPr>
          <w:rFonts w:hint="eastAsia" w:ascii="仿宋" w:hAnsi="仿宋" w:eastAsia="仿宋" w:cs="仿宋"/>
          <w:kern w:val="0"/>
          <w:sz w:val="32"/>
          <w:szCs w:val="32"/>
        </w:rPr>
        <w:t>忻州市地震工作机构成立于1975年，20</w:t>
      </w:r>
      <w:r>
        <w:rPr>
          <w:rFonts w:hint="eastAsia" w:ascii="仿宋" w:hAnsi="仿宋" w:eastAsia="仿宋" w:cs="仿宋"/>
          <w:kern w:val="0"/>
          <w:sz w:val="32"/>
          <w:szCs w:val="32"/>
          <w:lang w:val="en-US" w:eastAsia="zh-CN"/>
        </w:rPr>
        <w:t>19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机构改革</w:t>
      </w:r>
      <w:r>
        <w:rPr>
          <w:rFonts w:hint="eastAsia" w:ascii="仿宋" w:hAnsi="仿宋" w:eastAsia="仿宋" w:cs="仿宋"/>
          <w:kern w:val="0"/>
          <w:sz w:val="32"/>
          <w:szCs w:val="32"/>
        </w:rPr>
        <w:t>更名为忻州市</w:t>
      </w:r>
      <w:r>
        <w:rPr>
          <w:rFonts w:hint="eastAsia" w:ascii="仿宋" w:hAnsi="仿宋" w:eastAsia="仿宋" w:cs="仿宋"/>
          <w:kern w:val="0"/>
          <w:sz w:val="32"/>
          <w:szCs w:val="32"/>
          <w:lang w:eastAsia="zh-CN"/>
        </w:rPr>
        <w:t>防震减灾中心</w:t>
      </w:r>
      <w:r>
        <w:rPr>
          <w:rFonts w:hint="eastAsia" w:ascii="仿宋" w:hAnsi="仿宋" w:eastAsia="仿宋" w:cs="仿宋"/>
          <w:kern w:val="0"/>
          <w:sz w:val="32"/>
          <w:szCs w:val="32"/>
        </w:rPr>
        <w:t>，</w:t>
      </w:r>
      <w:r>
        <w:rPr>
          <w:rFonts w:hint="eastAsia" w:ascii="仿宋" w:hAnsi="仿宋" w:eastAsia="仿宋" w:cs="仿宋"/>
          <w:kern w:val="0"/>
          <w:sz w:val="32"/>
          <w:szCs w:val="32"/>
          <w:lang w:eastAsia="zh-CN"/>
        </w:rPr>
        <w:t>是</w:t>
      </w:r>
      <w:r>
        <w:rPr>
          <w:rFonts w:hint="eastAsia" w:ascii="仿宋" w:hAnsi="仿宋" w:eastAsia="仿宋" w:cs="仿宋"/>
          <w:kern w:val="0"/>
          <w:sz w:val="32"/>
          <w:szCs w:val="32"/>
        </w:rPr>
        <w:t>市</w:t>
      </w:r>
      <w:r>
        <w:rPr>
          <w:rFonts w:hint="eastAsia" w:ascii="仿宋" w:hAnsi="仿宋" w:eastAsia="仿宋" w:cs="仿宋"/>
          <w:kern w:val="0"/>
          <w:sz w:val="32"/>
          <w:szCs w:val="32"/>
          <w:lang w:eastAsia="zh-CN"/>
        </w:rPr>
        <w:t>应急管理局管理的正处级</w:t>
      </w:r>
      <w:r>
        <w:rPr>
          <w:rFonts w:hint="eastAsia" w:ascii="仿宋" w:hAnsi="仿宋" w:eastAsia="仿宋" w:cs="仿宋"/>
          <w:kern w:val="0"/>
          <w:sz w:val="32"/>
          <w:szCs w:val="32"/>
        </w:rPr>
        <w:t>事业单位，</w:t>
      </w:r>
      <w:r>
        <w:rPr>
          <w:rFonts w:hint="eastAsia" w:ascii="仿宋" w:hAnsi="仿宋" w:eastAsia="仿宋" w:cs="仿宋"/>
          <w:kern w:val="0"/>
          <w:sz w:val="32"/>
          <w:szCs w:val="32"/>
          <w:lang w:eastAsia="zh-CN"/>
        </w:rPr>
        <w:t>接受山西省地震局业务指导，为公益一类。</w:t>
      </w:r>
      <w:r>
        <w:rPr>
          <w:rFonts w:hint="eastAsia" w:ascii="仿宋" w:hAnsi="仿宋" w:eastAsia="仿宋" w:cs="仿宋"/>
          <w:kern w:val="0"/>
          <w:sz w:val="32"/>
          <w:szCs w:val="32"/>
        </w:rPr>
        <w:t>编制</w:t>
      </w:r>
      <w:r>
        <w:rPr>
          <w:rFonts w:hint="eastAsia" w:ascii="仿宋" w:hAnsi="仿宋" w:eastAsia="仿宋" w:cs="仿宋"/>
          <w:kern w:val="0"/>
          <w:sz w:val="32"/>
          <w:szCs w:val="32"/>
          <w:lang w:val="en-US" w:eastAsia="zh-CN"/>
        </w:rPr>
        <w:t>16</w:t>
      </w:r>
      <w:r>
        <w:rPr>
          <w:rFonts w:hint="eastAsia" w:ascii="仿宋" w:hAnsi="仿宋" w:eastAsia="仿宋" w:cs="仿宋"/>
          <w:kern w:val="0"/>
          <w:sz w:val="32"/>
          <w:szCs w:val="32"/>
        </w:rPr>
        <w:t>名，实有2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人</w:t>
      </w:r>
      <w:r>
        <w:rPr>
          <w:rFonts w:hint="eastAsia" w:ascii="仿宋" w:hAnsi="仿宋" w:eastAsia="仿宋" w:cs="仿宋"/>
          <w:kern w:val="0"/>
          <w:sz w:val="32"/>
          <w:szCs w:val="32"/>
          <w:lang w:eastAsia="zh-CN"/>
        </w:rPr>
        <w:t>。</w:t>
      </w:r>
    </w:p>
    <w:p>
      <w:pPr>
        <w:numPr>
          <w:ilvl w:val="0"/>
          <w:numId w:val="1"/>
        </w:numPr>
        <w:ind w:firstLine="643" w:firstLineChars="200"/>
        <w:rPr>
          <w:rFonts w:hint="eastAsia" w:ascii="楷体" w:hAnsi="楷体" w:eastAsia="楷体" w:cs="仿宋"/>
          <w:b/>
          <w:kern w:val="0"/>
          <w:sz w:val="32"/>
          <w:szCs w:val="32"/>
        </w:rPr>
      </w:pPr>
      <w:r>
        <w:rPr>
          <w:rFonts w:hint="eastAsia" w:ascii="楷体" w:hAnsi="楷体" w:eastAsia="楷体" w:cs="仿宋"/>
          <w:b/>
          <w:kern w:val="0"/>
          <w:sz w:val="32"/>
          <w:szCs w:val="32"/>
        </w:rPr>
        <w:t>本部门职责</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rPr>
        <w:t>市防震减灾中心的主要职责是</w:t>
      </w:r>
      <w:r>
        <w:rPr>
          <w:rFonts w:hint="eastAsia" w:ascii="仿宋_GB2312" w:hAnsi="仿宋_GB2312" w:eastAsia="仿宋_GB2312" w:cs="仿宋_GB2312"/>
          <w:sz w:val="32"/>
          <w:szCs w:val="32"/>
        </w:rPr>
        <w:t>：</w:t>
      </w:r>
    </w:p>
    <w:p>
      <w:pPr>
        <w:ind w:firstLine="640" w:firstLineChars="200"/>
        <w:rPr>
          <w:rFonts w:hint="eastAsia" w:ascii="仿宋_GB2312" w:eastAsia="仿宋_GB2312"/>
          <w:sz w:val="32"/>
          <w:szCs w:val="32"/>
          <w:u w:val="none"/>
        </w:rPr>
      </w:pPr>
      <w:r>
        <w:rPr>
          <w:rFonts w:hint="eastAsia" w:ascii="仿宋_GB2312" w:eastAsia="仿宋_GB2312"/>
          <w:sz w:val="32"/>
          <w:szCs w:val="32"/>
        </w:rPr>
        <w:t>（一）</w:t>
      </w:r>
      <w:r>
        <w:rPr>
          <w:rFonts w:hint="eastAsia" w:ascii="仿宋_GB2312" w:eastAsia="仿宋_GB2312"/>
          <w:sz w:val="32"/>
          <w:szCs w:val="32"/>
          <w:u w:val="none"/>
        </w:rPr>
        <w:t>坚持和加强党对防震减灾工作的集中统一领导，贯彻执行国家防震减灾工作发展战略、方针政策、法律法规、</w:t>
      </w:r>
      <w:r>
        <w:rPr>
          <w:rFonts w:hint="eastAsia" w:ascii="仿宋_GB2312" w:hAnsi="仿宋_GB2312" w:eastAsia="仿宋_GB2312" w:cs="仿宋_GB2312"/>
          <w:sz w:val="32"/>
          <w:szCs w:val="32"/>
          <w:u w:val="none"/>
        </w:rPr>
        <w:t>地震行业标准和市委、市政府以及上级</w:t>
      </w:r>
      <w:r>
        <w:rPr>
          <w:rFonts w:hint="eastAsia" w:ascii="仿宋_GB2312" w:eastAsia="仿宋_GB2312"/>
          <w:sz w:val="32"/>
          <w:szCs w:val="32"/>
          <w:u w:val="none"/>
        </w:rPr>
        <w:t>业务主管部门的防震减灾决策部署。</w:t>
      </w:r>
    </w:p>
    <w:p>
      <w:pPr>
        <w:ind w:firstLine="640" w:firstLineChars="200"/>
        <w:rPr>
          <w:rFonts w:hint="eastAsia" w:ascii="仿宋_GB2312" w:eastAsia="仿宋_GB2312"/>
          <w:sz w:val="32"/>
          <w:szCs w:val="32"/>
        </w:rPr>
      </w:pPr>
      <w:r>
        <w:rPr>
          <w:rFonts w:hint="eastAsia" w:ascii="仿宋_GB2312" w:eastAsia="仿宋_GB2312"/>
          <w:sz w:val="32"/>
          <w:szCs w:val="32"/>
        </w:rPr>
        <w:t>（二）参与编制全市防震减灾规划和地震灾区恢复重建规划，为国土功能规划、城乡建设规划等提出防震减灾建议。</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（三）</w:t>
      </w:r>
      <w:r>
        <w:rPr>
          <w:rFonts w:hint="eastAsia" w:ascii="仿宋_GB2312" w:eastAsia="仿宋_GB2312"/>
          <w:sz w:val="32"/>
          <w:szCs w:val="32"/>
          <w:u w:val="none"/>
        </w:rPr>
        <w:t>承担</w:t>
      </w:r>
      <w:r>
        <w:rPr>
          <w:rFonts w:hint="eastAsia" w:ascii="仿宋_GB2312" w:eastAsia="仿宋_GB2312"/>
          <w:sz w:val="32"/>
          <w:szCs w:val="32"/>
        </w:rPr>
        <w:t>全市地震监测和预警工作。承担全市地震监测台站和预警台网建设维护工作。</w:t>
      </w:r>
      <w:r>
        <w:rPr>
          <w:rFonts w:hint="eastAsia" w:ascii="仿宋_GB2312" w:eastAsia="仿宋_GB2312"/>
          <w:sz w:val="32"/>
          <w:szCs w:val="32"/>
          <w:lang w:eastAsia="zh-CN"/>
        </w:rPr>
        <w:t>保护辖区内地震监测、预警设施和环境。</w:t>
      </w:r>
    </w:p>
    <w:p>
      <w:pPr>
        <w:ind w:firstLine="640" w:firstLineChars="200"/>
        <w:rPr>
          <w:rFonts w:hint="eastAsia"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u w:val="none"/>
        </w:rPr>
        <w:t>承担</w:t>
      </w:r>
      <w:r>
        <w:rPr>
          <w:rFonts w:hint="eastAsia" w:ascii="仿宋_GB2312" w:eastAsia="仿宋_GB2312"/>
          <w:sz w:val="32"/>
          <w:szCs w:val="32"/>
        </w:rPr>
        <w:t>全市震情跟踪</w:t>
      </w:r>
      <w:r>
        <w:rPr>
          <w:rFonts w:hint="eastAsia" w:ascii="仿宋_GB2312" w:eastAsia="仿宋_GB2312"/>
          <w:sz w:val="32"/>
          <w:szCs w:val="32"/>
          <w:lang w:eastAsia="zh-CN"/>
        </w:rPr>
        <w:t>和</w:t>
      </w:r>
      <w:r>
        <w:rPr>
          <w:rFonts w:hint="eastAsia" w:ascii="仿宋_GB2312" w:eastAsia="仿宋_GB2312"/>
          <w:sz w:val="32"/>
          <w:szCs w:val="32"/>
        </w:rPr>
        <w:t>地震预测工作，组织地震宏微观异常落实</w:t>
      </w:r>
      <w:r>
        <w:rPr>
          <w:rFonts w:hint="eastAsia" w:ascii="仿宋_GB2312" w:eastAsia="仿宋_GB2312"/>
          <w:sz w:val="32"/>
          <w:szCs w:val="32"/>
          <w:lang w:eastAsia="zh-CN"/>
        </w:rPr>
        <w:t>，参与区域性地震联防工作</w:t>
      </w:r>
      <w:r>
        <w:rPr>
          <w:rFonts w:hint="eastAsia" w:ascii="仿宋_GB2312" w:eastAsia="仿宋_GB2312"/>
          <w:sz w:val="32"/>
          <w:szCs w:val="32"/>
        </w:rPr>
        <w:t>，组织全市震情会商，提出地震预测意见。承担全市地震观测数据分析处理任务。</w:t>
      </w:r>
    </w:p>
    <w:p>
      <w:pPr>
        <w:ind w:firstLine="640" w:firstLineChars="200"/>
        <w:rPr>
          <w:rFonts w:hint="eastAsia" w:ascii="仿宋_GB2312" w:eastAsia="仿宋_GB2312"/>
          <w:sz w:val="32"/>
          <w:szCs w:val="32"/>
        </w:rPr>
      </w:pPr>
      <w:r>
        <w:rPr>
          <w:rFonts w:hint="eastAsia" w:ascii="仿宋_GB2312" w:eastAsia="仿宋_GB2312"/>
          <w:sz w:val="32"/>
          <w:szCs w:val="32"/>
        </w:rPr>
        <w:t>（五）承担开展地震小区划、地震活动断层探测、地震 地质构造研究等震害防御基础工作。</w:t>
      </w:r>
    </w:p>
    <w:p>
      <w:pPr>
        <w:ind w:firstLine="640" w:firstLineChars="200"/>
        <w:rPr>
          <w:rFonts w:hint="eastAsia" w:ascii="仿宋_GB2312" w:eastAsia="仿宋_GB2312"/>
          <w:sz w:val="32"/>
          <w:szCs w:val="32"/>
        </w:rPr>
      </w:pPr>
      <w:r>
        <w:rPr>
          <w:rFonts w:hint="eastAsia" w:ascii="仿宋_GB2312" w:eastAsia="仿宋_GB2312"/>
          <w:sz w:val="32"/>
          <w:szCs w:val="32"/>
        </w:rPr>
        <w:t>（六）承担震情信息报送、地震现场震情监测等工作，协助开展</w:t>
      </w:r>
      <w:r>
        <w:rPr>
          <w:rFonts w:hint="eastAsia" w:ascii="仿宋_GB2312" w:eastAsia="仿宋_GB2312"/>
          <w:sz w:val="32"/>
          <w:szCs w:val="32"/>
          <w:lang w:eastAsia="zh-CN"/>
        </w:rPr>
        <w:t>地震</w:t>
      </w:r>
      <w:r>
        <w:rPr>
          <w:rFonts w:hint="eastAsia" w:ascii="仿宋_GB2312" w:eastAsia="仿宋_GB2312"/>
          <w:sz w:val="32"/>
          <w:szCs w:val="32"/>
        </w:rPr>
        <w:t>烈度评定、</w:t>
      </w:r>
      <w:r>
        <w:rPr>
          <w:rFonts w:hint="eastAsia" w:ascii="仿宋_GB2312" w:eastAsia="仿宋_GB2312"/>
          <w:sz w:val="32"/>
          <w:szCs w:val="32"/>
          <w:lang w:eastAsia="zh-CN"/>
        </w:rPr>
        <w:t>地震</w:t>
      </w:r>
      <w:r>
        <w:rPr>
          <w:rFonts w:hint="eastAsia" w:ascii="仿宋_GB2312" w:eastAsia="仿宋_GB2312"/>
          <w:sz w:val="32"/>
          <w:szCs w:val="32"/>
        </w:rPr>
        <w:t>灾害调查与损失评估工作。</w:t>
      </w:r>
    </w:p>
    <w:p>
      <w:pPr>
        <w:ind w:firstLine="640" w:firstLineChars="200"/>
        <w:rPr>
          <w:rFonts w:hint="eastAsia" w:ascii="仿宋_GB2312" w:eastAsia="仿宋_GB2312"/>
          <w:sz w:val="32"/>
          <w:szCs w:val="32"/>
        </w:rPr>
      </w:pPr>
      <w:r>
        <w:rPr>
          <w:rFonts w:hint="eastAsia" w:ascii="仿宋_GB2312" w:eastAsia="仿宋_GB2312"/>
          <w:sz w:val="32"/>
          <w:szCs w:val="32"/>
        </w:rPr>
        <w:t>（七）开展防震减灾知识宣传教育工作。</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承办市委、市政府和市应急管理局交办的其他任务。</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内设机构：</w:t>
      </w:r>
    </w:p>
    <w:p>
      <w:pPr>
        <w:spacing w:line="600" w:lineRule="exact"/>
        <w:ind w:firstLine="640" w:firstLineChars="200"/>
        <w:rPr>
          <w:rFonts w:ascii="仿宋" w:hAnsi="仿宋" w:eastAsia="仿宋" w:cs="仿宋"/>
          <w:kern w:val="0"/>
          <w:sz w:val="32"/>
          <w:szCs w:val="32"/>
        </w:rPr>
      </w:pPr>
      <w:r>
        <w:rPr>
          <w:rFonts w:hint="eastAsia" w:ascii="仿宋" w:hAnsi="仿宋" w:eastAsia="仿宋"/>
          <w:sz w:val="32"/>
          <w:szCs w:val="32"/>
        </w:rPr>
        <w:t>忻州市</w:t>
      </w:r>
      <w:r>
        <w:rPr>
          <w:rFonts w:hint="eastAsia" w:ascii="仿宋" w:hAnsi="仿宋" w:eastAsia="仿宋"/>
          <w:sz w:val="32"/>
          <w:szCs w:val="32"/>
          <w:lang w:eastAsia="zh-CN"/>
        </w:rPr>
        <w:t>防震减灾中心</w:t>
      </w:r>
      <w:r>
        <w:rPr>
          <w:rFonts w:hint="eastAsia" w:ascii="仿宋" w:hAnsi="仿宋" w:eastAsia="仿宋"/>
          <w:sz w:val="32"/>
          <w:szCs w:val="32"/>
        </w:rPr>
        <w:t>内设机构为办公室、</w:t>
      </w:r>
      <w:r>
        <w:rPr>
          <w:rFonts w:hint="eastAsia" w:ascii="仿宋" w:hAnsi="仿宋" w:eastAsia="仿宋"/>
          <w:sz w:val="32"/>
          <w:szCs w:val="32"/>
          <w:lang w:eastAsia="zh-CN"/>
        </w:rPr>
        <w:t>震情监测科</w:t>
      </w:r>
      <w:r>
        <w:rPr>
          <w:rFonts w:hint="eastAsia" w:ascii="仿宋" w:hAnsi="仿宋" w:eastAsia="仿宋"/>
          <w:sz w:val="32"/>
          <w:szCs w:val="32"/>
        </w:rPr>
        <w:t>、</w:t>
      </w:r>
      <w:r>
        <w:rPr>
          <w:rFonts w:hint="eastAsia" w:ascii="仿宋" w:hAnsi="仿宋" w:eastAsia="仿宋"/>
          <w:sz w:val="32"/>
          <w:szCs w:val="32"/>
          <w:lang w:eastAsia="zh-CN"/>
        </w:rPr>
        <w:t>震灾防御科</w:t>
      </w:r>
      <w:r>
        <w:rPr>
          <w:rFonts w:hint="eastAsia" w:ascii="仿宋" w:hAnsi="仿宋" w:eastAsia="仿宋"/>
          <w:sz w:val="32"/>
          <w:szCs w:val="32"/>
        </w:rPr>
        <w:t>、</w:t>
      </w:r>
      <w:r>
        <w:rPr>
          <w:rFonts w:hint="eastAsia" w:ascii="仿宋" w:hAnsi="仿宋" w:eastAsia="仿宋"/>
          <w:sz w:val="32"/>
          <w:szCs w:val="32"/>
          <w:lang w:eastAsia="zh-CN"/>
        </w:rPr>
        <w:t>地震观测站</w:t>
      </w:r>
      <w:r>
        <w:rPr>
          <w:rFonts w:hint="eastAsia" w:ascii="仿宋" w:hAnsi="仿宋" w:eastAsia="仿宋"/>
          <w:sz w:val="32"/>
          <w:szCs w:val="32"/>
        </w:rPr>
        <w:t>。</w:t>
      </w:r>
    </w:p>
    <w:p>
      <w:pPr>
        <w:tabs>
          <w:tab w:val="left" w:pos="203"/>
          <w:tab w:val="left" w:pos="503"/>
        </w:tabs>
        <w:spacing w:line="600" w:lineRule="exact"/>
        <w:ind w:firstLine="643" w:firstLineChars="200"/>
        <w:rPr>
          <w:rFonts w:ascii="楷体" w:hAnsi="楷体" w:eastAsia="楷体"/>
          <w:b/>
          <w:sz w:val="32"/>
          <w:szCs w:val="32"/>
        </w:rPr>
      </w:pPr>
      <w:r>
        <w:rPr>
          <w:rFonts w:hint="eastAsia" w:ascii="楷体" w:hAnsi="楷体" w:eastAsia="楷体"/>
          <w:b/>
          <w:sz w:val="32"/>
          <w:szCs w:val="32"/>
        </w:rPr>
        <w:t>二、部门决算单位构成</w:t>
      </w:r>
    </w:p>
    <w:p>
      <w:pPr>
        <w:tabs>
          <w:tab w:val="left" w:pos="203"/>
          <w:tab w:val="left" w:pos="503"/>
        </w:tabs>
        <w:spacing w:line="600" w:lineRule="exact"/>
        <w:ind w:firstLine="640" w:firstLineChars="200"/>
        <w:rPr>
          <w:rFonts w:ascii="仿宋" w:hAnsi="仿宋" w:eastAsia="仿宋"/>
          <w:bCs/>
          <w:sz w:val="32"/>
          <w:szCs w:val="32"/>
        </w:rPr>
      </w:pPr>
      <w:r>
        <w:rPr>
          <w:rFonts w:hint="eastAsia" w:ascii="仿宋" w:hAnsi="仿宋" w:eastAsia="仿宋"/>
          <w:bCs/>
          <w:sz w:val="32"/>
          <w:szCs w:val="32"/>
        </w:rPr>
        <w:t>忻州市</w:t>
      </w:r>
      <w:r>
        <w:rPr>
          <w:rFonts w:hint="eastAsia" w:ascii="仿宋" w:hAnsi="仿宋" w:eastAsia="仿宋"/>
          <w:bCs/>
          <w:sz w:val="32"/>
          <w:szCs w:val="32"/>
          <w:lang w:eastAsia="zh-CN"/>
        </w:rPr>
        <w:t>防震减灾中心</w:t>
      </w:r>
      <w:r>
        <w:rPr>
          <w:rFonts w:hint="eastAsia" w:ascii="仿宋" w:hAnsi="仿宋" w:eastAsia="仿宋"/>
          <w:bCs/>
          <w:sz w:val="32"/>
          <w:szCs w:val="32"/>
        </w:rPr>
        <w:t>为独立的决算单位。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第二部分    20</w:t>
      </w:r>
      <w:r>
        <w:rPr>
          <w:rFonts w:hint="eastAsia" w:ascii="黑体" w:hAnsi="黑体" w:eastAsia="黑体"/>
          <w:sz w:val="32"/>
          <w:szCs w:val="32"/>
          <w:lang w:val="en-US" w:eastAsia="zh-CN"/>
        </w:rPr>
        <w:t>21</w:t>
      </w:r>
      <w:r>
        <w:rPr>
          <w:rFonts w:hint="eastAsia" w:ascii="黑体" w:hAnsi="黑体" w:eastAsia="黑体"/>
          <w:sz w:val="32"/>
          <w:szCs w:val="32"/>
        </w:rPr>
        <w:t>年度部门决算报表（见附件）</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一、收入支出决算总表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二、收入决算表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三、支出决算表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四、财政拨款收入支出决算总表</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五、一般公共预算财政拨款支出决算表（一）</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六、一般公共预算财政拨款</w:t>
      </w:r>
      <w:r>
        <w:rPr>
          <w:rFonts w:hint="eastAsia" w:ascii="仿宋_GB2312" w:eastAsia="仿宋_GB2312"/>
          <w:sz w:val="32"/>
          <w:szCs w:val="32"/>
          <w:lang w:eastAsia="zh-CN"/>
        </w:rPr>
        <w:t>基本</w:t>
      </w:r>
      <w:r>
        <w:rPr>
          <w:rFonts w:hint="eastAsia" w:ascii="仿宋_GB2312" w:eastAsia="仿宋_GB2312"/>
          <w:sz w:val="32"/>
          <w:szCs w:val="32"/>
        </w:rPr>
        <w:t>支出决算表（二）</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七、</w:t>
      </w:r>
      <w:r>
        <w:rPr>
          <w:rFonts w:hint="eastAsia" w:ascii="仿宋_GB2312" w:eastAsia="仿宋_GB2312"/>
          <w:sz w:val="32"/>
          <w:szCs w:val="32"/>
        </w:rPr>
        <w:t>一般公共预算财政拨款“三公”经费支出决算表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八、</w:t>
      </w:r>
      <w:r>
        <w:rPr>
          <w:rFonts w:hint="eastAsia" w:ascii="仿宋_GB2312" w:eastAsia="仿宋_GB2312"/>
          <w:sz w:val="32"/>
          <w:szCs w:val="32"/>
        </w:rPr>
        <w:t>政府性基金预算财政拨款收入支出决算表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九、国有资本经营预算财政拨款支出决算表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十、</w:t>
      </w:r>
      <w:r>
        <w:rPr>
          <w:rFonts w:hint="eastAsia" w:ascii="仿宋_GB2312" w:eastAsia="仿宋_GB2312"/>
          <w:sz w:val="32"/>
          <w:szCs w:val="32"/>
        </w:rPr>
        <w:t>部门决算公开相关信息统计表</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val="en-US" w:eastAsia="zh-CN"/>
        </w:rPr>
        <w:t xml:space="preserve">  </w:t>
      </w:r>
      <w:r>
        <w:rPr>
          <w:rFonts w:hint="eastAsia" w:ascii="黑体" w:hAnsi="黑体" w:eastAsia="黑体"/>
          <w:sz w:val="32"/>
          <w:szCs w:val="32"/>
        </w:rPr>
        <w:t>20</w:t>
      </w:r>
      <w:r>
        <w:rPr>
          <w:rFonts w:hint="eastAsia" w:ascii="黑体" w:hAnsi="黑体" w:eastAsia="黑体"/>
          <w:sz w:val="32"/>
          <w:szCs w:val="32"/>
          <w:lang w:val="en-US" w:eastAsia="zh-CN"/>
        </w:rPr>
        <w:t>21</w:t>
      </w:r>
      <w:r>
        <w:rPr>
          <w:rFonts w:hint="eastAsia" w:ascii="黑体" w:hAnsi="黑体" w:eastAsia="黑体"/>
          <w:sz w:val="32"/>
          <w:szCs w:val="32"/>
        </w:rPr>
        <w:t>年度部门决算情况说明</w:t>
      </w:r>
    </w:p>
    <w:p>
      <w:pPr>
        <w:pStyle w:val="5"/>
        <w:spacing w:before="0" w:beforeAutospacing="0" w:after="0" w:afterAutospacing="0" w:line="600" w:lineRule="exact"/>
        <w:ind w:firstLine="630" w:firstLineChars="196"/>
        <w:jc w:val="both"/>
        <w:rPr>
          <w:rFonts w:ascii="楷体" w:hAnsi="楷体" w:eastAsia="楷体"/>
          <w:b/>
          <w:bCs/>
          <w:color w:val="000000"/>
          <w:sz w:val="32"/>
          <w:szCs w:val="32"/>
        </w:rPr>
      </w:pPr>
      <w:r>
        <w:rPr>
          <w:rFonts w:hint="eastAsia" w:ascii="楷体" w:hAnsi="楷体" w:eastAsia="楷体"/>
          <w:b/>
          <w:bCs/>
          <w:color w:val="000000"/>
          <w:sz w:val="32"/>
          <w:szCs w:val="32"/>
        </w:rPr>
        <w:t>一、收入支出决算总体情况说明</w:t>
      </w:r>
    </w:p>
    <w:p>
      <w:pPr>
        <w:pStyle w:val="5"/>
        <w:spacing w:before="0" w:beforeAutospacing="0" w:after="0" w:afterAutospacing="0" w:line="600" w:lineRule="exact"/>
        <w:ind w:firstLine="640" w:firstLineChars="200"/>
        <w:jc w:val="both"/>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344.49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327.76万元。与</w:t>
      </w:r>
      <w:r>
        <w:rPr>
          <w:rFonts w:hint="eastAsia" w:ascii="仿宋" w:hAnsi="仿宋" w:eastAsia="仿宋"/>
          <w:color w:val="000000"/>
          <w:sz w:val="32"/>
          <w:szCs w:val="32"/>
          <w:lang w:eastAsia="zh-CN"/>
        </w:rPr>
        <w:t>上</w:t>
      </w:r>
      <w:r>
        <w:rPr>
          <w:rFonts w:hint="eastAsia" w:ascii="仿宋" w:hAnsi="仿宋" w:eastAsia="仿宋"/>
          <w:color w:val="000000"/>
          <w:sz w:val="32"/>
          <w:szCs w:val="32"/>
        </w:rPr>
        <w:t>年相比，</w:t>
      </w:r>
      <w:r>
        <w:rPr>
          <w:rFonts w:hint="eastAsia" w:ascii="仿宋" w:hAnsi="仿宋" w:eastAsia="仿宋"/>
          <w:color w:val="000000"/>
          <w:sz w:val="32"/>
          <w:szCs w:val="32"/>
          <w:lang w:eastAsia="zh-CN"/>
        </w:rPr>
        <w:t>收入</w:t>
      </w:r>
      <w:r>
        <w:rPr>
          <w:rFonts w:hint="eastAsia" w:ascii="仿宋" w:hAnsi="仿宋" w:eastAsia="仿宋"/>
          <w:color w:val="000000"/>
          <w:sz w:val="32"/>
          <w:szCs w:val="32"/>
        </w:rPr>
        <w:t>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3.89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下降</w:t>
      </w:r>
      <w:r>
        <w:rPr>
          <w:rFonts w:hint="eastAsia" w:ascii="仿宋" w:hAnsi="仿宋" w:eastAsia="仿宋"/>
          <w:color w:val="000000"/>
          <w:sz w:val="32"/>
          <w:szCs w:val="32"/>
          <w:lang w:val="en-US" w:eastAsia="zh-CN"/>
        </w:rPr>
        <w:t>1.12</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r>
        <w:rPr>
          <w:rFonts w:hint="eastAsia" w:ascii="仿宋" w:hAnsi="仿宋" w:eastAsia="仿宋"/>
          <w:color w:val="000000"/>
          <w:sz w:val="32"/>
          <w:szCs w:val="32"/>
        </w:rPr>
        <w:t>原因是</w:t>
      </w:r>
      <w:r>
        <w:rPr>
          <w:rFonts w:hint="eastAsia" w:ascii="仿宋" w:hAnsi="仿宋" w:eastAsia="仿宋"/>
          <w:color w:val="000000"/>
          <w:sz w:val="32"/>
          <w:szCs w:val="32"/>
          <w:lang w:eastAsia="zh-CN"/>
        </w:rPr>
        <w:t>本年度其他收入减少，没有上级补助收入，收入相应减少。支出总计增加</w:t>
      </w:r>
      <w:r>
        <w:rPr>
          <w:rFonts w:hint="eastAsia" w:ascii="仿宋" w:hAnsi="仿宋" w:eastAsia="仿宋"/>
          <w:color w:val="000000"/>
          <w:sz w:val="32"/>
          <w:szCs w:val="32"/>
          <w:lang w:val="en-US" w:eastAsia="zh-CN"/>
        </w:rPr>
        <w:t>1.28万元，增长0.39，原因是本年度一般公共预算财政拨款基本支出中公用经费增加，相应支出增加。</w:t>
      </w:r>
    </w:p>
    <w:p>
      <w:pPr>
        <w:pStyle w:val="5"/>
        <w:spacing w:before="0" w:beforeAutospacing="0" w:after="0" w:afterAutospacing="0" w:line="600" w:lineRule="exact"/>
        <w:ind w:firstLine="630" w:firstLineChars="196"/>
        <w:jc w:val="both"/>
        <w:rPr>
          <w:rFonts w:ascii="楷体" w:hAnsi="楷体" w:eastAsia="楷体"/>
          <w:b/>
          <w:bCs/>
          <w:color w:val="000000"/>
          <w:sz w:val="32"/>
          <w:szCs w:val="32"/>
        </w:rPr>
      </w:pPr>
      <w:r>
        <w:rPr>
          <w:rFonts w:hint="eastAsia" w:ascii="楷体" w:hAnsi="楷体" w:eastAsia="楷体"/>
          <w:b/>
          <w:bCs/>
          <w:color w:val="000000"/>
          <w:sz w:val="32"/>
          <w:szCs w:val="32"/>
        </w:rPr>
        <w:t>二、收入决算情况说明</w:t>
      </w:r>
    </w:p>
    <w:p>
      <w:pPr>
        <w:pStyle w:val="5"/>
        <w:spacing w:before="0" w:beforeAutospacing="0" w:after="0" w:afterAutospacing="0" w:line="600" w:lineRule="exact"/>
        <w:ind w:firstLine="640" w:firstLineChars="200"/>
        <w:jc w:val="both"/>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2021</w:t>
      </w:r>
      <w:r>
        <w:rPr>
          <w:rFonts w:hint="eastAsia" w:ascii="仿宋" w:hAnsi="仿宋" w:eastAsia="仿宋"/>
          <w:color w:val="000000"/>
          <w:sz w:val="32"/>
          <w:szCs w:val="32"/>
        </w:rPr>
        <w:t>年</w:t>
      </w:r>
      <w:r>
        <w:rPr>
          <w:rFonts w:hint="eastAsia" w:ascii="仿宋" w:hAnsi="仿宋" w:eastAsia="仿宋"/>
          <w:color w:val="000000"/>
          <w:sz w:val="32"/>
          <w:szCs w:val="32"/>
          <w:lang w:eastAsia="zh-CN"/>
        </w:rPr>
        <w:t>度</w:t>
      </w:r>
      <w:r>
        <w:rPr>
          <w:rFonts w:hint="eastAsia" w:ascii="仿宋" w:hAnsi="仿宋" w:eastAsia="仿宋"/>
          <w:color w:val="000000"/>
          <w:sz w:val="32"/>
          <w:szCs w:val="32"/>
        </w:rPr>
        <w:t>收入合计</w:t>
      </w:r>
      <w:r>
        <w:rPr>
          <w:rFonts w:hint="eastAsia" w:ascii="仿宋" w:hAnsi="仿宋" w:eastAsia="仿宋"/>
          <w:color w:val="000000"/>
          <w:sz w:val="32"/>
          <w:szCs w:val="32"/>
          <w:lang w:val="en-US" w:eastAsia="zh-CN"/>
        </w:rPr>
        <w:t>322.59</w:t>
      </w:r>
      <w:r>
        <w:rPr>
          <w:rFonts w:hint="eastAsia" w:ascii="仿宋" w:hAnsi="仿宋" w:eastAsia="仿宋"/>
          <w:color w:val="000000"/>
          <w:sz w:val="32"/>
          <w:szCs w:val="32"/>
        </w:rPr>
        <w:t>万元，其中：财政拨款收入</w:t>
      </w:r>
      <w:r>
        <w:rPr>
          <w:rFonts w:hint="eastAsia" w:ascii="仿宋" w:hAnsi="仿宋" w:eastAsia="仿宋"/>
          <w:color w:val="000000"/>
          <w:sz w:val="32"/>
          <w:szCs w:val="32"/>
          <w:lang w:val="en-US" w:eastAsia="zh-CN"/>
        </w:rPr>
        <w:t>320.65</w:t>
      </w:r>
      <w:r>
        <w:rPr>
          <w:rFonts w:hint="eastAsia" w:ascii="仿宋" w:hAnsi="仿宋" w:eastAsia="仿宋"/>
          <w:color w:val="000000"/>
          <w:sz w:val="32"/>
          <w:szCs w:val="32"/>
        </w:rPr>
        <w:t>万元，占比9</w:t>
      </w:r>
      <w:r>
        <w:rPr>
          <w:rFonts w:hint="eastAsia" w:ascii="仿宋" w:hAnsi="仿宋" w:eastAsia="仿宋"/>
          <w:color w:val="000000"/>
          <w:sz w:val="32"/>
          <w:szCs w:val="32"/>
          <w:lang w:val="en-US" w:eastAsia="zh-CN"/>
        </w:rPr>
        <w:t>9.40</w:t>
      </w:r>
      <w:r>
        <w:rPr>
          <w:rFonts w:hint="eastAsia" w:ascii="仿宋" w:hAnsi="仿宋" w:eastAsia="仿宋"/>
          <w:color w:val="000000"/>
          <w:sz w:val="32"/>
          <w:szCs w:val="32"/>
        </w:rPr>
        <w:t>%；上级补助收入</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万元，占比</w:t>
      </w:r>
      <w:r>
        <w:rPr>
          <w:rFonts w:hint="eastAsia" w:ascii="仿宋" w:hAnsi="仿宋" w:eastAsia="仿宋"/>
          <w:color w:val="000000"/>
          <w:sz w:val="32"/>
          <w:szCs w:val="32"/>
          <w:lang w:val="en-US" w:eastAsia="zh-CN"/>
        </w:rPr>
        <w:t>0.00</w:t>
      </w:r>
      <w:r>
        <w:rPr>
          <w:rFonts w:hint="eastAsia" w:ascii="仿宋" w:hAnsi="仿宋" w:eastAsia="仿宋"/>
          <w:color w:val="000000"/>
          <w:sz w:val="32"/>
          <w:szCs w:val="32"/>
        </w:rPr>
        <w:t>%；其他收入</w:t>
      </w:r>
      <w:r>
        <w:rPr>
          <w:rFonts w:hint="eastAsia" w:ascii="仿宋" w:hAnsi="仿宋" w:eastAsia="仿宋"/>
          <w:color w:val="000000"/>
          <w:sz w:val="32"/>
          <w:szCs w:val="32"/>
          <w:lang w:val="en-US" w:eastAsia="zh-CN"/>
        </w:rPr>
        <w:t>1.94</w:t>
      </w:r>
      <w:r>
        <w:rPr>
          <w:rFonts w:hint="eastAsia" w:ascii="仿宋" w:hAnsi="仿宋" w:eastAsia="仿宋"/>
          <w:color w:val="000000"/>
          <w:sz w:val="32"/>
          <w:szCs w:val="32"/>
        </w:rPr>
        <w:t>万元，占比</w:t>
      </w:r>
      <w:r>
        <w:rPr>
          <w:rFonts w:hint="eastAsia" w:ascii="仿宋" w:hAnsi="仿宋" w:eastAsia="仿宋"/>
          <w:color w:val="000000"/>
          <w:sz w:val="32"/>
          <w:szCs w:val="32"/>
          <w:lang w:val="en-US" w:eastAsia="zh-CN"/>
        </w:rPr>
        <w:t>0.60</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p>
    <w:p>
      <w:pPr>
        <w:pStyle w:val="5"/>
        <w:spacing w:before="0" w:beforeAutospacing="0" w:after="0" w:afterAutospacing="0" w:line="600" w:lineRule="exact"/>
        <w:ind w:firstLine="643" w:firstLineChars="200"/>
        <w:jc w:val="both"/>
        <w:rPr>
          <w:rFonts w:ascii="楷体" w:hAnsi="楷体" w:eastAsia="楷体"/>
          <w:b/>
          <w:bCs/>
          <w:color w:val="000000"/>
          <w:sz w:val="32"/>
          <w:szCs w:val="32"/>
        </w:rPr>
      </w:pPr>
      <w:r>
        <w:rPr>
          <w:rFonts w:hint="eastAsia" w:ascii="楷体" w:hAnsi="楷体" w:eastAsia="楷体"/>
          <w:b/>
          <w:bCs/>
          <w:color w:val="000000"/>
          <w:sz w:val="32"/>
          <w:szCs w:val="32"/>
        </w:rPr>
        <w:t>三、支出决算情况说明</w:t>
      </w:r>
    </w:p>
    <w:p>
      <w:pPr>
        <w:pStyle w:val="5"/>
        <w:spacing w:before="0" w:beforeAutospacing="0" w:after="0" w:afterAutospacing="0" w:line="600" w:lineRule="exact"/>
        <w:ind w:firstLine="640" w:firstLineChars="200"/>
        <w:jc w:val="both"/>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2021年度</w:t>
      </w:r>
      <w:r>
        <w:rPr>
          <w:rFonts w:hint="eastAsia" w:ascii="仿宋" w:hAnsi="仿宋" w:eastAsia="仿宋"/>
          <w:color w:val="000000"/>
          <w:sz w:val="32"/>
          <w:szCs w:val="32"/>
        </w:rPr>
        <w:t>支出合计</w:t>
      </w:r>
      <w:r>
        <w:rPr>
          <w:rFonts w:hint="eastAsia" w:ascii="仿宋" w:hAnsi="仿宋" w:eastAsia="仿宋"/>
          <w:color w:val="000000"/>
          <w:sz w:val="32"/>
          <w:szCs w:val="32"/>
          <w:lang w:val="en-US" w:eastAsia="zh-CN"/>
        </w:rPr>
        <w:t>327.76</w:t>
      </w:r>
      <w:r>
        <w:rPr>
          <w:rFonts w:hint="eastAsia" w:ascii="仿宋" w:hAnsi="仿宋" w:eastAsia="仿宋"/>
          <w:color w:val="000000"/>
          <w:sz w:val="32"/>
          <w:szCs w:val="32"/>
        </w:rPr>
        <w:t>万元，其中：基本支出</w:t>
      </w:r>
      <w:r>
        <w:rPr>
          <w:rFonts w:hint="eastAsia" w:ascii="仿宋" w:hAnsi="仿宋" w:eastAsia="仿宋"/>
          <w:color w:val="000000"/>
          <w:sz w:val="32"/>
          <w:szCs w:val="32"/>
          <w:lang w:val="en-US" w:eastAsia="zh-CN"/>
        </w:rPr>
        <w:t>281.27</w:t>
      </w:r>
      <w:r>
        <w:rPr>
          <w:rFonts w:hint="eastAsia" w:ascii="仿宋" w:hAnsi="仿宋" w:eastAsia="仿宋"/>
          <w:color w:val="000000"/>
          <w:sz w:val="32"/>
          <w:szCs w:val="32"/>
        </w:rPr>
        <w:t>万元，占比</w:t>
      </w:r>
      <w:r>
        <w:rPr>
          <w:rFonts w:hint="eastAsia" w:ascii="仿宋" w:hAnsi="仿宋" w:eastAsia="仿宋"/>
          <w:color w:val="000000"/>
          <w:sz w:val="32"/>
          <w:szCs w:val="32"/>
          <w:lang w:val="en-US" w:eastAsia="zh-CN"/>
        </w:rPr>
        <w:t>85.82</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46.49</w:t>
      </w:r>
      <w:r>
        <w:rPr>
          <w:rFonts w:hint="eastAsia" w:ascii="仿宋" w:hAnsi="仿宋" w:eastAsia="仿宋"/>
          <w:color w:val="000000"/>
          <w:sz w:val="32"/>
          <w:szCs w:val="32"/>
        </w:rPr>
        <w:t>万元，占比</w:t>
      </w:r>
      <w:r>
        <w:rPr>
          <w:rFonts w:hint="eastAsia" w:ascii="仿宋" w:hAnsi="仿宋" w:eastAsia="仿宋"/>
          <w:color w:val="000000"/>
          <w:sz w:val="32"/>
          <w:szCs w:val="32"/>
          <w:lang w:val="en-US" w:eastAsia="zh-CN"/>
        </w:rPr>
        <w:t>14.18</w:t>
      </w:r>
      <w:r>
        <w:rPr>
          <w:rFonts w:hint="eastAsia" w:ascii="仿宋" w:hAnsi="仿宋" w:eastAsia="仿宋"/>
          <w:color w:val="000000"/>
          <w:sz w:val="32"/>
          <w:szCs w:val="32"/>
        </w:rPr>
        <w:t>%</w:t>
      </w:r>
      <w:r>
        <w:rPr>
          <w:rFonts w:hint="eastAsia" w:ascii="仿宋" w:hAnsi="仿宋" w:eastAsia="仿宋"/>
          <w:color w:val="000000"/>
          <w:sz w:val="32"/>
          <w:szCs w:val="32"/>
          <w:lang w:eastAsia="zh-CN"/>
        </w:rPr>
        <w:t>。</w:t>
      </w:r>
    </w:p>
    <w:p>
      <w:pPr>
        <w:pStyle w:val="5"/>
        <w:widowControl w:val="0"/>
        <w:tabs>
          <w:tab w:val="left" w:pos="761"/>
        </w:tabs>
        <w:spacing w:before="0" w:beforeAutospacing="0" w:after="0" w:afterAutospacing="0" w:line="600" w:lineRule="exact"/>
        <w:ind w:firstLine="643" w:firstLineChars="200"/>
        <w:jc w:val="both"/>
        <w:rPr>
          <w:rFonts w:ascii="楷体" w:hAnsi="楷体" w:eastAsia="楷体"/>
          <w:b/>
          <w:bCs/>
          <w:color w:val="000000"/>
          <w:sz w:val="32"/>
          <w:szCs w:val="32"/>
        </w:rPr>
      </w:pPr>
      <w:r>
        <w:rPr>
          <w:rFonts w:hint="eastAsia" w:ascii="楷体" w:hAnsi="楷体" w:eastAsia="楷体"/>
          <w:b/>
          <w:bCs/>
          <w:color w:val="000000"/>
          <w:sz w:val="32"/>
          <w:szCs w:val="32"/>
        </w:rPr>
        <w:t>四、财政拨款收入支出决算总体情况说明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仿宋" w:hAnsi="仿宋" w:eastAsia="仿宋"/>
          <w:color w:val="000000"/>
          <w:sz w:val="32"/>
          <w:szCs w:val="32"/>
          <w:lang w:val="en-US"/>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val="en-US" w:eastAsia="zh-CN"/>
        </w:rPr>
        <w:t>320.65</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，支出总计</w:t>
      </w:r>
      <w:r>
        <w:rPr>
          <w:rFonts w:hint="eastAsia" w:ascii="仿宋" w:hAnsi="仿宋" w:eastAsia="仿宋"/>
          <w:color w:val="000000"/>
          <w:sz w:val="32"/>
          <w:szCs w:val="32"/>
          <w:lang w:val="en-US" w:eastAsia="zh-CN"/>
        </w:rPr>
        <w:t>320.84</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与</w:t>
      </w:r>
      <w:r>
        <w:rPr>
          <w:rFonts w:hint="eastAsia" w:ascii="仿宋" w:hAnsi="仿宋" w:eastAsia="仿宋"/>
          <w:color w:val="000000"/>
          <w:sz w:val="32"/>
          <w:szCs w:val="32"/>
          <w:lang w:val="en-US" w:eastAsia="zh-CN"/>
        </w:rPr>
        <w:t>2020</w:t>
      </w:r>
      <w:r>
        <w:rPr>
          <w:rFonts w:hint="eastAsia" w:ascii="仿宋" w:hAnsi="仿宋" w:eastAsia="仿宋"/>
          <w:color w:val="000000"/>
          <w:sz w:val="32"/>
          <w:szCs w:val="32"/>
        </w:rPr>
        <w:t>年相比，财政拨款收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总计</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12.79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4.15</w:t>
      </w:r>
      <w:r>
        <w:rPr>
          <w:rFonts w:hint="eastAsia" w:ascii="仿宋" w:hAnsi="仿宋" w:eastAsia="仿宋"/>
          <w:color w:val="000000"/>
          <w:sz w:val="32"/>
          <w:szCs w:val="32"/>
        </w:rPr>
        <w:t>%。</w:t>
      </w:r>
      <w:r>
        <w:rPr>
          <w:rFonts w:hint="eastAsia" w:ascii="仿宋" w:hAnsi="仿宋" w:eastAsia="仿宋"/>
          <w:color w:val="000000"/>
          <w:sz w:val="32"/>
          <w:szCs w:val="32"/>
          <w:lang w:val="en-US" w:eastAsia="zh-CN"/>
        </w:rPr>
        <w:t>财政拨款支出总计增加12.98万元，增长4.22%，原因是一般公共预算基本支出中公用经费预算增加，财政拨款收支相应增加。</w:t>
      </w:r>
    </w:p>
    <w:p>
      <w:pPr>
        <w:pStyle w:val="5"/>
        <w:keepNext w:val="0"/>
        <w:keepLines w:val="0"/>
        <w:pageBreakBefore w:val="0"/>
        <w:widowControl w:val="0"/>
        <w:numPr>
          <w:ilvl w:val="0"/>
          <w:numId w:val="0"/>
        </w:numPr>
        <w:tabs>
          <w:tab w:val="left" w:pos="761"/>
        </w:tabs>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楷体" w:hAnsi="楷体" w:eastAsia="楷体"/>
          <w:b/>
          <w:bCs/>
          <w:color w:val="000000"/>
          <w:sz w:val="32"/>
          <w:szCs w:val="32"/>
        </w:rPr>
      </w:pPr>
      <w:r>
        <w:rPr>
          <w:rFonts w:hint="eastAsia" w:ascii="楷体" w:hAnsi="楷体" w:eastAsia="楷体"/>
          <w:b/>
          <w:bCs/>
          <w:color w:val="000000"/>
          <w:sz w:val="32"/>
          <w:szCs w:val="32"/>
          <w:lang w:eastAsia="zh-CN"/>
        </w:rPr>
        <w:t>五、</w:t>
      </w:r>
      <w:r>
        <w:rPr>
          <w:rFonts w:hint="eastAsia" w:ascii="楷体" w:hAnsi="楷体" w:eastAsia="楷体"/>
          <w:b/>
          <w:bCs/>
          <w:color w:val="000000"/>
          <w:sz w:val="32"/>
          <w:szCs w:val="32"/>
        </w:rPr>
        <w:t>一般公共预算财政拨款支出决算情况说明</w:t>
      </w:r>
    </w:p>
    <w:p>
      <w:pPr>
        <w:pStyle w:val="5"/>
        <w:keepNext w:val="0"/>
        <w:keepLines w:val="0"/>
        <w:pageBreakBefore w:val="0"/>
        <w:widowControl w:val="0"/>
        <w:numPr>
          <w:ilvl w:val="0"/>
          <w:numId w:val="0"/>
        </w:numPr>
        <w:tabs>
          <w:tab w:val="left" w:pos="761"/>
        </w:tabs>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 w:hAnsi="仿宋" w:eastAsia="仿宋"/>
          <w:b/>
          <w:bCs/>
          <w:color w:val="000000"/>
          <w:sz w:val="32"/>
          <w:szCs w:val="32"/>
        </w:rPr>
      </w:pPr>
      <w:r>
        <w:rPr>
          <w:rFonts w:hint="eastAsia" w:ascii="仿宋" w:hAnsi="仿宋" w:eastAsia="仿宋"/>
          <w:b/>
          <w:bCs/>
          <w:color w:val="000000"/>
          <w:sz w:val="32"/>
          <w:szCs w:val="32"/>
        </w:rPr>
        <w:t>（一）财政拨款支出决算总体情况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年度财政拨款支出</w:t>
      </w:r>
      <w:r>
        <w:rPr>
          <w:rFonts w:hint="eastAsia" w:ascii="仿宋" w:hAnsi="仿宋" w:eastAsia="仿宋"/>
          <w:color w:val="000000"/>
          <w:sz w:val="32"/>
          <w:szCs w:val="32"/>
          <w:lang w:val="en-US" w:eastAsia="zh-CN"/>
        </w:rPr>
        <w:t>320.84</w:t>
      </w:r>
      <w:r>
        <w:rPr>
          <w:rFonts w:hint="eastAsia" w:ascii="仿宋" w:hAnsi="仿宋" w:eastAsia="仿宋"/>
          <w:color w:val="000000"/>
          <w:sz w:val="32"/>
          <w:szCs w:val="32"/>
        </w:rPr>
        <w:t>万元，占本年支出合计的</w:t>
      </w:r>
      <w:r>
        <w:rPr>
          <w:rFonts w:hint="eastAsia" w:ascii="仿宋" w:hAnsi="仿宋" w:eastAsia="仿宋"/>
          <w:color w:val="000000"/>
          <w:sz w:val="32"/>
          <w:szCs w:val="32"/>
          <w:lang w:val="en-US" w:eastAsia="zh-CN"/>
        </w:rPr>
        <w:t>97.89</w:t>
      </w:r>
      <w:r>
        <w:rPr>
          <w:rFonts w:hint="eastAsia" w:ascii="仿宋" w:hAnsi="仿宋" w:eastAsia="仿宋"/>
          <w:color w:val="000000"/>
          <w:sz w:val="32"/>
          <w:szCs w:val="32"/>
        </w:rPr>
        <w:t>%。与</w:t>
      </w:r>
      <w:r>
        <w:rPr>
          <w:rFonts w:hint="eastAsia" w:ascii="仿宋" w:hAnsi="仿宋" w:eastAsia="仿宋"/>
          <w:color w:val="000000"/>
          <w:sz w:val="32"/>
          <w:szCs w:val="32"/>
          <w:lang w:eastAsia="zh-CN"/>
        </w:rPr>
        <w:t>上</w:t>
      </w:r>
      <w:r>
        <w:rPr>
          <w:rFonts w:hint="eastAsia" w:ascii="仿宋" w:hAnsi="仿宋" w:eastAsia="仿宋"/>
          <w:color w:val="000000"/>
          <w:sz w:val="32"/>
          <w:szCs w:val="32"/>
        </w:rPr>
        <w:t>年相比，财政拨款支出</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12.98</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增长</w:t>
      </w:r>
      <w:r>
        <w:rPr>
          <w:rFonts w:hint="eastAsia" w:ascii="仿宋" w:hAnsi="仿宋" w:eastAsia="仿宋"/>
          <w:color w:val="000000"/>
          <w:sz w:val="32"/>
          <w:szCs w:val="32"/>
          <w:lang w:val="en-US" w:eastAsia="zh-CN"/>
        </w:rPr>
        <w:t>4.22</w:t>
      </w:r>
      <w:r>
        <w:rPr>
          <w:rFonts w:hint="eastAsia" w:ascii="仿宋" w:hAnsi="仿宋" w:eastAsia="仿宋"/>
          <w:color w:val="000000"/>
          <w:sz w:val="32"/>
          <w:szCs w:val="32"/>
        </w:rPr>
        <w:t>%。</w:t>
      </w:r>
      <w:r>
        <w:rPr>
          <w:rFonts w:hint="eastAsia" w:ascii="仿宋" w:hAnsi="仿宋" w:eastAsia="仿宋"/>
          <w:color w:val="000000"/>
          <w:sz w:val="32"/>
          <w:szCs w:val="32"/>
          <w:lang w:eastAsia="zh-CN"/>
        </w:rPr>
        <w:t>主要原因是</w:t>
      </w:r>
      <w:r>
        <w:rPr>
          <w:rFonts w:hint="eastAsia" w:ascii="仿宋" w:hAnsi="仿宋" w:eastAsia="仿宋"/>
          <w:color w:val="000000"/>
          <w:sz w:val="32"/>
          <w:szCs w:val="32"/>
          <w:lang w:val="en-US" w:eastAsia="zh-CN"/>
        </w:rPr>
        <w:t>一般公共预算基本支出中公用经费预算增加，财政拨款支出相应增加。</w:t>
      </w:r>
      <w:r>
        <w:rPr>
          <w:rFonts w:hint="eastAsia" w:ascii="仿宋" w:hAnsi="仿宋" w:eastAsia="仿宋"/>
          <w:color w:val="000000"/>
          <w:sz w:val="32"/>
          <w:szCs w:val="32"/>
        </w:rPr>
        <w:t>其中</w:t>
      </w:r>
      <w:r>
        <w:rPr>
          <w:rFonts w:hint="eastAsia" w:ascii="仿宋" w:hAnsi="仿宋" w:eastAsia="仿宋"/>
          <w:color w:val="000000"/>
          <w:sz w:val="32"/>
          <w:szCs w:val="32"/>
          <w:lang w:eastAsia="zh-CN"/>
        </w:rPr>
        <w:t>，</w:t>
      </w: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231.55</w:t>
      </w:r>
      <w:r>
        <w:rPr>
          <w:rFonts w:hint="eastAsia" w:ascii="仿宋" w:hAnsi="仿宋" w:eastAsia="仿宋"/>
          <w:color w:val="000000"/>
          <w:sz w:val="32"/>
          <w:szCs w:val="32"/>
        </w:rPr>
        <w:t>万元，占比</w:t>
      </w:r>
      <w:r>
        <w:rPr>
          <w:rFonts w:hint="eastAsia" w:ascii="仿宋" w:hAnsi="仿宋" w:eastAsia="仿宋"/>
          <w:color w:val="000000"/>
          <w:sz w:val="32"/>
          <w:szCs w:val="32"/>
          <w:lang w:val="en-US" w:eastAsia="zh-CN"/>
        </w:rPr>
        <w:t>72.17</w:t>
      </w:r>
      <w:r>
        <w:rPr>
          <w:rFonts w:hint="eastAsia" w:ascii="仿宋" w:hAnsi="仿宋" w:eastAsia="仿宋"/>
          <w:color w:val="000000"/>
          <w:sz w:val="32"/>
          <w:szCs w:val="32"/>
        </w:rPr>
        <w:t>%，日常公用经费8</w:t>
      </w:r>
      <w:r>
        <w:rPr>
          <w:rFonts w:hint="eastAsia" w:ascii="仿宋" w:hAnsi="仿宋" w:eastAsia="仿宋"/>
          <w:color w:val="000000"/>
          <w:sz w:val="32"/>
          <w:szCs w:val="32"/>
          <w:lang w:val="en-US" w:eastAsia="zh-CN"/>
        </w:rPr>
        <w:t>8.12</w:t>
      </w:r>
      <w:r>
        <w:rPr>
          <w:rFonts w:hint="eastAsia" w:ascii="仿宋" w:hAnsi="仿宋" w:eastAsia="仿宋"/>
          <w:color w:val="000000"/>
          <w:sz w:val="32"/>
          <w:szCs w:val="32"/>
        </w:rPr>
        <w:t>万元，占比</w:t>
      </w:r>
      <w:r>
        <w:rPr>
          <w:rFonts w:hint="eastAsia" w:ascii="仿宋" w:hAnsi="仿宋" w:eastAsia="仿宋"/>
          <w:color w:val="000000"/>
          <w:sz w:val="32"/>
          <w:szCs w:val="32"/>
          <w:lang w:val="en-US" w:eastAsia="zh-CN"/>
        </w:rPr>
        <w:t>27.47</w:t>
      </w:r>
      <w:r>
        <w:rPr>
          <w:rFonts w:hint="eastAsia" w:ascii="仿宋" w:hAnsi="仿宋" w:eastAsia="仿宋"/>
          <w:color w:val="000000"/>
          <w:sz w:val="32"/>
          <w:szCs w:val="32"/>
        </w:rPr>
        <w:t>%</w:t>
      </w:r>
      <w:r>
        <w:rPr>
          <w:rFonts w:hint="eastAsia" w:ascii="仿宋" w:hAnsi="仿宋" w:eastAsia="仿宋"/>
          <w:color w:val="000000"/>
          <w:sz w:val="32"/>
          <w:szCs w:val="32"/>
          <w:lang w:eastAsia="zh-CN"/>
        </w:rPr>
        <w:t>，资本性支出</w:t>
      </w:r>
      <w:r>
        <w:rPr>
          <w:rFonts w:hint="eastAsia" w:ascii="仿宋" w:hAnsi="仿宋" w:eastAsia="仿宋"/>
          <w:color w:val="000000"/>
          <w:sz w:val="32"/>
          <w:szCs w:val="32"/>
          <w:lang w:val="en-US" w:eastAsia="zh-CN"/>
        </w:rPr>
        <w:t>1.17万元，占比0.36%。</w:t>
      </w:r>
    </w:p>
    <w:p>
      <w:pPr>
        <w:pStyle w:val="5"/>
        <w:keepNext w:val="0"/>
        <w:keepLines w:val="0"/>
        <w:pageBreakBefore w:val="0"/>
        <w:widowControl/>
        <w:numPr>
          <w:ilvl w:val="0"/>
          <w:numId w:val="0"/>
        </w:numPr>
        <w:tabs>
          <w:tab w:val="left" w:pos="404"/>
        </w:tabs>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（二）财政拨款支出决算结构情况</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2021年度财政拨款支出320.84万元，主要用于以下方面：</w:t>
      </w:r>
      <w:r>
        <w:rPr>
          <w:rFonts w:hint="eastAsia" w:ascii="仿宋" w:hAnsi="仿宋" w:eastAsia="仿宋"/>
          <w:b/>
          <w:bCs/>
          <w:color w:val="000000"/>
          <w:sz w:val="32"/>
          <w:szCs w:val="32"/>
          <w:lang w:val="en-US" w:eastAsia="zh-CN"/>
        </w:rPr>
        <w:t>灾害防治及应急管理支出</w:t>
      </w:r>
      <w:r>
        <w:rPr>
          <w:rFonts w:hint="eastAsia" w:ascii="仿宋" w:hAnsi="仿宋" w:eastAsia="仿宋"/>
          <w:b w:val="0"/>
          <w:bCs w:val="0"/>
          <w:color w:val="000000"/>
          <w:sz w:val="32"/>
          <w:szCs w:val="32"/>
          <w:lang w:val="en-US" w:eastAsia="zh-CN"/>
        </w:rPr>
        <w:t>267.70万元，占83.44%；</w:t>
      </w:r>
      <w:r>
        <w:rPr>
          <w:rFonts w:hint="eastAsia" w:ascii="仿宋" w:hAnsi="仿宋" w:eastAsia="仿宋"/>
          <w:b/>
          <w:bCs/>
          <w:color w:val="000000"/>
          <w:sz w:val="32"/>
          <w:szCs w:val="32"/>
          <w:lang w:val="en-US" w:eastAsia="zh-CN"/>
        </w:rPr>
        <w:t>社会保障和就业</w:t>
      </w:r>
      <w:r>
        <w:rPr>
          <w:rFonts w:hint="eastAsia" w:ascii="仿宋" w:hAnsi="仿宋" w:eastAsia="仿宋"/>
          <w:color w:val="000000"/>
          <w:sz w:val="32"/>
          <w:szCs w:val="32"/>
          <w:lang w:val="en-US" w:eastAsia="zh-CN"/>
        </w:rPr>
        <w:t>支出23.14万元，占7.21%；</w:t>
      </w:r>
      <w:r>
        <w:rPr>
          <w:rFonts w:hint="eastAsia" w:ascii="仿宋" w:hAnsi="仿宋" w:eastAsia="仿宋"/>
          <w:b/>
          <w:bCs/>
          <w:color w:val="000000"/>
          <w:sz w:val="32"/>
          <w:szCs w:val="32"/>
          <w:lang w:val="en-US" w:eastAsia="zh-CN"/>
        </w:rPr>
        <w:t>卫生健康支出</w:t>
      </w:r>
      <w:r>
        <w:rPr>
          <w:rFonts w:hint="eastAsia" w:ascii="仿宋" w:hAnsi="仿宋" w:eastAsia="仿宋"/>
          <w:color w:val="000000"/>
          <w:sz w:val="32"/>
          <w:szCs w:val="32"/>
          <w:lang w:val="en-US" w:eastAsia="zh-CN"/>
        </w:rPr>
        <w:t>10.13万元，占3.16%；</w:t>
      </w:r>
      <w:r>
        <w:rPr>
          <w:rFonts w:hint="eastAsia" w:ascii="仿宋" w:hAnsi="仿宋" w:eastAsia="仿宋"/>
          <w:b/>
          <w:bCs/>
          <w:color w:val="000000"/>
          <w:sz w:val="32"/>
          <w:szCs w:val="32"/>
          <w:lang w:val="en-US" w:eastAsia="zh-CN"/>
        </w:rPr>
        <w:t>农林水支出</w:t>
      </w:r>
      <w:r>
        <w:rPr>
          <w:rFonts w:hint="eastAsia" w:ascii="仿宋" w:hAnsi="仿宋" w:eastAsia="仿宋"/>
          <w:color w:val="000000"/>
          <w:sz w:val="32"/>
          <w:szCs w:val="32"/>
          <w:lang w:val="en-US" w:eastAsia="zh-CN"/>
        </w:rPr>
        <w:t>5.4万元，占1.68%；</w:t>
      </w:r>
      <w:r>
        <w:rPr>
          <w:rFonts w:hint="eastAsia" w:ascii="仿宋" w:hAnsi="仿宋" w:eastAsia="仿宋"/>
          <w:b/>
          <w:bCs/>
          <w:color w:val="000000"/>
          <w:sz w:val="32"/>
          <w:szCs w:val="32"/>
          <w:lang w:val="en-US" w:eastAsia="zh-CN"/>
        </w:rPr>
        <w:t>住房保障支出</w:t>
      </w:r>
      <w:r>
        <w:rPr>
          <w:rFonts w:hint="eastAsia" w:ascii="仿宋" w:hAnsi="仿宋" w:eastAsia="仿宋"/>
          <w:color w:val="000000"/>
          <w:sz w:val="32"/>
          <w:szCs w:val="32"/>
          <w:lang w:val="en-US" w:eastAsia="zh-CN"/>
        </w:rPr>
        <w:t>14.47万元，占4.51%。</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 w:hAnsi="仿宋" w:eastAsia="仿宋"/>
          <w:b/>
          <w:bCs/>
          <w:color w:val="000000"/>
          <w:sz w:val="32"/>
          <w:szCs w:val="32"/>
        </w:rPr>
      </w:pPr>
      <w:r>
        <w:rPr>
          <w:rFonts w:hint="eastAsia" w:ascii="仿宋" w:hAnsi="仿宋" w:eastAsia="仿宋"/>
          <w:b/>
          <w:bCs/>
          <w:color w:val="000000"/>
          <w:sz w:val="32"/>
          <w:szCs w:val="32"/>
          <w:lang w:eastAsia="zh-CN"/>
        </w:rPr>
        <w:t>（三）</w:t>
      </w:r>
      <w:r>
        <w:rPr>
          <w:rFonts w:hint="eastAsia" w:ascii="仿宋" w:hAnsi="仿宋" w:eastAsia="仿宋"/>
          <w:b/>
          <w:bCs/>
          <w:color w:val="000000"/>
          <w:sz w:val="32"/>
          <w:szCs w:val="32"/>
        </w:rPr>
        <w:t>财政拨款支出决算具体情</w:t>
      </w:r>
      <w:r>
        <w:rPr>
          <w:rFonts w:hint="eastAsia" w:ascii="仿宋" w:hAnsi="仿宋" w:eastAsia="仿宋"/>
          <w:b/>
          <w:bCs/>
          <w:color w:val="000000"/>
          <w:sz w:val="32"/>
          <w:szCs w:val="32"/>
          <w:lang w:eastAsia="zh-CN"/>
        </w:rPr>
        <w:t>况</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仿宋" w:hAnsi="仿宋" w:eastAsia="仿宋"/>
          <w:color w:val="000000"/>
          <w:sz w:val="32"/>
          <w:szCs w:val="32"/>
          <w:lang w:val="en-US" w:eastAsia="zh-CN"/>
        </w:rPr>
      </w:pPr>
      <w:r>
        <w:rPr>
          <w:rFonts w:hint="eastAsia" w:ascii="仿宋" w:hAnsi="仿宋" w:eastAsia="仿宋"/>
          <w:b w:val="0"/>
          <w:bCs w:val="0"/>
          <w:color w:val="000000"/>
          <w:sz w:val="32"/>
          <w:szCs w:val="32"/>
          <w:lang w:val="en-US" w:eastAsia="zh-CN"/>
        </w:rPr>
        <w:t>2021年度财政拨款支出年初预算320.65万元，支出决算320.84万元，完成年初预算的100.06%，其中：</w:t>
      </w:r>
      <w:r>
        <w:rPr>
          <w:rFonts w:hint="eastAsia" w:ascii="仿宋" w:hAnsi="仿宋" w:eastAsia="仿宋"/>
          <w:b/>
          <w:bCs/>
          <w:color w:val="000000"/>
          <w:sz w:val="32"/>
          <w:szCs w:val="32"/>
          <w:lang w:val="en-US" w:eastAsia="zh-CN"/>
        </w:rPr>
        <w:t>灾害防治及应急管理</w:t>
      </w:r>
      <w:r>
        <w:rPr>
          <w:rFonts w:hint="eastAsia" w:ascii="仿宋" w:hAnsi="仿宋" w:eastAsia="仿宋"/>
          <w:b w:val="0"/>
          <w:bCs w:val="0"/>
          <w:color w:val="000000"/>
          <w:sz w:val="32"/>
          <w:szCs w:val="32"/>
          <w:lang w:val="en-US" w:eastAsia="zh-CN"/>
        </w:rPr>
        <w:t>支出</w:t>
      </w:r>
      <w:r>
        <w:rPr>
          <w:rFonts w:hint="eastAsia" w:ascii="仿宋" w:hAnsi="仿宋" w:eastAsia="仿宋"/>
          <w:b/>
          <w:bCs/>
          <w:color w:val="000000"/>
          <w:sz w:val="32"/>
          <w:szCs w:val="32"/>
          <w:lang w:val="en-US" w:eastAsia="zh-CN"/>
        </w:rPr>
        <w:t>年初预算</w:t>
      </w:r>
      <w:r>
        <w:rPr>
          <w:rFonts w:hint="eastAsia" w:ascii="仿宋" w:hAnsi="仿宋" w:eastAsia="仿宋"/>
          <w:b w:val="0"/>
          <w:bCs w:val="0"/>
          <w:color w:val="000000"/>
          <w:sz w:val="32"/>
          <w:szCs w:val="32"/>
          <w:lang w:val="en-US" w:eastAsia="zh-CN"/>
        </w:rPr>
        <w:t>267.51万元，支出决算267.70万元，完成年初预算100.06%；</w:t>
      </w:r>
      <w:r>
        <w:rPr>
          <w:rFonts w:hint="eastAsia" w:ascii="仿宋" w:hAnsi="仿宋" w:eastAsia="仿宋"/>
          <w:b/>
          <w:bCs/>
          <w:color w:val="000000"/>
          <w:sz w:val="32"/>
          <w:szCs w:val="32"/>
          <w:lang w:val="en-US" w:eastAsia="zh-CN"/>
        </w:rPr>
        <w:t>社会保障和就业</w:t>
      </w:r>
      <w:r>
        <w:rPr>
          <w:rFonts w:hint="eastAsia" w:ascii="仿宋" w:hAnsi="仿宋" w:eastAsia="仿宋"/>
          <w:color w:val="000000"/>
          <w:sz w:val="32"/>
          <w:szCs w:val="32"/>
          <w:lang w:val="en-US" w:eastAsia="zh-CN"/>
        </w:rPr>
        <w:t>支出年初预算23.14万元，支出决算23.14万元，</w:t>
      </w:r>
      <w:r>
        <w:rPr>
          <w:rFonts w:hint="eastAsia" w:ascii="仿宋" w:hAnsi="仿宋" w:eastAsia="仿宋"/>
          <w:b w:val="0"/>
          <w:bCs w:val="0"/>
          <w:color w:val="000000"/>
          <w:sz w:val="32"/>
          <w:szCs w:val="32"/>
          <w:lang w:val="en-US" w:eastAsia="zh-CN"/>
        </w:rPr>
        <w:t>完成年初预算100</w:t>
      </w:r>
      <w:r>
        <w:rPr>
          <w:rFonts w:hint="eastAsia" w:ascii="仿宋" w:hAnsi="仿宋" w:eastAsia="仿宋"/>
          <w:color w:val="000000"/>
          <w:sz w:val="32"/>
          <w:szCs w:val="32"/>
          <w:lang w:val="en-US" w:eastAsia="zh-CN"/>
        </w:rPr>
        <w:t>%；</w:t>
      </w:r>
      <w:r>
        <w:rPr>
          <w:rFonts w:hint="eastAsia" w:ascii="仿宋" w:hAnsi="仿宋" w:eastAsia="仿宋"/>
          <w:b/>
          <w:bCs/>
          <w:color w:val="000000"/>
          <w:sz w:val="32"/>
          <w:szCs w:val="32"/>
          <w:lang w:val="en-US" w:eastAsia="zh-CN"/>
        </w:rPr>
        <w:t>卫生健康</w:t>
      </w:r>
      <w:r>
        <w:rPr>
          <w:rFonts w:hint="eastAsia" w:ascii="仿宋" w:hAnsi="仿宋" w:eastAsia="仿宋"/>
          <w:b w:val="0"/>
          <w:bCs w:val="0"/>
          <w:color w:val="000000"/>
          <w:sz w:val="32"/>
          <w:szCs w:val="32"/>
          <w:lang w:val="en-US" w:eastAsia="zh-CN"/>
        </w:rPr>
        <w:t>支出年初预算</w:t>
      </w:r>
      <w:r>
        <w:rPr>
          <w:rFonts w:hint="eastAsia" w:ascii="仿宋" w:hAnsi="仿宋" w:eastAsia="仿宋"/>
          <w:color w:val="000000"/>
          <w:sz w:val="32"/>
          <w:szCs w:val="32"/>
          <w:lang w:val="en-US" w:eastAsia="zh-CN"/>
        </w:rPr>
        <w:t>10.13万元，支出决算10.13万元，</w:t>
      </w:r>
      <w:r>
        <w:rPr>
          <w:rFonts w:hint="eastAsia" w:ascii="仿宋" w:hAnsi="仿宋" w:eastAsia="仿宋"/>
          <w:b w:val="0"/>
          <w:bCs w:val="0"/>
          <w:color w:val="000000"/>
          <w:sz w:val="32"/>
          <w:szCs w:val="32"/>
          <w:lang w:val="en-US" w:eastAsia="zh-CN"/>
        </w:rPr>
        <w:t>完成年初预算100</w:t>
      </w:r>
      <w:r>
        <w:rPr>
          <w:rFonts w:hint="eastAsia" w:ascii="仿宋" w:hAnsi="仿宋" w:eastAsia="仿宋"/>
          <w:color w:val="000000"/>
          <w:sz w:val="32"/>
          <w:szCs w:val="32"/>
          <w:lang w:val="en-US" w:eastAsia="zh-CN"/>
        </w:rPr>
        <w:t>%；</w:t>
      </w:r>
      <w:r>
        <w:rPr>
          <w:rFonts w:hint="eastAsia" w:ascii="仿宋" w:hAnsi="仿宋" w:eastAsia="仿宋"/>
          <w:b/>
          <w:bCs/>
          <w:color w:val="000000"/>
          <w:sz w:val="32"/>
          <w:szCs w:val="32"/>
          <w:lang w:val="en-US" w:eastAsia="zh-CN"/>
        </w:rPr>
        <w:t>农林水</w:t>
      </w:r>
      <w:r>
        <w:rPr>
          <w:rFonts w:hint="eastAsia" w:ascii="仿宋" w:hAnsi="仿宋" w:eastAsia="仿宋"/>
          <w:b w:val="0"/>
          <w:bCs w:val="0"/>
          <w:color w:val="000000"/>
          <w:sz w:val="32"/>
          <w:szCs w:val="32"/>
          <w:lang w:val="en-US" w:eastAsia="zh-CN"/>
        </w:rPr>
        <w:t>支出年初预算</w:t>
      </w:r>
      <w:r>
        <w:rPr>
          <w:rFonts w:hint="eastAsia" w:ascii="仿宋" w:hAnsi="仿宋" w:eastAsia="仿宋"/>
          <w:color w:val="000000"/>
          <w:sz w:val="32"/>
          <w:szCs w:val="32"/>
          <w:lang w:val="en-US" w:eastAsia="zh-CN"/>
        </w:rPr>
        <w:t>5.4万元，支出决算5.4万元，</w:t>
      </w:r>
      <w:r>
        <w:rPr>
          <w:rFonts w:hint="eastAsia" w:ascii="仿宋" w:hAnsi="仿宋" w:eastAsia="仿宋"/>
          <w:b w:val="0"/>
          <w:bCs w:val="0"/>
          <w:color w:val="000000"/>
          <w:sz w:val="32"/>
          <w:szCs w:val="32"/>
          <w:lang w:val="en-US" w:eastAsia="zh-CN"/>
        </w:rPr>
        <w:t>完成年初预算</w:t>
      </w:r>
      <w:r>
        <w:rPr>
          <w:rFonts w:hint="eastAsia" w:ascii="仿宋" w:hAnsi="仿宋" w:eastAsia="仿宋"/>
          <w:color w:val="000000"/>
          <w:sz w:val="32"/>
          <w:szCs w:val="32"/>
          <w:lang w:val="en-US" w:eastAsia="zh-CN"/>
        </w:rPr>
        <w:t>100%；</w:t>
      </w:r>
      <w:r>
        <w:rPr>
          <w:rFonts w:hint="eastAsia" w:ascii="仿宋" w:hAnsi="仿宋" w:eastAsia="仿宋"/>
          <w:b/>
          <w:bCs/>
          <w:color w:val="000000"/>
          <w:sz w:val="32"/>
          <w:szCs w:val="32"/>
          <w:lang w:val="en-US" w:eastAsia="zh-CN"/>
        </w:rPr>
        <w:t>住房保障</w:t>
      </w:r>
      <w:r>
        <w:rPr>
          <w:rFonts w:hint="eastAsia" w:ascii="仿宋" w:hAnsi="仿宋" w:eastAsia="仿宋"/>
          <w:b w:val="0"/>
          <w:bCs w:val="0"/>
          <w:color w:val="000000"/>
          <w:sz w:val="32"/>
          <w:szCs w:val="32"/>
          <w:lang w:val="en-US" w:eastAsia="zh-CN"/>
        </w:rPr>
        <w:t>支出年初预算</w:t>
      </w:r>
      <w:r>
        <w:rPr>
          <w:rFonts w:hint="eastAsia" w:ascii="仿宋" w:hAnsi="仿宋" w:eastAsia="仿宋"/>
          <w:color w:val="000000"/>
          <w:sz w:val="32"/>
          <w:szCs w:val="32"/>
          <w:lang w:val="en-US" w:eastAsia="zh-CN"/>
        </w:rPr>
        <w:t>14.47万元，支出决算14.47万元，</w:t>
      </w:r>
      <w:r>
        <w:rPr>
          <w:rFonts w:hint="eastAsia" w:ascii="仿宋" w:hAnsi="仿宋" w:eastAsia="仿宋"/>
          <w:b w:val="0"/>
          <w:bCs w:val="0"/>
          <w:color w:val="000000"/>
          <w:sz w:val="32"/>
          <w:szCs w:val="32"/>
          <w:lang w:val="en-US" w:eastAsia="zh-CN"/>
        </w:rPr>
        <w:t>完成年初预算100</w:t>
      </w:r>
      <w:r>
        <w:rPr>
          <w:rFonts w:hint="eastAsia" w:ascii="仿宋" w:hAnsi="仿宋" w:eastAsia="仿宋"/>
          <w:color w:val="000000"/>
          <w:sz w:val="32"/>
          <w:szCs w:val="32"/>
          <w:lang w:val="en-US" w:eastAsia="zh-CN"/>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六、一般公共预算财政拨款基本支出决算情况说明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仿宋" w:hAnsi="仿宋" w:eastAsia="仿宋"/>
          <w:b w:val="0"/>
          <w:bCs w:val="0"/>
          <w:color w:val="000000"/>
          <w:sz w:val="32"/>
          <w:szCs w:val="32"/>
          <w:lang w:val="en-US" w:eastAsia="zh-CN"/>
        </w:rPr>
      </w:pPr>
      <w:r>
        <w:rPr>
          <w:rFonts w:hint="eastAsia" w:ascii="仿宋" w:hAnsi="仿宋" w:eastAsia="仿宋"/>
          <w:b w:val="0"/>
          <w:bCs w:val="0"/>
          <w:color w:val="000000"/>
          <w:sz w:val="32"/>
          <w:szCs w:val="32"/>
          <w:lang w:val="en-US" w:eastAsia="zh-CN"/>
        </w:rPr>
        <w:t>2021年度财政拨款基本支出274.36万元，其中：人员经费223.89万元，主要包括工资福利支出209.27万元和对个人和家庭的补助14.62万元；公用经费50.47万元，即商品和服务支出50.47万元。</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 w:hAnsi="仿宋" w:eastAsia="仿宋"/>
          <w:b/>
          <w:bCs/>
          <w:color w:val="000000"/>
          <w:sz w:val="32"/>
          <w:szCs w:val="32"/>
        </w:rPr>
      </w:pPr>
      <w:r>
        <w:rPr>
          <w:rFonts w:hint="eastAsia" w:ascii="仿宋" w:hAnsi="仿宋" w:eastAsia="仿宋"/>
          <w:b/>
          <w:bCs/>
          <w:color w:val="000000"/>
          <w:sz w:val="32"/>
          <w:szCs w:val="32"/>
          <w:lang w:eastAsia="zh-CN"/>
        </w:rPr>
        <w:t>七、</w:t>
      </w:r>
      <w:r>
        <w:rPr>
          <w:rFonts w:hint="eastAsia" w:ascii="仿宋" w:hAnsi="仿宋" w:eastAsia="仿宋"/>
          <w:b/>
          <w:bCs/>
          <w:color w:val="000000"/>
          <w:sz w:val="32"/>
          <w:szCs w:val="32"/>
        </w:rPr>
        <w:t>一般公共预算财政拨款“三公”经费支出决算情况说明</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 w:hAnsi="仿宋" w:eastAsia="仿宋"/>
          <w:b w:val="0"/>
          <w:bCs w:val="0"/>
          <w:color w:val="000000"/>
          <w:sz w:val="32"/>
          <w:szCs w:val="32"/>
          <w:lang w:eastAsia="zh-CN"/>
        </w:rPr>
      </w:pPr>
      <w:r>
        <w:rPr>
          <w:rFonts w:hint="eastAsia" w:ascii="仿宋" w:hAnsi="仿宋" w:eastAsia="仿宋"/>
          <w:b w:val="0"/>
          <w:bCs w:val="0"/>
          <w:color w:val="000000"/>
          <w:sz w:val="32"/>
          <w:szCs w:val="32"/>
          <w:lang w:eastAsia="zh-CN"/>
        </w:rPr>
        <w:t>（一）</w:t>
      </w:r>
      <w:r>
        <w:rPr>
          <w:rFonts w:hint="eastAsia" w:ascii="仿宋" w:hAnsi="仿宋" w:eastAsia="仿宋"/>
          <w:b w:val="0"/>
          <w:bCs w:val="0"/>
          <w:color w:val="000000"/>
          <w:sz w:val="32"/>
          <w:szCs w:val="32"/>
        </w:rPr>
        <w:t>“三公”</w:t>
      </w:r>
      <w:r>
        <w:rPr>
          <w:rFonts w:hint="eastAsia" w:ascii="仿宋" w:hAnsi="仿宋" w:eastAsia="仿宋"/>
          <w:b w:val="0"/>
          <w:bCs w:val="0"/>
          <w:color w:val="000000"/>
          <w:sz w:val="32"/>
          <w:szCs w:val="32"/>
          <w:lang w:eastAsia="zh-CN"/>
        </w:rPr>
        <w:t>经费财政拨款支出决算总体情况说明</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default" w:ascii="仿宋" w:hAnsi="仿宋" w:eastAsia="仿宋"/>
          <w:b w:val="0"/>
          <w:bCs w:val="0"/>
          <w:color w:val="000000"/>
          <w:sz w:val="32"/>
          <w:szCs w:val="32"/>
          <w:lang w:val="en-US" w:eastAsia="zh-CN"/>
        </w:rPr>
      </w:pPr>
      <w:r>
        <w:rPr>
          <w:rFonts w:hint="eastAsia" w:ascii="仿宋" w:hAnsi="仿宋" w:eastAsia="仿宋"/>
          <w:b w:val="0"/>
          <w:bCs w:val="0"/>
          <w:color w:val="000000"/>
          <w:sz w:val="32"/>
          <w:szCs w:val="32"/>
          <w:lang w:val="en-US" w:eastAsia="zh-CN"/>
        </w:rPr>
        <w:t>2021年度“三公”经费财政拨款支出预算3万元，支出决算1.20万元，完成预算的40%，比上年增加0.36万元，增长43%，主要原因是2020年受疫情影响，出车少，所以2021年度有所增加。</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（二）“三公”经费财政拨款支出决算具体情况说明</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rPr>
        <w:t>公务接待费</w:t>
      </w:r>
      <w:r>
        <w:rPr>
          <w:rFonts w:hint="eastAsia" w:ascii="仿宋" w:hAnsi="仿宋" w:eastAsia="仿宋"/>
          <w:color w:val="000000"/>
          <w:sz w:val="32"/>
          <w:szCs w:val="32"/>
          <w:lang w:eastAsia="zh-CN"/>
        </w:rPr>
        <w:t>预算</w:t>
      </w:r>
      <w:r>
        <w:rPr>
          <w:rFonts w:hint="eastAsia" w:ascii="仿宋" w:hAnsi="仿宋" w:eastAsia="仿宋"/>
          <w:color w:val="000000"/>
          <w:sz w:val="32"/>
          <w:szCs w:val="32"/>
          <w:lang w:val="en-US" w:eastAsia="zh-CN"/>
        </w:rPr>
        <w:t>0.3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，实际支出</w:t>
      </w:r>
      <w:r>
        <w:rPr>
          <w:rFonts w:hint="eastAsia" w:ascii="仿宋" w:hAnsi="仿宋" w:eastAsia="仿宋"/>
          <w:color w:val="000000"/>
          <w:sz w:val="32"/>
          <w:szCs w:val="32"/>
          <w:lang w:val="en-US" w:eastAsia="zh-CN"/>
        </w:rPr>
        <w:t>0.06万元，完成了20%；</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0" w:firstLineChars="0"/>
        <w:jc w:val="both"/>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lang w:eastAsia="zh-CN"/>
        </w:rPr>
        <w:t>比</w:t>
      </w:r>
      <w:r>
        <w:rPr>
          <w:rFonts w:hint="eastAsia" w:ascii="仿宋" w:hAnsi="仿宋" w:eastAsia="仿宋"/>
          <w:color w:val="000000"/>
          <w:sz w:val="32"/>
          <w:szCs w:val="32"/>
          <w:lang w:val="en-US" w:eastAsia="zh-CN"/>
        </w:rPr>
        <w:t>2020年减少了0.2万元，减少了25%。主要原因为省地震局来我中心调研次数减少，2021年省内公务接待1次，共8人。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因公出国（境）费预算</w:t>
      </w:r>
      <w:r>
        <w:rPr>
          <w:rFonts w:hint="eastAsia" w:ascii="仿宋" w:hAnsi="仿宋" w:eastAsia="仿宋"/>
          <w:color w:val="000000"/>
          <w:sz w:val="32"/>
          <w:szCs w:val="32"/>
          <w:lang w:val="en-US" w:eastAsia="zh-CN"/>
        </w:rPr>
        <w:t>0万元，支出决算0万元，完成预算0%，与2020年度一样。全年因公出国（境）团组0个，因公出国（境）0人次。</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公务用车购置及运行维护费预算3万元，支出决算1.14万元，完成预算的38%，比2020年增加0.3万元，增加了36%。</w:t>
      </w:r>
      <w:r>
        <w:rPr>
          <w:rFonts w:hint="eastAsia" w:ascii="仿宋" w:hAnsi="仿宋" w:eastAsia="仿宋"/>
          <w:b w:val="0"/>
          <w:bCs w:val="0"/>
          <w:color w:val="000000"/>
          <w:sz w:val="32"/>
          <w:szCs w:val="32"/>
          <w:lang w:val="en-US" w:eastAsia="zh-CN"/>
        </w:rPr>
        <w:t>主要原因是2020年受疫情影响，出车少，所以2021年度有所增加。其中：公务用车运行维护费3万元，公务用车购置费0万元，2021年未购置公务用车，年末公务用车保有量为1辆，主要用于是内因公出行、到各市县检查等业务所需车辆燃料、维修、过路过桥费、保险费等。</w:t>
      </w:r>
    </w:p>
    <w:p>
      <w:pPr>
        <w:keepNext w:val="0"/>
        <w:keepLines w:val="0"/>
        <w:pageBreakBefore w:val="0"/>
        <w:tabs>
          <w:tab w:val="left" w:pos="836"/>
        </w:tabs>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b/>
          <w:bCs/>
          <w:color w:val="000000"/>
          <w:sz w:val="32"/>
          <w:szCs w:val="32"/>
          <w:lang w:eastAsia="zh-CN"/>
        </w:rPr>
      </w:pPr>
      <w:r>
        <w:rPr>
          <w:rFonts w:hint="eastAsia" w:ascii="仿宋" w:hAnsi="仿宋" w:eastAsia="仿宋" w:cs="宋体"/>
          <w:b/>
          <w:bCs/>
          <w:color w:val="000000"/>
          <w:kern w:val="0"/>
          <w:sz w:val="32"/>
          <w:szCs w:val="32"/>
          <w:lang w:eastAsia="zh-CN"/>
        </w:rPr>
        <w:t>八</w:t>
      </w:r>
      <w:r>
        <w:rPr>
          <w:rFonts w:hint="eastAsia" w:ascii="仿宋" w:hAnsi="仿宋" w:eastAsia="仿宋" w:cs="宋体"/>
          <w:b/>
          <w:bCs/>
          <w:color w:val="000000"/>
          <w:kern w:val="0"/>
          <w:sz w:val="32"/>
          <w:szCs w:val="32"/>
        </w:rPr>
        <w:t>、其他重要事项情况说明</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 w:hAnsi="仿宋" w:eastAsia="仿宋"/>
          <w:b/>
          <w:bCs/>
          <w:color w:val="000000"/>
          <w:sz w:val="32"/>
          <w:szCs w:val="32"/>
        </w:rPr>
      </w:pPr>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一</w:t>
      </w:r>
      <w:r>
        <w:rPr>
          <w:rFonts w:hint="eastAsia" w:ascii="仿宋" w:hAnsi="仿宋" w:eastAsia="仿宋"/>
          <w:b/>
          <w:bCs/>
          <w:color w:val="000000"/>
          <w:sz w:val="32"/>
          <w:szCs w:val="32"/>
        </w:rPr>
        <w:t>）机关运行经费情况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年机关运行经费财政拨款</w:t>
      </w:r>
      <w:r>
        <w:rPr>
          <w:rFonts w:hint="eastAsia" w:ascii="仿宋" w:hAnsi="仿宋" w:eastAsia="仿宋"/>
          <w:color w:val="000000"/>
          <w:sz w:val="32"/>
          <w:szCs w:val="32"/>
          <w:lang w:val="en-US" w:eastAsia="zh-CN"/>
        </w:rPr>
        <w:t>50.47</w:t>
      </w:r>
      <w:r>
        <w:rPr>
          <w:rFonts w:hint="eastAsia" w:ascii="仿宋" w:hAnsi="仿宋" w:eastAsia="仿宋"/>
          <w:color w:val="000000"/>
          <w:sz w:val="32"/>
          <w:szCs w:val="32"/>
        </w:rPr>
        <w:t>万元，比20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23.14</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,增加85%。原因是本年度一般公共预算财政拨款公用经费增加，预算标准提高。</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643" w:firstLineChars="200"/>
        <w:jc w:val="both"/>
        <w:textAlignment w:val="auto"/>
        <w:rPr>
          <w:rFonts w:ascii="仿宋" w:hAnsi="仿宋" w:eastAsia="仿宋"/>
          <w:b/>
          <w:bCs/>
          <w:color w:val="000000"/>
          <w:sz w:val="32"/>
          <w:szCs w:val="32"/>
        </w:rPr>
      </w:pPr>
      <w:r>
        <w:rPr>
          <w:rFonts w:hint="eastAsia" w:ascii="仿宋" w:hAnsi="仿宋" w:eastAsia="仿宋"/>
          <w:b/>
          <w:bCs/>
          <w:color w:val="000000"/>
          <w:sz w:val="32"/>
          <w:szCs w:val="32"/>
        </w:rPr>
        <w:t>（</w:t>
      </w:r>
      <w:r>
        <w:rPr>
          <w:rFonts w:hint="eastAsia" w:ascii="仿宋" w:hAnsi="仿宋" w:eastAsia="仿宋"/>
          <w:b/>
          <w:bCs/>
          <w:color w:val="000000"/>
          <w:sz w:val="32"/>
          <w:szCs w:val="32"/>
          <w:lang w:eastAsia="zh-CN"/>
        </w:rPr>
        <w:t>二</w:t>
      </w:r>
      <w:r>
        <w:rPr>
          <w:rFonts w:hint="eastAsia" w:ascii="仿宋" w:hAnsi="仿宋" w:eastAsia="仿宋"/>
          <w:b/>
          <w:bCs/>
          <w:color w:val="000000"/>
          <w:sz w:val="32"/>
          <w:szCs w:val="32"/>
        </w:rPr>
        <w:t>）政府采购情况说明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仿宋" w:hAnsi="仿宋" w:eastAsia="仿宋"/>
          <w:bCs/>
          <w:color w:val="000000"/>
          <w:sz w:val="32"/>
          <w:szCs w:val="32"/>
          <w:lang w:val="en-US" w:eastAsia="zh-CN"/>
        </w:rPr>
      </w:pPr>
      <w:r>
        <w:rPr>
          <w:rFonts w:hint="eastAsia" w:ascii="仿宋" w:hAnsi="仿宋" w:eastAsia="仿宋"/>
          <w:bCs/>
          <w:color w:val="000000"/>
          <w:sz w:val="32"/>
          <w:szCs w:val="32"/>
        </w:rPr>
        <w:t>20</w:t>
      </w:r>
      <w:r>
        <w:rPr>
          <w:rFonts w:hint="eastAsia" w:ascii="仿宋" w:hAnsi="仿宋" w:eastAsia="仿宋"/>
          <w:bCs/>
          <w:color w:val="000000"/>
          <w:sz w:val="32"/>
          <w:szCs w:val="32"/>
          <w:lang w:val="en-US" w:eastAsia="zh-CN"/>
        </w:rPr>
        <w:t>21</w:t>
      </w:r>
      <w:r>
        <w:rPr>
          <w:rFonts w:hint="eastAsia" w:ascii="仿宋" w:hAnsi="仿宋" w:eastAsia="仿宋"/>
          <w:bCs/>
          <w:color w:val="000000"/>
          <w:sz w:val="32"/>
          <w:szCs w:val="32"/>
        </w:rPr>
        <w:t>年度政府采购</w:t>
      </w:r>
      <w:r>
        <w:rPr>
          <w:rFonts w:hint="eastAsia" w:ascii="仿宋" w:hAnsi="仿宋" w:eastAsia="仿宋"/>
          <w:bCs/>
          <w:color w:val="000000"/>
          <w:sz w:val="32"/>
          <w:szCs w:val="32"/>
          <w:lang w:eastAsia="zh-CN"/>
        </w:rPr>
        <w:t>支出总额</w:t>
      </w:r>
      <w:r>
        <w:rPr>
          <w:rFonts w:hint="eastAsia" w:ascii="仿宋" w:hAnsi="仿宋" w:eastAsia="仿宋"/>
          <w:bCs/>
          <w:color w:val="000000"/>
          <w:sz w:val="32"/>
          <w:szCs w:val="32"/>
          <w:lang w:val="en-US" w:eastAsia="zh-CN"/>
        </w:rPr>
        <w:t>1.17万元，其中：政府采购货物支出1.17万元，占采购支出总额的100%；政府采购工程支出0万元，占采购支出总额0%;政府采购服务支出0万元，占采购支出总额的0%。</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hint="eastAsia" w:ascii="仿宋" w:hAnsi="仿宋" w:eastAsia="仿宋"/>
          <w:b/>
          <w:color w:val="000000"/>
          <w:sz w:val="32"/>
          <w:szCs w:val="32"/>
        </w:rPr>
      </w:pPr>
      <w:r>
        <w:rPr>
          <w:rFonts w:hint="eastAsia" w:ascii="仿宋" w:hAnsi="仿宋" w:eastAsia="仿宋"/>
          <w:b/>
          <w:color w:val="000000"/>
          <w:sz w:val="32"/>
          <w:szCs w:val="32"/>
          <w:lang w:eastAsia="zh-CN"/>
        </w:rPr>
        <w:t>（三）</w:t>
      </w:r>
      <w:r>
        <w:rPr>
          <w:rFonts w:hint="eastAsia" w:ascii="仿宋" w:hAnsi="仿宋" w:eastAsia="仿宋"/>
          <w:b/>
          <w:color w:val="000000"/>
          <w:sz w:val="32"/>
          <w:szCs w:val="32"/>
        </w:rPr>
        <w:t>国有资产占</w:t>
      </w:r>
      <w:r>
        <w:rPr>
          <w:rFonts w:hint="eastAsia" w:ascii="仿宋" w:hAnsi="仿宋" w:eastAsia="仿宋"/>
          <w:b/>
          <w:color w:val="000000"/>
          <w:sz w:val="32"/>
          <w:szCs w:val="32"/>
          <w:lang w:eastAsia="zh-CN"/>
        </w:rPr>
        <w:t>有</w:t>
      </w:r>
      <w:r>
        <w:rPr>
          <w:rFonts w:hint="eastAsia" w:ascii="仿宋" w:hAnsi="仿宋" w:eastAsia="仿宋"/>
          <w:b/>
          <w:color w:val="000000"/>
          <w:sz w:val="32"/>
          <w:szCs w:val="32"/>
        </w:rPr>
        <w:t>使用情况</w:t>
      </w:r>
    </w:p>
    <w:p>
      <w:pPr>
        <w:pStyle w:val="5"/>
        <w:spacing w:before="0" w:beforeAutospacing="0" w:after="0" w:afterAutospacing="0" w:line="600" w:lineRule="exact"/>
        <w:ind w:firstLine="640" w:firstLineChars="200"/>
        <w:jc w:val="both"/>
        <w:rPr>
          <w:rFonts w:hint="default" w:ascii="仿宋" w:hAnsi="仿宋" w:eastAsia="仿宋"/>
          <w:bCs/>
          <w:color w:val="000000"/>
          <w:sz w:val="32"/>
          <w:szCs w:val="32"/>
          <w:lang w:val="en-US" w:eastAsia="zh-CN"/>
        </w:rPr>
      </w:pPr>
      <w:r>
        <w:rPr>
          <w:rFonts w:hint="eastAsia" w:ascii="仿宋" w:hAnsi="仿宋" w:eastAsia="仿宋"/>
          <w:bCs/>
          <w:color w:val="000000"/>
          <w:sz w:val="32"/>
          <w:szCs w:val="32"/>
          <w:lang w:val="en-US" w:eastAsia="zh-CN"/>
        </w:rPr>
        <w:t>1、</w:t>
      </w:r>
      <w:r>
        <w:rPr>
          <w:rFonts w:hint="eastAsia" w:ascii="仿宋" w:hAnsi="仿宋" w:eastAsia="仿宋"/>
          <w:color w:val="000000"/>
          <w:sz w:val="32"/>
          <w:szCs w:val="32"/>
        </w:rPr>
        <w:t>车辆情况</w:t>
      </w:r>
    </w:p>
    <w:p>
      <w:pPr>
        <w:pStyle w:val="5"/>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bCs/>
          <w:color w:val="000000"/>
          <w:sz w:val="32"/>
          <w:szCs w:val="32"/>
          <w:lang w:val="en-US" w:eastAsia="zh-CN"/>
        </w:rPr>
        <w:t>截至2021年12月31日，本中心共有车辆1辆，应急保障用车，即</w:t>
      </w:r>
      <w:r>
        <w:rPr>
          <w:rFonts w:hint="eastAsia" w:ascii="仿宋" w:hAnsi="仿宋" w:eastAsia="仿宋"/>
          <w:color w:val="000000"/>
          <w:sz w:val="32"/>
          <w:szCs w:val="32"/>
        </w:rPr>
        <w:t>市政府委托我</w:t>
      </w:r>
      <w:r>
        <w:rPr>
          <w:rFonts w:hint="eastAsia" w:ascii="仿宋" w:hAnsi="仿宋" w:eastAsia="仿宋"/>
          <w:color w:val="000000"/>
          <w:sz w:val="32"/>
          <w:szCs w:val="32"/>
          <w:lang w:eastAsia="zh-CN"/>
        </w:rPr>
        <w:t>中心</w:t>
      </w:r>
      <w:r>
        <w:rPr>
          <w:rFonts w:hint="eastAsia" w:ascii="仿宋" w:hAnsi="仿宋" w:eastAsia="仿宋"/>
          <w:color w:val="000000"/>
          <w:sz w:val="32"/>
          <w:szCs w:val="32"/>
        </w:rPr>
        <w:t>管理</w:t>
      </w:r>
      <w:r>
        <w:rPr>
          <w:rFonts w:hint="eastAsia" w:ascii="仿宋" w:hAnsi="仿宋" w:eastAsia="仿宋"/>
          <w:color w:val="000000"/>
          <w:sz w:val="32"/>
          <w:szCs w:val="32"/>
          <w:lang w:eastAsia="zh-CN"/>
        </w:rPr>
        <w:t>的公务</w:t>
      </w:r>
      <w:r>
        <w:rPr>
          <w:rFonts w:hint="eastAsia" w:ascii="仿宋" w:hAnsi="仿宋" w:eastAsia="仿宋"/>
          <w:color w:val="000000"/>
          <w:sz w:val="32"/>
          <w:szCs w:val="32"/>
        </w:rPr>
        <w:t>用车。</w:t>
      </w:r>
    </w:p>
    <w:p>
      <w:pPr>
        <w:pStyle w:val="5"/>
        <w:spacing w:before="0" w:beforeAutospacing="0" w:after="0" w:afterAutospacing="0" w:line="600" w:lineRule="exact"/>
        <w:ind w:firstLine="640" w:firstLineChars="200"/>
        <w:jc w:val="both"/>
        <w:rPr>
          <w:rFonts w:ascii="仿宋" w:hAnsi="仿宋" w:eastAsia="仿宋"/>
          <w:color w:val="000000"/>
          <w:sz w:val="32"/>
          <w:szCs w:val="32"/>
        </w:rPr>
      </w:pPr>
      <w:r>
        <w:rPr>
          <w:rFonts w:hint="eastAsia" w:ascii="仿宋" w:hAnsi="仿宋" w:eastAsia="仿宋"/>
          <w:bCs/>
          <w:color w:val="000000"/>
          <w:sz w:val="32"/>
          <w:szCs w:val="32"/>
          <w:lang w:val="en-US" w:eastAsia="zh-CN"/>
        </w:rPr>
        <w:t>2、</w:t>
      </w:r>
      <w:r>
        <w:rPr>
          <w:rFonts w:hint="eastAsia" w:ascii="仿宋" w:hAnsi="仿宋" w:eastAsia="仿宋"/>
          <w:color w:val="000000"/>
          <w:sz w:val="32"/>
          <w:szCs w:val="32"/>
        </w:rPr>
        <w:t>房屋情况</w:t>
      </w:r>
    </w:p>
    <w:p>
      <w:pPr>
        <w:pStyle w:val="5"/>
        <w:spacing w:before="0" w:beforeAutospacing="0" w:after="0" w:afterAutospacing="0" w:line="600" w:lineRule="exact"/>
        <w:ind w:firstLine="640" w:firstLineChars="200"/>
        <w:jc w:val="both"/>
        <w:rPr>
          <w:rFonts w:hint="eastAsia" w:ascii="仿宋" w:hAnsi="仿宋" w:eastAsia="仿宋"/>
          <w:color w:val="000000"/>
          <w:sz w:val="32"/>
          <w:szCs w:val="32"/>
        </w:rPr>
      </w:pPr>
      <w:r>
        <w:rPr>
          <w:rFonts w:hint="eastAsia" w:ascii="仿宋" w:hAnsi="仿宋" w:eastAsia="仿宋"/>
          <w:color w:val="000000"/>
          <w:sz w:val="32"/>
          <w:szCs w:val="32"/>
        </w:rPr>
        <w:t>忻州市</w:t>
      </w:r>
      <w:r>
        <w:rPr>
          <w:rFonts w:hint="eastAsia" w:ascii="仿宋" w:hAnsi="仿宋" w:eastAsia="仿宋"/>
          <w:color w:val="000000"/>
          <w:sz w:val="32"/>
          <w:szCs w:val="32"/>
          <w:lang w:eastAsia="zh-CN"/>
        </w:rPr>
        <w:t>防震减灾中心</w:t>
      </w:r>
      <w:r>
        <w:rPr>
          <w:rFonts w:hint="eastAsia" w:ascii="仿宋" w:hAnsi="仿宋" w:eastAsia="仿宋"/>
          <w:color w:val="000000"/>
          <w:sz w:val="32"/>
          <w:szCs w:val="32"/>
        </w:rPr>
        <w:t>办公用房面积合计998平方米。</w:t>
      </w:r>
    </w:p>
    <w:p>
      <w:pPr>
        <w:pStyle w:val="5"/>
        <w:keepNext w:val="0"/>
        <w:keepLines w:val="0"/>
        <w:pageBreakBefore w:val="0"/>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3、其他国有资产占有使用情况</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我中心</w:t>
      </w:r>
      <w:r>
        <w:rPr>
          <w:rFonts w:hint="eastAsia" w:ascii="仿宋" w:hAnsi="仿宋" w:eastAsia="仿宋"/>
          <w:color w:val="000000"/>
          <w:sz w:val="32"/>
          <w:szCs w:val="32"/>
          <w:lang w:val="en-US" w:eastAsia="zh-CN"/>
        </w:rPr>
        <w:t>无其他国有资产占有使用。</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left="0" w:leftChars="0" w:firstLine="643" w:firstLineChars="200"/>
        <w:jc w:val="both"/>
        <w:textAlignment w:val="auto"/>
        <w:rPr>
          <w:rFonts w:ascii="仿宋" w:hAnsi="仿宋" w:eastAsia="仿宋"/>
          <w:b/>
          <w:bCs/>
          <w:color w:val="000000"/>
          <w:sz w:val="32"/>
          <w:szCs w:val="32"/>
        </w:rPr>
      </w:pPr>
      <w:r>
        <w:rPr>
          <w:rFonts w:hint="eastAsia" w:ascii="仿宋" w:hAnsi="仿宋" w:eastAsia="仿宋"/>
          <w:b/>
          <w:bCs/>
          <w:color w:val="000000"/>
          <w:sz w:val="32"/>
          <w:szCs w:val="32"/>
          <w:lang w:eastAsia="zh-CN"/>
        </w:rPr>
        <w:t>（四）</w:t>
      </w:r>
      <w:r>
        <w:rPr>
          <w:rFonts w:hint="eastAsia" w:ascii="仿宋" w:hAnsi="仿宋" w:eastAsia="仿宋"/>
          <w:b/>
          <w:bCs/>
          <w:color w:val="000000"/>
          <w:sz w:val="32"/>
          <w:szCs w:val="32"/>
        </w:rPr>
        <w:t>政府性基金情况说明</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仿宋" w:hAnsi="仿宋" w:eastAsia="仿宋"/>
          <w:color w:val="000000"/>
          <w:sz w:val="32"/>
          <w:szCs w:val="32"/>
          <w:lang w:val="en-US"/>
        </w:rPr>
      </w:pPr>
      <w:r>
        <w:rPr>
          <w:rFonts w:hint="eastAsia" w:ascii="仿宋" w:hAnsi="仿宋" w:eastAsia="仿宋"/>
          <w:color w:val="000000"/>
          <w:sz w:val="32"/>
          <w:szCs w:val="32"/>
          <w:lang w:eastAsia="zh-CN"/>
        </w:rPr>
        <w:t>我中心</w:t>
      </w:r>
      <w:r>
        <w:rPr>
          <w:rFonts w:hint="eastAsia" w:ascii="仿宋" w:hAnsi="仿宋" w:eastAsia="仿宋"/>
          <w:color w:val="000000"/>
          <w:sz w:val="32"/>
          <w:szCs w:val="32"/>
        </w:rPr>
        <w:t>无政府性基金</w:t>
      </w:r>
      <w:r>
        <w:rPr>
          <w:rFonts w:hint="eastAsia" w:ascii="仿宋" w:hAnsi="仿宋" w:eastAsia="仿宋"/>
          <w:color w:val="000000"/>
          <w:sz w:val="32"/>
          <w:szCs w:val="32"/>
          <w:lang w:eastAsia="zh-CN"/>
        </w:rPr>
        <w:t>预算财政拨款收入支出，没有对</w:t>
      </w:r>
      <w:r>
        <w:rPr>
          <w:rFonts w:hint="eastAsia" w:ascii="仿宋" w:hAnsi="仿宋" w:eastAsia="仿宋"/>
          <w:color w:val="000000"/>
          <w:sz w:val="32"/>
          <w:szCs w:val="32"/>
          <w:lang w:val="en-US" w:eastAsia="zh-CN"/>
        </w:rPr>
        <w:t>2021年度政府性基金预算项目支出开展绩效自评。</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 w:hAnsi="仿宋" w:eastAsia="仿宋"/>
          <w:b/>
          <w:bCs/>
          <w:color w:val="000000"/>
          <w:sz w:val="32"/>
          <w:szCs w:val="32"/>
          <w:lang w:val="en-US" w:eastAsia="zh-CN"/>
        </w:rPr>
      </w:pPr>
      <w:r>
        <w:rPr>
          <w:rFonts w:hint="eastAsia" w:ascii="仿宋" w:hAnsi="仿宋" w:eastAsia="仿宋"/>
          <w:b/>
          <w:bCs/>
          <w:color w:val="000000"/>
          <w:sz w:val="32"/>
          <w:szCs w:val="32"/>
          <w:lang w:val="en-US" w:eastAsia="zh-CN"/>
        </w:rPr>
        <w:t>（五）国有资本经营预算财政拨款支出情况</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default" w:ascii="仿宋" w:hAnsi="仿宋" w:eastAsia="仿宋"/>
          <w:b w:val="0"/>
          <w:bCs w:val="0"/>
          <w:color w:val="000000"/>
          <w:sz w:val="32"/>
          <w:szCs w:val="32"/>
          <w:lang w:val="en-US" w:eastAsia="zh-CN"/>
        </w:rPr>
      </w:pPr>
      <w:r>
        <w:rPr>
          <w:rFonts w:hint="eastAsia" w:ascii="仿宋" w:hAnsi="仿宋" w:eastAsia="仿宋"/>
          <w:b w:val="0"/>
          <w:bCs w:val="0"/>
          <w:color w:val="000000"/>
          <w:sz w:val="32"/>
          <w:szCs w:val="32"/>
          <w:lang w:val="en-US" w:eastAsia="zh-CN"/>
        </w:rPr>
        <w:t>我中心无国有资本经营预算财政拨款支出，没有对2021年度国有资本经营预算项目支出开展绩效自评。</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ascii="仿宋" w:hAnsi="仿宋" w:eastAsia="仿宋" w:cs="仿宋"/>
          <w:b/>
          <w:bCs/>
          <w:sz w:val="32"/>
          <w:szCs w:val="32"/>
        </w:rPr>
      </w:pPr>
      <w:r>
        <w:rPr>
          <w:rFonts w:hint="eastAsia" w:ascii="仿宋" w:hAnsi="仿宋" w:eastAsia="仿宋" w:cs="仿宋"/>
          <w:b/>
          <w:bCs/>
          <w:sz w:val="32"/>
          <w:szCs w:val="32"/>
          <w:lang w:eastAsia="zh-CN"/>
        </w:rPr>
        <w:t>（六）</w:t>
      </w:r>
      <w:r>
        <w:rPr>
          <w:rFonts w:hint="eastAsia" w:ascii="仿宋" w:hAnsi="仿宋" w:eastAsia="仿宋" w:cs="仿宋"/>
          <w:b/>
          <w:bCs/>
          <w:sz w:val="32"/>
          <w:szCs w:val="32"/>
        </w:rPr>
        <w:t>本年结余情况说明</w:t>
      </w: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年年末结转和结余</w:t>
      </w:r>
      <w:r>
        <w:rPr>
          <w:rFonts w:hint="eastAsia" w:ascii="仿宋" w:hAnsi="仿宋" w:eastAsia="仿宋" w:cs="仿宋"/>
          <w:sz w:val="32"/>
          <w:szCs w:val="32"/>
          <w:lang w:val="en-US" w:eastAsia="zh-CN"/>
        </w:rPr>
        <w:t>16.73</w:t>
      </w:r>
      <w:r>
        <w:rPr>
          <w:rFonts w:hint="eastAsia" w:ascii="仿宋" w:hAnsi="仿宋" w:eastAsia="仿宋" w:cs="仿宋"/>
          <w:sz w:val="32"/>
          <w:szCs w:val="32"/>
        </w:rPr>
        <w:t>万元，其中基本支出结转</w:t>
      </w:r>
      <w:r>
        <w:rPr>
          <w:rFonts w:hint="eastAsia" w:ascii="仿宋" w:hAnsi="仿宋" w:eastAsia="仿宋" w:cs="仿宋"/>
          <w:sz w:val="32"/>
          <w:szCs w:val="32"/>
          <w:lang w:val="en-US" w:eastAsia="zh-CN"/>
        </w:rPr>
        <w:t>16.73</w:t>
      </w:r>
      <w:r>
        <w:rPr>
          <w:rFonts w:hint="eastAsia" w:ascii="仿宋" w:hAnsi="仿宋" w:eastAsia="仿宋" w:cs="仿宋"/>
          <w:sz w:val="32"/>
          <w:szCs w:val="32"/>
        </w:rPr>
        <w:t>万元和项目支出结转结余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600" w:lineRule="exact"/>
        <w:ind w:firstLine="643" w:firstLineChars="200"/>
        <w:rPr>
          <w:rFonts w:hint="eastAsia" w:ascii="方正小标宋简体" w:hAnsi="仿宋" w:eastAsia="仿宋"/>
          <w:b/>
          <w:bCs/>
          <w:sz w:val="36"/>
          <w:szCs w:val="36"/>
          <w:lang w:eastAsia="zh-CN"/>
        </w:rPr>
      </w:pPr>
      <w:r>
        <w:rPr>
          <w:rFonts w:hint="eastAsia" w:ascii="仿宋" w:hAnsi="仿宋" w:eastAsia="仿宋" w:cs="仿宋"/>
          <w:b/>
          <w:bCs/>
          <w:sz w:val="32"/>
          <w:szCs w:val="32"/>
        </w:rPr>
        <w:t>（</w:t>
      </w:r>
      <w:r>
        <w:rPr>
          <w:rFonts w:hint="eastAsia" w:ascii="仿宋" w:hAnsi="仿宋" w:eastAsia="仿宋" w:cs="仿宋"/>
          <w:b/>
          <w:bCs/>
          <w:sz w:val="32"/>
          <w:szCs w:val="32"/>
          <w:lang w:eastAsia="zh-CN"/>
        </w:rPr>
        <w:t>七</w:t>
      </w:r>
      <w:r>
        <w:rPr>
          <w:rFonts w:hint="eastAsia" w:ascii="仿宋" w:hAnsi="仿宋" w:eastAsia="仿宋" w:cs="仿宋"/>
          <w:b/>
          <w:bCs/>
          <w:sz w:val="32"/>
          <w:szCs w:val="32"/>
        </w:rPr>
        <w:t>）</w:t>
      </w:r>
      <w:r>
        <w:rPr>
          <w:rFonts w:hint="eastAsia" w:ascii="仿宋" w:hAnsi="仿宋" w:eastAsia="仿宋" w:cs="仿宋"/>
          <w:b/>
          <w:bCs/>
          <w:sz w:val="32"/>
          <w:szCs w:val="32"/>
          <w:lang w:eastAsia="zh-CN"/>
        </w:rPr>
        <w:t>预算绩效情况说明</w:t>
      </w:r>
    </w:p>
    <w:p>
      <w:pPr>
        <w:spacing w:line="600" w:lineRule="exact"/>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1.预算绩效管理评价工作开展情况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根据预算绩效管理要求，我中心对2021年度部门预算项目支出中的其他运转类项目全面开展绩效自评。共涉及资金46.49万元，占一般公共预算项目支出总额的100%。按照计划基本完成了年度工作任务，实现了年度绩效目标。通过项目实施，进一步加强行业人才队伍建设，提升行业业务能力和服务水平，促进经济建设，为政府提供防震减灾工作保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_GB2312"/>
          <w:sz w:val="32"/>
          <w:szCs w:val="32"/>
        </w:rPr>
      </w:pPr>
      <w:r>
        <w:rPr>
          <w:rFonts w:hint="eastAsia" w:ascii="仿宋" w:hAnsi="仿宋" w:eastAsia="仿宋" w:cs="仿宋_GB2312"/>
          <w:sz w:val="32"/>
          <w:szCs w:val="32"/>
          <w:lang w:val="en-US" w:eastAsia="zh-CN"/>
        </w:rPr>
        <w:t>2、部门决算项目绩效自评结果</w:t>
      </w:r>
    </w:p>
    <w:p>
      <w:pPr>
        <w:spacing w:line="600" w:lineRule="exact"/>
        <w:ind w:firstLine="640" w:firstLineChars="200"/>
        <w:rPr>
          <w:rFonts w:hint="eastAsia" w:ascii="黑体" w:hAnsi="黑体" w:eastAsia="黑体"/>
          <w:sz w:val="32"/>
          <w:szCs w:val="32"/>
          <w:lang w:eastAsia="zh-CN"/>
        </w:rPr>
      </w:pPr>
      <w:r>
        <w:rPr>
          <w:rFonts w:hint="eastAsia" w:ascii="仿宋" w:hAnsi="仿宋" w:eastAsia="仿宋" w:cs="仿宋_GB2312"/>
          <w:sz w:val="32"/>
          <w:szCs w:val="32"/>
          <w:lang w:val="en-US" w:eastAsia="zh-CN"/>
        </w:rPr>
        <w:t>2021年度部门决算中，反映业务工作经费一个项目绩效自评结果。</w:t>
      </w:r>
    </w:p>
    <w:p>
      <w:pPr>
        <w:spacing w:line="6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绩效目标的实现情况：结合本单位实际编制合理的年度预算报告，实施厉行节约机制，加强预算执行管理，做好预算执行分析，管好用好有限的财政紫荆，完成年度项目计划。</w:t>
      </w:r>
    </w:p>
    <w:p>
      <w:pPr>
        <w:spacing w:line="6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经济效益：完善群测群防管理机制，建立专、精、强的群测群防工作队伍，依靠科技、法制和全社会的力量，推动我市防震减灾工作健康发展。</w:t>
      </w:r>
    </w:p>
    <w:p>
      <w:pPr>
        <w:spacing w:line="62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社会效益：按照“预防为主，防抗救相结合”的防震减灾工作方针，坚持“着眼长远、专群结合、测防结合、以防为主”的工作原则，一是保证地震监测设施的正常运行。二是加强震情会商和分析预报。三是抓好常规宣传，制定宣传教育工作计划。</w:t>
      </w:r>
    </w:p>
    <w:p>
      <w:pPr>
        <w:spacing w:line="62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行政效能：财政制度严格管理，实现主要领导一支笔审批列支。依靠科技、法制和全社会的力量，推动我市防震减灾工作健康发展。</w:t>
      </w:r>
    </w:p>
    <w:p>
      <w:pPr>
        <w:spacing w:line="600" w:lineRule="exact"/>
        <w:ind w:firstLine="640" w:firstLineChars="200"/>
        <w:rPr>
          <w:rFonts w:hint="default" w:ascii="仿宋" w:hAnsi="仿宋" w:eastAsia="仿宋" w:cs="仿宋_GB2312"/>
          <w:sz w:val="32"/>
          <w:szCs w:val="32"/>
          <w:lang w:val="en-US" w:eastAsia="zh-CN"/>
        </w:rPr>
      </w:pPr>
    </w:p>
    <w:tbl>
      <w:tblPr>
        <w:tblStyle w:val="6"/>
        <w:tblW w:w="105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6"/>
        <w:gridCol w:w="845"/>
        <w:gridCol w:w="1524"/>
        <w:gridCol w:w="1197"/>
        <w:gridCol w:w="3807"/>
        <w:gridCol w:w="1416"/>
        <w:gridCol w:w="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jc w:val="center"/>
        </w:trPr>
        <w:tc>
          <w:tcPr>
            <w:tcW w:w="10540"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项目经费绩效自评表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0" w:hRule="atLeast"/>
          <w:jc w:val="center"/>
        </w:trPr>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单位名称：</w:t>
            </w:r>
          </w:p>
        </w:tc>
        <w:tc>
          <w:tcPr>
            <w:tcW w:w="0" w:type="auto"/>
            <w:gridSpan w:val="3"/>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忻州市防震减灾中心</w:t>
            </w:r>
          </w:p>
        </w:tc>
        <w:tc>
          <w:tcPr>
            <w:tcW w:w="0" w:type="auto"/>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填报日期：2022.7.8</w:t>
            </w:r>
          </w:p>
        </w:tc>
        <w:tc>
          <w:tcPr>
            <w:tcW w:w="0" w:type="auto"/>
            <w:gridSpan w:val="2"/>
            <w:tcBorders>
              <w:top w:val="nil"/>
              <w:left w:val="nil"/>
              <w:bottom w:val="single" w:color="000000" w:sz="4" w:space="0"/>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2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单位负责人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李文元</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单位联系电话</w:t>
            </w:r>
          </w:p>
        </w:tc>
        <w:tc>
          <w:tcPr>
            <w:tcW w:w="5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3046923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2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预算金额（万元）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预算执行金额（万元）</w:t>
            </w:r>
          </w:p>
        </w:tc>
        <w:tc>
          <w:tcPr>
            <w:tcW w:w="5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46.49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20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结余金额（万元）</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结转金额（万元）</w:t>
            </w:r>
          </w:p>
        </w:tc>
        <w:tc>
          <w:tcPr>
            <w:tcW w:w="572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19" w:hRule="atLeast"/>
          <w:jc w:val="center"/>
        </w:trPr>
        <w:tc>
          <w:tcPr>
            <w:tcW w:w="117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部门整体支出情况</w:t>
            </w:r>
          </w:p>
        </w:tc>
        <w:tc>
          <w:tcPr>
            <w:tcW w:w="9367" w:type="dxa"/>
            <w:gridSpan w:val="6"/>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    1、单位职能概况：1.坚持和加强党对防震减灾工作的集中统一领导，贯彻执行国家防震减灾工作发展战略、方针政策、法律法规、地震行业标准和市委、市政府以及上级业务主管部门的防震减灾决策部署。2.参与编制全市防震减灾规划和地震灾区恢复重 建规划，为国土功能规划、城乡建设规划等提出防震减灾建议。3.承担全市地震监测和预警工作。承担全市地震监测台站和预警台网建设维护工作，依法保护辖区内地震监 测、预警设施和环境。4.承担全市地震预测和震情跟踪工作，组织地震宏 微观异常落实，参与区域性地震联防工作，组织全市震情会商，提出地震预测意见。承担全市地震观测数据分析处理任务。5.承担开展地震小区划、地震活动断层探测、地震 地质构造研究等震害防御基础工作。6.承担震情信息报送、地震现场震情监测等工作，协助开展烈度评定、灾害调查与损失评估工作。7.开展防震减灾知识宣传教育工作。8.承办市委、市政府和市应急管理局交办的其他任务。</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    2、单位人员情况：编制16名，实有22人，离退休人员21人，临时人员9人。</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    3、预算执行情况：忻州市防震减灾中心2021年度财政拨款收入合计50万元，其中防震减灾信息管理经费50万元。2021年度支出合计46.49万元。其中防震减灾信息管理支出46.49万，使用率92.98%。</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    4、部门整体支出绩效评价分析：1.绩效目标的实现情况：结合本单位实际编制合理的年度预算报告，实施厉行节约机制，加强预算执行管理，做好预算执行分析，管好用好有限的财政紫荆，完成年度项目计划。2.经济效益：完善群测群防管理机制，建立专、精、强的群测群防工作队伍，依靠科技、法制和全社会的力量，推动我市防震减灾工作健康发展。3.社会效益：按照“预防为主，防抗救相结合”的防震减灾工作方针，坚持“着眼长远、专群结合、测防结合、以防为主”的工作原则，一是保证地震监测设施的正常运行。二是加强震情会商和分析预报。三是抓好常规宣传，制定宣传教育工作计划。4.行政效能：财政制度严格管理，实现主要领导一支笔审批列支。依靠科技、法制和全社会的力量，推动我市防震减灾工作健康发展。</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    5、其他:无。 </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restart"/>
            <w:tcBorders>
              <w:top w:val="single" w:color="000000" w:sz="4" w:space="0"/>
              <w:left w:val="single" w:color="000000" w:sz="4" w:space="0"/>
              <w:bottom w:val="single" w:color="000000" w:sz="4" w:space="0"/>
              <w:right w:val="nil"/>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绩效情况</w:t>
            </w:r>
          </w:p>
        </w:tc>
        <w:tc>
          <w:tcPr>
            <w:tcW w:w="845" w:type="dxa"/>
            <w:vMerge w:val="restart"/>
            <w:tcBorders>
              <w:top w:val="nil"/>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二级指标</w:t>
            </w:r>
          </w:p>
        </w:tc>
        <w:tc>
          <w:tcPr>
            <w:tcW w:w="152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三级指标</w:t>
            </w:r>
          </w:p>
        </w:tc>
        <w:tc>
          <w:tcPr>
            <w:tcW w:w="509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指标分值</w:t>
            </w:r>
          </w:p>
        </w:tc>
        <w:tc>
          <w:tcPr>
            <w:tcW w:w="136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计算分析情况</w:t>
            </w:r>
          </w:p>
        </w:tc>
        <w:tc>
          <w:tcPr>
            <w:tcW w:w="535" w:type="dxa"/>
            <w:vMerge w:val="restart"/>
            <w:tcBorders>
              <w:top w:val="nil"/>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nil"/>
              <w:left w:val="single" w:color="000000" w:sz="8"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参考分值</w:t>
            </w:r>
          </w:p>
        </w:tc>
        <w:tc>
          <w:tcPr>
            <w:tcW w:w="3823" w:type="dxa"/>
            <w:tcBorders>
              <w:top w:val="single" w:color="000000" w:sz="4" w:space="0"/>
              <w:left w:val="single" w:color="000000" w:sz="4" w:space="0"/>
              <w:bottom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设定分值</w:t>
            </w:r>
          </w:p>
        </w:tc>
        <w:tc>
          <w:tcPr>
            <w:tcW w:w="136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nil"/>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2369"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投  入</w:t>
            </w:r>
          </w:p>
        </w:tc>
        <w:tc>
          <w:tcPr>
            <w:tcW w:w="127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14</w:t>
            </w:r>
          </w:p>
        </w:tc>
        <w:tc>
          <w:tcPr>
            <w:tcW w:w="382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14</w:t>
            </w:r>
          </w:p>
        </w:tc>
        <w:tc>
          <w:tcPr>
            <w:tcW w:w="1366"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w:t>
            </w:r>
          </w:p>
        </w:tc>
        <w:tc>
          <w:tcPr>
            <w:tcW w:w="53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目标设定</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工作规划合理性</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工作目标明确性</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restart"/>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预算配置</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在职人员控制率</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“三公经费”变动率</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重点支出安排率</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2369"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过  程</w:t>
            </w:r>
          </w:p>
        </w:tc>
        <w:tc>
          <w:tcPr>
            <w:tcW w:w="127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42</w:t>
            </w:r>
          </w:p>
        </w:tc>
        <w:tc>
          <w:tcPr>
            <w:tcW w:w="382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42</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53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restart"/>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预算执行</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预算完成率</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预算调整率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支付进度</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结转结余率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公用经费控制率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“三公经费”控制率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政府采购执行率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restart"/>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预算管理</w:t>
            </w:r>
          </w:p>
        </w:tc>
        <w:tc>
          <w:tcPr>
            <w:tcW w:w="15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管理制度健全性</w:t>
            </w: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资金使用合规性</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预决算信息公开性</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基础信息完善性</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restart"/>
            <w:tcBorders>
              <w:top w:val="single" w:color="000000" w:sz="4" w:space="0"/>
              <w:left w:val="single" w:color="000000" w:sz="4" w:space="0"/>
              <w:bottom w:val="single" w:color="000000" w:sz="4" w:space="0"/>
              <w:right w:val="nil"/>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绩效情况</w:t>
            </w:r>
          </w:p>
        </w:tc>
        <w:tc>
          <w:tcPr>
            <w:tcW w:w="845" w:type="dxa"/>
            <w:vMerge w:val="restar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二级指标</w:t>
            </w:r>
          </w:p>
        </w:tc>
        <w:tc>
          <w:tcPr>
            <w:tcW w:w="1524" w:type="dxa"/>
            <w:vMerge w:val="restar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三级指标</w:t>
            </w:r>
          </w:p>
        </w:tc>
        <w:tc>
          <w:tcPr>
            <w:tcW w:w="5097" w:type="dxa"/>
            <w:gridSpan w:val="2"/>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指标分值</w:t>
            </w:r>
          </w:p>
        </w:tc>
        <w:tc>
          <w:tcPr>
            <w:tcW w:w="0" w:type="auto"/>
            <w:vMerge w:val="restart"/>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计算分析情况</w:t>
            </w:r>
          </w:p>
        </w:tc>
        <w:tc>
          <w:tcPr>
            <w:tcW w:w="535"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9"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8" w:space="0"/>
              <w:left w:val="single" w:color="000000" w:sz="8"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参考分值</w:t>
            </w:r>
          </w:p>
        </w:tc>
        <w:tc>
          <w:tcPr>
            <w:tcW w:w="3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设定分值</w:t>
            </w:r>
          </w:p>
        </w:tc>
        <w:tc>
          <w:tcPr>
            <w:tcW w:w="0" w:type="auto"/>
            <w:vMerge w:val="continue"/>
            <w:tcBorders>
              <w:top w:val="single" w:color="000000" w:sz="8"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restart"/>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资产管理</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制度健全性</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资产安全性</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固定资产利用率</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2369"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产  出</w:t>
            </w:r>
          </w:p>
        </w:tc>
        <w:tc>
          <w:tcPr>
            <w:tcW w:w="127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24</w:t>
            </w:r>
          </w:p>
        </w:tc>
        <w:tc>
          <w:tcPr>
            <w:tcW w:w="382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24</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53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restart"/>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职责履行</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完成实绩情况</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质量达标情况</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重点工作完成情况</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2369" w:type="dxa"/>
            <w:gridSpan w:val="2"/>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效  果</w:t>
            </w:r>
          </w:p>
        </w:tc>
        <w:tc>
          <w:tcPr>
            <w:tcW w:w="1274"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20</w:t>
            </w:r>
          </w:p>
        </w:tc>
        <w:tc>
          <w:tcPr>
            <w:tcW w:w="3823"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20</w:t>
            </w:r>
          </w:p>
        </w:tc>
        <w:tc>
          <w:tcPr>
            <w:tcW w:w="0" w:type="auto"/>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w:t>
            </w:r>
          </w:p>
        </w:tc>
        <w:tc>
          <w:tcPr>
            <w:tcW w:w="535" w:type="dxa"/>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restart"/>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履职效益</w:t>
            </w: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经济效益</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社会效益</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生态效益</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公众或服务对象</w:t>
            </w:r>
            <w:r>
              <w:rPr>
                <w:rFonts w:hint="default" w:ascii="仿宋_GB2312" w:hAnsi="宋体" w:eastAsia="仿宋_GB2312" w:cs="仿宋_GB2312"/>
                <w:i w:val="0"/>
                <w:iCs w:val="0"/>
                <w:color w:val="000000"/>
                <w:kern w:val="0"/>
                <w:sz w:val="20"/>
                <w:szCs w:val="20"/>
                <w:u w:val="none"/>
                <w:lang w:val="en-US" w:eastAsia="zh-CN" w:bidi="ar"/>
              </w:rPr>
              <w:br w:type="textWrapping"/>
            </w:r>
            <w:r>
              <w:rPr>
                <w:rFonts w:hint="default" w:ascii="仿宋_GB2312" w:hAnsi="宋体" w:eastAsia="仿宋_GB2312" w:cs="仿宋_GB2312"/>
                <w:i w:val="0"/>
                <w:iCs w:val="0"/>
                <w:color w:val="000000"/>
                <w:kern w:val="0"/>
                <w:sz w:val="20"/>
                <w:szCs w:val="20"/>
                <w:u w:val="none"/>
                <w:lang w:val="en-US" w:eastAsia="zh-CN" w:bidi="ar"/>
              </w:rPr>
              <w:t>满意度</w:t>
            </w:r>
          </w:p>
        </w:tc>
        <w:tc>
          <w:tcPr>
            <w:tcW w:w="127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38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restart"/>
            <w:tcBorders>
              <w:top w:val="single" w:color="000000" w:sz="4"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9"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845" w:type="dxa"/>
            <w:vMerge w:val="continue"/>
            <w:tcBorders>
              <w:top w:val="single" w:color="000000" w:sz="4" w:space="0"/>
              <w:left w:val="single" w:color="000000" w:sz="8" w:space="0"/>
              <w:bottom w:val="single" w:color="000000" w:sz="8"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15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127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38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535" w:type="dxa"/>
            <w:vMerge w:val="continue"/>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2369"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综合得分</w:t>
            </w:r>
          </w:p>
        </w:tc>
        <w:tc>
          <w:tcPr>
            <w:tcW w:w="5097"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100</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nil"/>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23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评价结果等次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173"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评价人员</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职务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科室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0"/>
                <w:szCs w:val="20"/>
                <w:u w:val="none"/>
              </w:rPr>
            </w:pPr>
            <w:r>
              <w:rPr>
                <w:rFonts w:hint="default" w:ascii="仿宋_GB2312" w:hAnsi="宋体" w:eastAsia="仿宋_GB2312" w:cs="仿宋_GB2312"/>
                <w:b/>
                <w:bCs/>
                <w:i w:val="0"/>
                <w:iCs w:val="0"/>
                <w:color w:val="000000"/>
                <w:kern w:val="0"/>
                <w:sz w:val="20"/>
                <w:szCs w:val="20"/>
                <w:u w:val="none"/>
                <w:lang w:val="en-US" w:eastAsia="zh-CN" w:bidi="ar"/>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马会亮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副主任</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办公室</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173"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20"/>
                <w:szCs w:val="20"/>
                <w:u w:val="none"/>
              </w:rPr>
            </w:pP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000000"/>
                <w:sz w:val="20"/>
                <w:szCs w:val="20"/>
                <w:u w:val="none"/>
                <w:lang w:eastAsia="zh-CN"/>
              </w:rPr>
            </w:pPr>
            <w:r>
              <w:rPr>
                <w:rFonts w:hint="eastAsia" w:ascii="仿宋_GB2312" w:hAnsi="宋体" w:eastAsia="仿宋_GB2312" w:cs="仿宋_GB2312"/>
                <w:i w:val="0"/>
                <w:iCs w:val="0"/>
                <w:color w:val="000000"/>
                <w:sz w:val="20"/>
                <w:szCs w:val="20"/>
                <w:u w:val="none"/>
                <w:lang w:eastAsia="zh-CN"/>
              </w:rPr>
              <w:t>马会亮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2018" w:type="dxa"/>
            <w:gridSpan w:val="2"/>
            <w:tcBorders>
              <w:top w:val="single" w:color="000000" w:sz="4" w:space="0"/>
              <w:left w:val="single" w:color="000000" w:sz="8" w:space="0"/>
              <w:bottom w:val="nil"/>
              <w:right w:val="nil"/>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 单位负责人：</w:t>
            </w:r>
          </w:p>
        </w:tc>
        <w:tc>
          <w:tcPr>
            <w:tcW w:w="1524" w:type="dxa"/>
            <w:tcBorders>
              <w:top w:val="single" w:color="000000" w:sz="4" w:space="0"/>
              <w:left w:val="nil"/>
              <w:bottom w:val="nil"/>
              <w:right w:val="nil"/>
            </w:tcBorders>
            <w:shd w:val="clear" w:color="auto" w:fill="auto"/>
            <w:vAlign w:val="center"/>
          </w:tcPr>
          <w:p>
            <w:pPr>
              <w:rPr>
                <w:rFonts w:hint="eastAsia" w:ascii="仿宋_GB2312" w:hAnsi="宋体" w:eastAsia="仿宋_GB2312" w:cs="仿宋_GB2312"/>
                <w:i w:val="0"/>
                <w:iCs w:val="0"/>
                <w:color w:val="000000"/>
                <w:sz w:val="20"/>
                <w:szCs w:val="20"/>
                <w:u w:val="none"/>
                <w:lang w:eastAsia="zh-CN"/>
              </w:rPr>
            </w:pPr>
            <w:r>
              <w:rPr>
                <w:rFonts w:hint="eastAsia" w:ascii="仿宋_GB2312" w:hAnsi="宋体" w:eastAsia="仿宋_GB2312" w:cs="仿宋_GB2312"/>
                <w:i w:val="0"/>
                <w:iCs w:val="0"/>
                <w:color w:val="000000"/>
                <w:sz w:val="20"/>
                <w:szCs w:val="20"/>
                <w:u w:val="none"/>
                <w:lang w:eastAsia="zh-CN"/>
              </w:rPr>
              <w:t>张淑强</w:t>
            </w:r>
          </w:p>
        </w:tc>
        <w:tc>
          <w:tcPr>
            <w:tcW w:w="1274" w:type="dxa"/>
            <w:tcBorders>
              <w:top w:val="single" w:color="000000" w:sz="4" w:space="0"/>
              <w:left w:val="nil"/>
              <w:bottom w:val="nil"/>
              <w:right w:val="nil"/>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3823" w:type="dxa"/>
            <w:tcBorders>
              <w:top w:val="single" w:color="000000" w:sz="4" w:space="0"/>
              <w:left w:val="nil"/>
              <w:bottom w:val="nil"/>
              <w:right w:val="nil"/>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1366" w:type="dxa"/>
            <w:tcBorders>
              <w:top w:val="single" w:color="000000" w:sz="4" w:space="0"/>
              <w:left w:val="nil"/>
              <w:bottom w:val="nil"/>
              <w:right w:val="nil"/>
            </w:tcBorders>
            <w:shd w:val="clear" w:color="auto" w:fill="auto"/>
            <w:vAlign w:val="center"/>
          </w:tcPr>
          <w:p>
            <w:pPr>
              <w:rPr>
                <w:rFonts w:hint="default" w:ascii="仿宋_GB2312" w:hAnsi="宋体" w:eastAsia="仿宋_GB2312" w:cs="仿宋_GB2312"/>
                <w:i w:val="0"/>
                <w:iCs w:val="0"/>
                <w:color w:val="000000"/>
                <w:sz w:val="20"/>
                <w:szCs w:val="20"/>
                <w:u w:val="none"/>
              </w:rPr>
            </w:pPr>
          </w:p>
        </w:tc>
        <w:tc>
          <w:tcPr>
            <w:tcW w:w="535" w:type="dxa"/>
            <w:tcBorders>
              <w:top w:val="single" w:color="000000" w:sz="4" w:space="0"/>
              <w:left w:val="nil"/>
              <w:bottom w:val="nil"/>
              <w:right w:val="single" w:color="000000" w:sz="8" w:space="0"/>
            </w:tcBorders>
            <w:shd w:val="clear" w:color="auto" w:fill="auto"/>
            <w:vAlign w:val="center"/>
          </w:tcPr>
          <w:p>
            <w:pPr>
              <w:rPr>
                <w:rFonts w:hint="default"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0" w:hRule="atLeast"/>
          <w:jc w:val="center"/>
        </w:trPr>
        <w:tc>
          <w:tcPr>
            <w:tcW w:w="10540" w:type="dxa"/>
            <w:gridSpan w:val="7"/>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right"/>
              <w:textAlignment w:val="center"/>
              <w:rPr>
                <w:rFonts w:hint="default" w:ascii="仿宋_GB2312" w:hAnsi="宋体" w:eastAsia="仿宋_GB2312" w:cs="仿宋_GB2312"/>
                <w:i w:val="0"/>
                <w:iCs w:val="0"/>
                <w:color w:val="000000"/>
                <w:sz w:val="20"/>
                <w:szCs w:val="20"/>
                <w:u w:val="none"/>
              </w:rPr>
            </w:pPr>
            <w:r>
              <w:rPr>
                <w:rFonts w:hint="default" w:ascii="仿宋_GB2312" w:hAnsi="宋体" w:eastAsia="仿宋_GB2312" w:cs="仿宋_GB2312"/>
                <w:i w:val="0"/>
                <w:iCs w:val="0"/>
                <w:color w:val="000000"/>
                <w:kern w:val="0"/>
                <w:sz w:val="20"/>
                <w:szCs w:val="20"/>
                <w:u w:val="none"/>
                <w:lang w:val="en-US" w:eastAsia="zh-CN" w:bidi="ar"/>
              </w:rPr>
              <w:t xml:space="preserve">                </w:t>
            </w:r>
            <w:r>
              <w:rPr>
                <w:rFonts w:hint="eastAsia" w:ascii="仿宋_GB2312" w:hAnsi="宋体" w:eastAsia="仿宋_GB2312" w:cs="仿宋_GB2312"/>
                <w:i w:val="0"/>
                <w:iCs w:val="0"/>
                <w:color w:val="000000"/>
                <w:kern w:val="0"/>
                <w:sz w:val="20"/>
                <w:szCs w:val="20"/>
                <w:u w:val="none"/>
                <w:lang w:val="en-US" w:eastAsia="zh-CN" w:bidi="ar"/>
              </w:rPr>
              <w:t xml:space="preserve">  </w:t>
            </w:r>
            <w:r>
              <w:rPr>
                <w:rFonts w:hint="default" w:ascii="仿宋_GB2312" w:hAnsi="宋体" w:eastAsia="仿宋_GB2312" w:cs="仿宋_GB2312"/>
                <w:i w:val="0"/>
                <w:iCs w:val="0"/>
                <w:color w:val="000000"/>
                <w:kern w:val="0"/>
                <w:sz w:val="20"/>
                <w:szCs w:val="20"/>
                <w:u w:val="none"/>
                <w:lang w:val="en-US" w:eastAsia="zh-CN" w:bidi="ar"/>
              </w:rPr>
              <w:t xml:space="preserve"> </w:t>
            </w:r>
            <w:r>
              <w:rPr>
                <w:rFonts w:hint="eastAsia" w:ascii="仿宋_GB2312" w:hAnsi="宋体" w:eastAsia="仿宋_GB2312" w:cs="仿宋_GB2312"/>
                <w:i w:val="0"/>
                <w:iCs w:val="0"/>
                <w:color w:val="000000"/>
                <w:kern w:val="0"/>
                <w:sz w:val="20"/>
                <w:szCs w:val="20"/>
                <w:u w:val="none"/>
                <w:lang w:val="en-US" w:eastAsia="zh-CN" w:bidi="ar"/>
              </w:rPr>
              <w:t>2022</w:t>
            </w:r>
            <w:r>
              <w:rPr>
                <w:rFonts w:hint="default" w:ascii="仿宋_GB2312" w:hAnsi="宋体" w:eastAsia="仿宋_GB2312" w:cs="仿宋_GB2312"/>
                <w:i w:val="0"/>
                <w:iCs w:val="0"/>
                <w:color w:val="000000"/>
                <w:kern w:val="0"/>
                <w:sz w:val="20"/>
                <w:szCs w:val="20"/>
                <w:u w:val="none"/>
                <w:lang w:val="en-US" w:eastAsia="zh-CN" w:bidi="ar"/>
              </w:rPr>
              <w:t xml:space="preserve">年 </w:t>
            </w:r>
            <w:r>
              <w:rPr>
                <w:rFonts w:hint="eastAsia" w:ascii="仿宋_GB2312" w:hAnsi="宋体" w:eastAsia="仿宋_GB2312" w:cs="仿宋_GB2312"/>
                <w:i w:val="0"/>
                <w:iCs w:val="0"/>
                <w:color w:val="000000"/>
                <w:kern w:val="0"/>
                <w:sz w:val="20"/>
                <w:szCs w:val="20"/>
                <w:u w:val="none"/>
                <w:lang w:val="en-US" w:eastAsia="zh-CN" w:bidi="ar"/>
              </w:rPr>
              <w:t>7</w:t>
            </w:r>
            <w:r>
              <w:rPr>
                <w:rFonts w:hint="default" w:ascii="仿宋_GB2312" w:hAnsi="宋体" w:eastAsia="仿宋_GB2312" w:cs="仿宋_GB2312"/>
                <w:i w:val="0"/>
                <w:iCs w:val="0"/>
                <w:color w:val="000000"/>
                <w:kern w:val="0"/>
                <w:sz w:val="20"/>
                <w:szCs w:val="20"/>
                <w:u w:val="none"/>
                <w:lang w:val="en-US" w:eastAsia="zh-CN" w:bidi="ar"/>
              </w:rPr>
              <w:t>月</w:t>
            </w:r>
            <w:r>
              <w:rPr>
                <w:rFonts w:hint="eastAsia" w:ascii="仿宋_GB2312" w:hAnsi="宋体" w:eastAsia="仿宋_GB2312" w:cs="仿宋_GB2312"/>
                <w:i w:val="0"/>
                <w:iCs w:val="0"/>
                <w:color w:val="000000"/>
                <w:kern w:val="0"/>
                <w:sz w:val="20"/>
                <w:szCs w:val="20"/>
                <w:u w:val="none"/>
                <w:lang w:val="en-US" w:eastAsia="zh-CN" w:bidi="ar"/>
              </w:rPr>
              <w:t>8</w:t>
            </w:r>
            <w:bookmarkStart w:id="0" w:name="_GoBack"/>
            <w:bookmarkEnd w:id="0"/>
            <w:r>
              <w:rPr>
                <w:rFonts w:hint="default" w:ascii="仿宋_GB2312" w:hAnsi="宋体" w:eastAsia="仿宋_GB2312" w:cs="仿宋_GB2312"/>
                <w:i w:val="0"/>
                <w:iCs w:val="0"/>
                <w:color w:val="000000"/>
                <w:kern w:val="0"/>
                <w:sz w:val="20"/>
                <w:szCs w:val="20"/>
                <w:u w:val="none"/>
                <w:lang w:val="en-US" w:eastAsia="zh-CN" w:bidi="ar"/>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9" w:hRule="atLeast"/>
          <w:jc w:val="center"/>
        </w:trPr>
        <w:tc>
          <w:tcPr>
            <w:tcW w:w="10540" w:type="dxa"/>
            <w:gridSpan w:val="7"/>
            <w:tcBorders>
              <w:top w:val="single" w:color="000000" w:sz="8" w:space="0"/>
              <w:left w:val="nil"/>
              <w:bottom w:val="nil"/>
              <w:right w:val="nil"/>
            </w:tcBorders>
            <w:shd w:val="clear" w:color="auto" w:fill="auto"/>
            <w:vAlign w:val="top"/>
          </w:tcPr>
          <w:p>
            <w:pPr>
              <w:keepNext w:val="0"/>
              <w:keepLines w:val="0"/>
              <w:widowControl/>
              <w:suppressLineNumbers w:val="0"/>
              <w:jc w:val="left"/>
              <w:textAlignment w:val="top"/>
              <w:rPr>
                <w:rFonts w:hint="default" w:ascii="Times New Roman" w:hAnsi="Times New Roman" w:eastAsia="宋体" w:cs="Times New Roman"/>
                <w:i w:val="0"/>
                <w:iCs w:val="0"/>
                <w:color w:val="000000"/>
                <w:sz w:val="20"/>
                <w:szCs w:val="20"/>
                <w:u w:val="none"/>
              </w:rPr>
            </w:pPr>
            <w:r>
              <w:rPr>
                <w:rStyle w:val="14"/>
                <w:rFonts w:eastAsia="宋体"/>
                <w:lang w:val="en-US" w:eastAsia="zh-CN" w:bidi="ar"/>
              </w:rPr>
              <w:t xml:space="preserve">    </w:t>
            </w:r>
            <w:r>
              <w:rPr>
                <w:rStyle w:val="15"/>
                <w:lang w:val="en-US" w:eastAsia="zh-CN" w:bidi="ar"/>
              </w:rPr>
              <w:t>备注：</w:t>
            </w:r>
            <w:r>
              <w:rPr>
                <w:rStyle w:val="14"/>
                <w:rFonts w:eastAsia="宋体"/>
                <w:lang w:val="en-US" w:eastAsia="zh-CN" w:bidi="ar"/>
              </w:rPr>
              <w:t>1.</w:t>
            </w:r>
            <w:r>
              <w:rPr>
                <w:rStyle w:val="15"/>
                <w:lang w:val="en-US" w:eastAsia="zh-CN" w:bidi="ar"/>
              </w:rPr>
              <w:t>“设定分值”填写各单位根据自身实际情况和参考分值设定的评价指标的分值；</w:t>
            </w:r>
            <w:r>
              <w:rPr>
                <w:rStyle w:val="15"/>
                <w:lang w:val="en-US" w:eastAsia="zh-CN" w:bidi="ar"/>
              </w:rPr>
              <w:br w:type="textWrapping"/>
            </w:r>
            <w:r>
              <w:rPr>
                <w:rStyle w:val="14"/>
                <w:rFonts w:eastAsia="宋体"/>
                <w:lang w:val="en-US" w:eastAsia="zh-CN" w:bidi="ar"/>
              </w:rPr>
              <w:t xml:space="preserve">                2.</w:t>
            </w:r>
            <w:r>
              <w:rPr>
                <w:rStyle w:val="15"/>
                <w:lang w:val="en-US" w:eastAsia="zh-CN" w:bidi="ar"/>
              </w:rPr>
              <w:t>“计算分析情况”填写对应指标项的计算过程和分析过程；</w:t>
            </w:r>
            <w:r>
              <w:rPr>
                <w:rStyle w:val="15"/>
                <w:lang w:val="en-US" w:eastAsia="zh-CN" w:bidi="ar"/>
              </w:rPr>
              <w:br w:type="textWrapping"/>
            </w:r>
            <w:r>
              <w:rPr>
                <w:rStyle w:val="14"/>
                <w:rFonts w:eastAsia="宋体"/>
                <w:lang w:val="en-US" w:eastAsia="zh-CN" w:bidi="ar"/>
              </w:rPr>
              <w:t xml:space="preserve">                3.</w:t>
            </w:r>
            <w:r>
              <w:rPr>
                <w:rStyle w:val="15"/>
                <w:lang w:val="en-US" w:eastAsia="zh-CN" w:bidi="ar"/>
              </w:rPr>
              <w:t>“评价得分”填写该项指标得分。</w:t>
            </w:r>
          </w:p>
        </w:tc>
      </w:tr>
    </w:tbl>
    <w:p>
      <w:pPr>
        <w:spacing w:line="600" w:lineRule="exact"/>
        <w:ind w:firstLine="640" w:firstLineChars="200"/>
        <w:rPr>
          <w:rFonts w:hint="eastAsia" w:ascii="仿宋" w:hAnsi="仿宋" w:eastAsia="仿宋"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firstLine="643" w:firstLineChars="200"/>
        <w:textAlignment w:val="auto"/>
        <w:rPr>
          <w:rFonts w:hint="eastAsia" w:ascii="仿宋" w:hAnsi="仿宋" w:eastAsia="仿宋"/>
          <w:sz w:val="32"/>
          <w:szCs w:val="32"/>
          <w:lang w:eastAsia="zh-CN"/>
        </w:rPr>
      </w:pPr>
      <w:r>
        <w:rPr>
          <w:rFonts w:hint="eastAsia" w:ascii="仿宋" w:hAnsi="仿宋" w:eastAsia="仿宋"/>
          <w:b/>
          <w:bCs/>
          <w:sz w:val="32"/>
          <w:szCs w:val="32"/>
          <w:lang w:eastAsia="zh-CN"/>
        </w:rPr>
        <w:t>（八）其他需要说明的事项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我中心无其他需要说明的事项</w:t>
      </w:r>
    </w:p>
    <w:p>
      <w:pPr>
        <w:spacing w:line="600" w:lineRule="exact"/>
        <w:ind w:firstLine="640" w:firstLineChars="200"/>
        <w:rPr>
          <w:rFonts w:ascii="黑体" w:hAnsi="黑体" w:eastAsia="黑体"/>
          <w:color w:val="000000"/>
          <w:szCs w:val="21"/>
        </w:rPr>
      </w:pPr>
      <w:r>
        <w:rPr>
          <w:rFonts w:hint="eastAsia" w:ascii="黑体" w:hAnsi="黑体" w:eastAsia="黑体" w:cs="仿宋_GB2312"/>
          <w:color w:val="000000"/>
          <w:sz w:val="32"/>
          <w:szCs w:val="32"/>
        </w:rPr>
        <w:t>第四部分</w:t>
      </w:r>
      <w:r>
        <w:rPr>
          <w:rFonts w:hint="eastAsia" w:ascii="黑体" w:hAnsi="黑体" w:eastAsia="黑体" w:cs="仿宋_GB2312"/>
          <w:color w:val="000000"/>
          <w:sz w:val="32"/>
          <w:szCs w:val="32"/>
          <w:lang w:val="en-US" w:eastAsia="zh-CN"/>
        </w:rPr>
        <w:t xml:space="preserve">  </w:t>
      </w:r>
      <w:r>
        <w:rPr>
          <w:rFonts w:hint="eastAsia" w:ascii="黑体" w:hAnsi="黑体" w:eastAsia="黑体" w:cs="仿宋_GB2312"/>
          <w:color w:val="000000"/>
          <w:sz w:val="32"/>
          <w:szCs w:val="32"/>
        </w:rPr>
        <w:t xml:space="preserve">  </w:t>
      </w:r>
      <w:r>
        <w:rPr>
          <w:rFonts w:ascii="黑体" w:hAnsi="黑体" w:eastAsia="黑体" w:cs="仿宋_GB2312"/>
          <w:color w:val="000000"/>
          <w:sz w:val="32"/>
          <w:szCs w:val="32"/>
        </w:rPr>
        <w:t>名词解释</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eastAsia="仿宋_GB2312" w:cs="仿宋_GB2312"/>
          <w:color w:val="000000"/>
          <w:sz w:val="32"/>
          <w:szCs w:val="32"/>
        </w:rPr>
      </w:pPr>
      <w:r>
        <w:rPr>
          <w:rFonts w:hint="eastAsia" w:ascii="仿宋_GB2312" w:eastAsia="仿宋_GB2312" w:cs="仿宋_GB2312"/>
          <w:b/>
          <w:bCs/>
          <w:color w:val="000000"/>
          <w:sz w:val="32"/>
          <w:szCs w:val="32"/>
          <w:lang w:eastAsia="zh-CN"/>
        </w:rPr>
        <w:t>财政</w:t>
      </w:r>
      <w:r>
        <w:rPr>
          <w:rFonts w:ascii="仿宋_GB2312" w:eastAsia="仿宋_GB2312" w:cs="仿宋_GB2312"/>
          <w:b/>
          <w:bCs/>
          <w:color w:val="000000"/>
          <w:sz w:val="32"/>
          <w:szCs w:val="32"/>
        </w:rPr>
        <w:t>拨款收入：</w:t>
      </w:r>
      <w:r>
        <w:rPr>
          <w:rFonts w:ascii="仿宋_GB2312" w:eastAsia="仿宋_GB2312" w:cs="仿宋_GB2312"/>
          <w:color w:val="000000"/>
          <w:sz w:val="32"/>
          <w:szCs w:val="32"/>
        </w:rPr>
        <w:t>指</w:t>
      </w:r>
      <w:r>
        <w:rPr>
          <w:rFonts w:hint="eastAsia" w:ascii="仿宋_GB2312" w:eastAsia="仿宋_GB2312" w:cs="仿宋_GB2312"/>
          <w:color w:val="000000"/>
          <w:sz w:val="32"/>
          <w:szCs w:val="32"/>
          <w:lang w:eastAsia="zh-CN"/>
        </w:rPr>
        <w:t>单位从同级财政部门取得的财政预算资金</w:t>
      </w:r>
      <w:r>
        <w:rPr>
          <w:rFonts w:ascii="仿宋_GB2312" w:eastAsia="仿宋_GB2312" w:cs="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cs="仿宋_GB2312"/>
          <w:color w:val="000000"/>
          <w:sz w:val="32"/>
          <w:szCs w:val="32"/>
        </w:rPr>
      </w:pPr>
      <w:r>
        <w:rPr>
          <w:rFonts w:hint="eastAsia" w:ascii="仿宋_GB2312" w:eastAsia="仿宋_GB2312" w:cs="仿宋_GB2312"/>
          <w:b/>
          <w:bCs/>
          <w:color w:val="000000"/>
          <w:sz w:val="32"/>
          <w:szCs w:val="32"/>
        </w:rPr>
        <w:t>事业收入：</w:t>
      </w:r>
      <w:r>
        <w:rPr>
          <w:rFonts w:hint="eastAsia" w:ascii="仿宋_GB2312" w:eastAsia="仿宋_GB2312" w:cs="仿宋_GB2312"/>
          <w:color w:val="000000"/>
          <w:sz w:val="32"/>
          <w:szCs w:val="32"/>
        </w:rPr>
        <w:t>指事业单位开展专业业务活动及辅助活动取得的收入。</w:t>
      </w:r>
    </w:p>
    <w:p>
      <w:pPr>
        <w:pStyle w:val="5"/>
        <w:widowControl w:val="0"/>
        <w:spacing w:before="0" w:beforeAutospacing="0" w:after="0" w:afterAutospacing="0" w:line="600" w:lineRule="exact"/>
        <w:ind w:firstLine="803" w:firstLineChars="250"/>
        <w:jc w:val="both"/>
        <w:rPr>
          <w:rFonts w:ascii="仿宋_GB2312" w:eastAsia="仿宋_GB2312" w:cs="仿宋_GB2312"/>
          <w:color w:val="000000"/>
          <w:sz w:val="32"/>
          <w:szCs w:val="32"/>
        </w:rPr>
      </w:pPr>
      <w:r>
        <w:rPr>
          <w:rFonts w:hint="eastAsia" w:ascii="仿宋_GB2312" w:eastAsia="仿宋_GB2312" w:cs="仿宋_GB2312"/>
          <w:b/>
          <w:bCs/>
          <w:color w:val="000000"/>
          <w:sz w:val="32"/>
          <w:szCs w:val="32"/>
        </w:rPr>
        <w:t>经营收入：</w:t>
      </w:r>
      <w:r>
        <w:rPr>
          <w:rFonts w:hint="eastAsia" w:ascii="仿宋_GB2312" w:eastAsia="仿宋_GB2312" w:cs="仿宋_GB2312"/>
          <w:color w:val="000000"/>
          <w:sz w:val="32"/>
          <w:szCs w:val="32"/>
        </w:rPr>
        <w:t>指事业单位在专业业务活动及</w:t>
      </w:r>
      <w:r>
        <w:rPr>
          <w:rFonts w:hint="eastAsia" w:ascii="仿宋_GB2312" w:eastAsia="仿宋_GB2312" w:cs="仿宋_GB2312"/>
          <w:color w:val="000000"/>
          <w:sz w:val="32"/>
          <w:szCs w:val="32"/>
          <w:lang w:eastAsia="zh-CN"/>
        </w:rPr>
        <w:t>其</w:t>
      </w:r>
      <w:r>
        <w:rPr>
          <w:rFonts w:hint="eastAsia" w:ascii="仿宋_GB2312" w:eastAsia="仿宋_GB2312" w:cs="仿宋_GB2312"/>
          <w:color w:val="000000"/>
          <w:sz w:val="32"/>
          <w:szCs w:val="32"/>
        </w:rPr>
        <w:t>辅助活动之外开展非独立核算经营活动取得的收入。</w:t>
      </w:r>
    </w:p>
    <w:p>
      <w:pPr>
        <w:pStyle w:val="5"/>
        <w:widowControl w:val="0"/>
        <w:spacing w:before="0" w:beforeAutospacing="0" w:after="0" w:afterAutospacing="0" w:line="600" w:lineRule="exact"/>
        <w:ind w:firstLine="803" w:firstLineChars="250"/>
        <w:jc w:val="both"/>
        <w:rPr>
          <w:rFonts w:ascii="仿宋_GB2312" w:eastAsia="仿宋_GB2312" w:cs="仿宋_GB2312"/>
          <w:color w:val="000000"/>
          <w:sz w:val="32"/>
          <w:szCs w:val="32"/>
        </w:rPr>
      </w:pPr>
      <w:r>
        <w:rPr>
          <w:rFonts w:hint="eastAsia" w:ascii="仿宋_GB2312" w:eastAsia="仿宋_GB2312" w:cs="仿宋_GB2312"/>
          <w:b/>
          <w:bCs/>
          <w:color w:val="000000"/>
          <w:sz w:val="32"/>
          <w:szCs w:val="32"/>
        </w:rPr>
        <w:t>其他收入：</w:t>
      </w:r>
      <w:r>
        <w:rPr>
          <w:rFonts w:hint="eastAsia" w:ascii="仿宋_GB2312" w:eastAsia="仿宋_GB2312" w:cs="仿宋_GB2312"/>
          <w:color w:val="000000"/>
          <w:sz w:val="32"/>
          <w:szCs w:val="32"/>
        </w:rPr>
        <w:t>指单位取得的除上述收入以外的各项收入。主要是按规定动用的售房收入、存款利息收入等。</w:t>
      </w:r>
    </w:p>
    <w:p>
      <w:pPr>
        <w:pStyle w:val="5"/>
        <w:widowControl w:val="0"/>
        <w:spacing w:before="0" w:beforeAutospacing="0" w:after="0" w:afterAutospacing="0" w:line="600" w:lineRule="exact"/>
        <w:ind w:firstLine="803" w:firstLineChars="250"/>
        <w:jc w:val="both"/>
        <w:rPr>
          <w:rFonts w:hint="eastAsia" w:ascii="仿宋_GB2312" w:eastAsia="仿宋_GB2312" w:cs="仿宋_GB2312"/>
          <w:color w:val="000000"/>
          <w:sz w:val="32"/>
          <w:szCs w:val="32"/>
          <w:lang w:eastAsia="zh-CN"/>
        </w:rPr>
      </w:pPr>
      <w:r>
        <w:rPr>
          <w:rFonts w:hint="eastAsia" w:ascii="仿宋_GB2312" w:eastAsia="仿宋_GB2312" w:cs="仿宋_GB2312"/>
          <w:b/>
          <w:bCs/>
          <w:color w:val="000000"/>
          <w:sz w:val="32"/>
          <w:szCs w:val="32"/>
          <w:lang w:eastAsia="zh-CN"/>
        </w:rPr>
        <w:t>使用非财政拨款结余：</w:t>
      </w:r>
      <w:r>
        <w:rPr>
          <w:rFonts w:hint="eastAsia" w:ascii="仿宋_GB2312" w:eastAsia="仿宋_GB2312" w:cs="仿宋_GB2312"/>
          <w:color w:val="000000"/>
          <w:sz w:val="32"/>
          <w:szCs w:val="32"/>
          <w:lang w:eastAsia="zh-CN"/>
        </w:rPr>
        <w:t>指事业单位使用以前年度积累的非财政拨款结余弥补当年收支差额的金额。</w:t>
      </w:r>
    </w:p>
    <w:p>
      <w:pPr>
        <w:pStyle w:val="5"/>
        <w:widowControl w:val="0"/>
        <w:spacing w:before="0" w:beforeAutospacing="0" w:after="0" w:afterAutospacing="0" w:line="600" w:lineRule="exact"/>
        <w:ind w:firstLine="803" w:firstLineChars="250"/>
        <w:jc w:val="both"/>
        <w:rPr>
          <w:rFonts w:hint="eastAsia" w:ascii="仿宋_GB2312" w:eastAsia="仿宋_GB2312" w:cs="仿宋_GB2312"/>
          <w:color w:val="000000"/>
          <w:sz w:val="32"/>
          <w:szCs w:val="32"/>
          <w:lang w:eastAsia="zh-CN"/>
        </w:rPr>
      </w:pPr>
      <w:r>
        <w:rPr>
          <w:rFonts w:hint="eastAsia" w:ascii="仿宋_GB2312" w:eastAsia="仿宋_GB2312" w:cs="仿宋_GB2312"/>
          <w:b/>
          <w:bCs/>
          <w:color w:val="000000"/>
          <w:sz w:val="32"/>
          <w:szCs w:val="32"/>
        </w:rPr>
        <w:t>年初结转和结余：</w:t>
      </w:r>
      <w:r>
        <w:rPr>
          <w:rFonts w:hint="eastAsia" w:ascii="仿宋_GB2312" w:eastAsia="仿宋_GB2312" w:cs="仿宋_GB2312"/>
          <w:color w:val="000000"/>
          <w:sz w:val="32"/>
          <w:szCs w:val="32"/>
        </w:rPr>
        <w:t>指单位以前年度尚未完成、结转到本年按有关规定继续使用的资金</w:t>
      </w:r>
      <w:r>
        <w:rPr>
          <w:rFonts w:hint="eastAsia" w:ascii="仿宋_GB2312" w:eastAsia="仿宋_GB2312" w:cs="仿宋_GB2312"/>
          <w:color w:val="000000"/>
          <w:sz w:val="32"/>
          <w:szCs w:val="32"/>
          <w:lang w:eastAsia="zh-CN"/>
        </w:rPr>
        <w:t>，或项目已完成等产生的结余资金。</w:t>
      </w:r>
    </w:p>
    <w:p>
      <w:pPr>
        <w:pStyle w:val="5"/>
        <w:widowControl w:val="0"/>
        <w:spacing w:before="0" w:beforeAutospacing="0" w:after="0" w:afterAutospacing="0" w:line="600" w:lineRule="exact"/>
        <w:ind w:firstLine="803" w:firstLineChars="250"/>
        <w:jc w:val="both"/>
        <w:rPr>
          <w:rFonts w:hint="eastAsia" w:ascii="仿宋_GB2312" w:eastAsia="仿宋_GB2312" w:cs="仿宋_GB2312"/>
          <w:color w:val="000000"/>
          <w:sz w:val="32"/>
          <w:szCs w:val="32"/>
          <w:lang w:eastAsia="zh-CN"/>
        </w:rPr>
      </w:pPr>
      <w:r>
        <w:rPr>
          <w:rFonts w:hint="eastAsia" w:ascii="仿宋_GB2312" w:eastAsia="仿宋_GB2312" w:cs="仿宋_GB2312"/>
          <w:b/>
          <w:bCs/>
          <w:color w:val="000000"/>
          <w:sz w:val="32"/>
          <w:szCs w:val="32"/>
          <w:lang w:eastAsia="zh-CN"/>
        </w:rPr>
        <w:t>结余分配：</w:t>
      </w:r>
      <w:r>
        <w:rPr>
          <w:rFonts w:hint="eastAsia" w:ascii="仿宋_GB2312" w:eastAsia="仿宋_GB2312" w:cs="仿宋_GB2312"/>
          <w:color w:val="000000"/>
          <w:sz w:val="32"/>
          <w:szCs w:val="32"/>
          <w:lang w:eastAsia="zh-CN"/>
        </w:rPr>
        <w:t>指事业单位按照会计制度规定缴纳的所得税、提取的专用结余以及转入非财政拨款结余的金额等。</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eastAsia" w:ascii="仿宋_GB2312" w:eastAsia="仿宋_GB2312" w:cs="仿宋_GB2312"/>
          <w:color w:val="000000"/>
          <w:sz w:val="32"/>
          <w:szCs w:val="32"/>
          <w:lang w:eastAsia="zh-CN"/>
        </w:rPr>
      </w:pPr>
      <w:r>
        <w:rPr>
          <w:rFonts w:hint="eastAsia" w:ascii="仿宋_GB2312" w:eastAsia="仿宋_GB2312" w:cs="仿宋_GB2312"/>
          <w:b/>
          <w:bCs/>
          <w:color w:val="000000"/>
          <w:sz w:val="32"/>
          <w:szCs w:val="32"/>
          <w:lang w:eastAsia="zh-CN"/>
        </w:rPr>
        <w:t>年末结转的结余：</w:t>
      </w:r>
      <w:r>
        <w:rPr>
          <w:rFonts w:hint="eastAsia" w:ascii="仿宋_GB2312" w:eastAsia="仿宋_GB2312" w:cs="仿宋_GB2312"/>
          <w:color w:val="000000"/>
          <w:sz w:val="32"/>
          <w:szCs w:val="32"/>
          <w:lang w:eastAsia="zh-CN"/>
        </w:rPr>
        <w:t>指单位按有关规定结转到下年或以后年度继续使用的资金，或项目已完成等产生的结余资金。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cs="仿宋_GB2312"/>
          <w:color w:val="000000"/>
          <w:sz w:val="32"/>
          <w:szCs w:val="32"/>
        </w:rPr>
      </w:pPr>
      <w:r>
        <w:rPr>
          <w:rFonts w:ascii="仿宋_GB2312" w:eastAsia="仿宋_GB2312" w:cs="仿宋_GB2312"/>
          <w:b/>
          <w:bCs/>
          <w:color w:val="000000"/>
          <w:sz w:val="32"/>
          <w:szCs w:val="32"/>
        </w:rPr>
        <w:t>基本支出</w:t>
      </w:r>
      <w:r>
        <w:rPr>
          <w:rFonts w:ascii="仿宋_GB2312" w:eastAsia="仿宋_GB2312" w:cs="仿宋_GB2312"/>
          <w:color w:val="000000"/>
          <w:sz w:val="32"/>
          <w:szCs w:val="32"/>
        </w:rPr>
        <w:t>：指为保障机构正常运转、完成日常工作任务而发生的人员支出和公用支出</w:t>
      </w:r>
      <w:r>
        <w:rPr>
          <w:rFonts w:hint="eastAsia" w:ascii="仿宋_GB2312" w:eastAsia="仿宋_GB2312" w:cs="仿宋_GB2312"/>
          <w:color w:val="000000"/>
          <w:sz w:val="32"/>
          <w:szCs w:val="32"/>
        </w:rPr>
        <w:t>。</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cs="仿宋_GB2312"/>
          <w:color w:val="000000"/>
          <w:sz w:val="32"/>
          <w:szCs w:val="32"/>
        </w:rPr>
      </w:pPr>
      <w:r>
        <w:rPr>
          <w:rFonts w:ascii="仿宋_GB2312" w:eastAsia="仿宋_GB2312" w:cs="仿宋_GB2312"/>
          <w:b/>
          <w:bCs/>
          <w:color w:val="000000"/>
          <w:sz w:val="32"/>
          <w:szCs w:val="32"/>
        </w:rPr>
        <w:t>项目支出</w:t>
      </w:r>
      <w:r>
        <w:rPr>
          <w:rFonts w:ascii="仿宋_GB2312" w:eastAsia="仿宋_GB2312" w:cs="仿宋_GB2312"/>
          <w:color w:val="000000"/>
          <w:sz w:val="32"/>
          <w:szCs w:val="32"/>
        </w:rPr>
        <w:t>：指在基本支出之外为完成特定行政任务和事业发展目标所发生的支出。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cs="仿宋_GB2312"/>
          <w:color w:val="000000"/>
          <w:sz w:val="32"/>
          <w:szCs w:val="32"/>
        </w:rPr>
      </w:pPr>
      <w:r>
        <w:rPr>
          <w:rFonts w:hint="eastAsia" w:ascii="仿宋_GB2312" w:eastAsia="仿宋_GB2312" w:cs="仿宋_GB2312"/>
          <w:b/>
          <w:bCs/>
          <w:color w:val="000000"/>
          <w:sz w:val="32"/>
          <w:szCs w:val="32"/>
        </w:rPr>
        <w:t>“三公”经费：</w:t>
      </w:r>
      <w:r>
        <w:rPr>
          <w:rFonts w:hint="eastAsia" w:ascii="仿宋_GB2312" w:eastAsia="仿宋_GB2312" w:cs="仿宋_GB2312"/>
          <w:color w:val="000000"/>
          <w:sz w:val="32"/>
          <w:szCs w:val="32"/>
        </w:rPr>
        <w:t>指市直部门用一般公共预算安排的因公出国（境）费、公务用车购置及运行</w:t>
      </w:r>
      <w:r>
        <w:rPr>
          <w:rFonts w:hint="eastAsia" w:ascii="仿宋_GB2312" w:eastAsia="仿宋_GB2312" w:cs="仿宋_GB2312"/>
          <w:color w:val="000000"/>
          <w:sz w:val="32"/>
          <w:szCs w:val="32"/>
          <w:lang w:eastAsia="zh-CN"/>
        </w:rPr>
        <w:t>费</w:t>
      </w:r>
      <w:r>
        <w:rPr>
          <w:rFonts w:hint="eastAsia" w:ascii="仿宋_GB2312" w:eastAsia="仿宋_GB2312" w:cs="仿宋_GB2312"/>
          <w:color w:val="000000"/>
          <w:sz w:val="32"/>
          <w:szCs w:val="32"/>
        </w:rPr>
        <w:t>和公务接待费。其中，因公出国（境）费反映单位公务出国（境）的国际旅费、国外城市间交通费、住宿费、伙食费、培训费、</w:t>
      </w:r>
      <w:r>
        <w:rPr>
          <w:rFonts w:hint="eastAsia" w:ascii="仿宋_GB2312" w:eastAsia="仿宋_GB2312" w:cs="仿宋_GB2312"/>
          <w:color w:val="000000"/>
          <w:sz w:val="32"/>
          <w:szCs w:val="32"/>
          <w:lang w:eastAsia="zh-CN"/>
        </w:rPr>
        <w:t>公</w:t>
      </w:r>
      <w:r>
        <w:rPr>
          <w:rFonts w:hint="eastAsia" w:ascii="仿宋_GB2312" w:eastAsia="仿宋_GB2312" w:cs="仿宋_GB2312"/>
          <w:color w:val="000000"/>
          <w:sz w:val="32"/>
          <w:szCs w:val="32"/>
        </w:rPr>
        <w:t>杂费等支出；公务用车购置费反映公务用车车辆购置支出（含车辆购置税）；公务用车运行维护费反映单位按规定保留的公务用车燃料费、</w:t>
      </w:r>
      <w:r>
        <w:rPr>
          <w:rFonts w:hint="eastAsia" w:ascii="仿宋_GB2312" w:eastAsia="仿宋_GB2312" w:cs="仿宋_GB2312"/>
          <w:color w:val="000000"/>
          <w:sz w:val="32"/>
          <w:szCs w:val="32"/>
          <w:lang w:eastAsia="zh-CN"/>
        </w:rPr>
        <w:t>维修费</w:t>
      </w: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过桥过路费</w:t>
      </w:r>
      <w:r>
        <w:rPr>
          <w:rFonts w:hint="eastAsia" w:ascii="仿宋_GB2312" w:eastAsia="仿宋_GB2312" w:cs="仿宋_GB2312"/>
          <w:color w:val="000000"/>
          <w:sz w:val="32"/>
          <w:szCs w:val="32"/>
        </w:rPr>
        <w:t>、保险费、安全奖励费用等支出；公务接待费反映单位按规定开支的各类公务接待（含外宾接待）支出。</w:t>
      </w:r>
    </w:p>
    <w:p>
      <w:pPr>
        <w:pStyle w:val="5"/>
        <w:keepNext w:val="0"/>
        <w:keepLines w:val="0"/>
        <w:pageBreakBefore w:val="0"/>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ascii="仿宋_GB2312" w:eastAsia="仿宋_GB2312" w:cs="仿宋_GB2312"/>
          <w:color w:val="000000"/>
          <w:sz w:val="32"/>
          <w:szCs w:val="32"/>
        </w:rPr>
      </w:pPr>
      <w:r>
        <w:rPr>
          <w:rFonts w:hint="eastAsia" w:ascii="仿宋_GB2312" w:eastAsia="仿宋_GB2312" w:cs="仿宋_GB2312"/>
          <w:b/>
          <w:bCs/>
          <w:color w:val="000000"/>
          <w:sz w:val="32"/>
          <w:szCs w:val="32"/>
        </w:rPr>
        <w:t>机关运行经费：</w:t>
      </w:r>
      <w:r>
        <w:rPr>
          <w:rFonts w:hint="eastAsia" w:ascii="仿宋_GB2312" w:eastAsia="仿宋_GB2312" w:cs="仿宋_GB2312"/>
          <w:color w:val="000000"/>
          <w:sz w:val="32"/>
          <w:szCs w:val="32"/>
        </w:rPr>
        <w:t>指行政单位和参照公务员管理的事业单位使用一般公共预算安排的基本支出中的日常公用经费支出。</w:t>
      </w:r>
    </w:p>
    <w:p>
      <w:pPr>
        <w:pStyle w:val="5"/>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600" w:lineRule="exact"/>
        <w:ind w:firstLine="643" w:firstLineChars="200"/>
        <w:jc w:val="both"/>
        <w:textAlignment w:val="auto"/>
        <w:rPr>
          <w:rFonts w:hint="default" w:ascii="仿宋_GB2312" w:eastAsia="仿宋_GB2312" w:cs="仿宋_GB2312"/>
          <w:b/>
          <w:bCs/>
          <w:color w:val="000000"/>
          <w:sz w:val="32"/>
          <w:szCs w:val="32"/>
          <w:lang w:val="en-US" w:eastAsia="zh-CN"/>
        </w:rPr>
      </w:pPr>
      <w:r>
        <w:rPr>
          <w:rFonts w:hint="eastAsia" w:ascii="仿宋_GB2312" w:eastAsia="仿宋_GB2312" w:cs="仿宋_GB2312"/>
          <w:b/>
          <w:bCs/>
          <w:color w:val="000000"/>
          <w:sz w:val="32"/>
          <w:szCs w:val="32"/>
          <w:lang w:val="en-US" w:eastAsia="zh-CN"/>
        </w:rPr>
        <w:t>第五部分    附件</w:t>
      </w:r>
    </w:p>
    <w:p>
      <w:pPr>
        <w:pStyle w:val="5"/>
        <w:spacing w:before="0" w:beforeAutospacing="0" w:after="0" w:afterAutospacing="0" w:line="600" w:lineRule="exact"/>
        <w:ind w:firstLine="640" w:firstLineChars="200"/>
        <w:jc w:val="both"/>
        <w:rPr>
          <w:rFonts w:hint="eastAsia" w:ascii="仿宋_GB2312" w:eastAsia="仿宋_GB2312" w:cs="仿宋_GB2312"/>
          <w:b w:val="0"/>
          <w:bCs w:val="0"/>
          <w:color w:val="000000"/>
          <w:sz w:val="32"/>
          <w:szCs w:val="32"/>
          <w:lang w:val="en-US" w:eastAsia="zh-CN"/>
        </w:rPr>
      </w:pPr>
      <w:r>
        <w:rPr>
          <w:rFonts w:hint="eastAsia" w:ascii="仿宋_GB2312" w:eastAsia="仿宋_GB2312" w:cs="仿宋_GB2312"/>
          <w:b w:val="0"/>
          <w:bCs w:val="0"/>
          <w:color w:val="000000"/>
          <w:sz w:val="32"/>
          <w:szCs w:val="32"/>
          <w:lang w:eastAsia="zh-CN"/>
        </w:rPr>
        <w:t>各单位需要其他说明的事项可在附件中添加</w:t>
      </w:r>
      <w:r>
        <w:rPr>
          <w:rFonts w:hint="eastAsia" w:ascii="仿宋_GB2312" w:eastAsia="仿宋_GB2312" w:cs="仿宋_GB2312"/>
          <w:b w:val="0"/>
          <w:bCs w:val="0"/>
          <w:color w:val="000000"/>
          <w:sz w:val="32"/>
          <w:szCs w:val="32"/>
          <w:lang w:val="en-US" w:eastAsia="zh-CN"/>
        </w:rPr>
        <w:t>。</w:t>
      </w:r>
    </w:p>
    <w:p>
      <w:pPr>
        <w:pStyle w:val="5"/>
        <w:spacing w:before="0" w:beforeAutospacing="0" w:after="0" w:afterAutospacing="0" w:line="600" w:lineRule="exact"/>
        <w:ind w:firstLine="640" w:firstLineChars="200"/>
        <w:jc w:val="both"/>
        <w:rPr>
          <w:rFonts w:ascii="仿宋_GB2312" w:eastAsia="仿宋_GB2312" w:cs="仿宋_GB2312"/>
          <w:color w:val="000000"/>
          <w:sz w:val="32"/>
          <w:szCs w:val="32"/>
        </w:rPr>
      </w:pPr>
    </w:p>
    <w:p>
      <w:pPr>
        <w:wordWrap w:val="0"/>
        <w:spacing w:line="600" w:lineRule="exact"/>
        <w:jc w:val="both"/>
        <w:rPr>
          <w:rFonts w:ascii="仿宋" w:hAnsi="仿宋" w:eastAsia="仿宋" w:cs="仿宋"/>
          <w:color w:val="000000"/>
          <w:sz w:val="32"/>
          <w:szCs w:val="32"/>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忻州市防震减灾中心</w:t>
      </w:r>
    </w:p>
    <w:p>
      <w:pPr>
        <w:wordWrap w:val="0"/>
        <w:spacing w:line="600" w:lineRule="exact"/>
        <w:ind w:left="370" w:leftChars="100" w:right="640" w:hanging="160" w:hangingChars="50"/>
        <w:jc w:val="center"/>
        <w:rPr>
          <w:color w:val="000000"/>
          <w:sz w:val="30"/>
          <w:szCs w:val="30"/>
        </w:rPr>
      </w:pPr>
      <w:r>
        <w:rPr>
          <w:rFonts w:hint="eastAsia" w:ascii="仿宋" w:hAnsi="仿宋" w:eastAsia="仿宋" w:cs="仿宋"/>
          <w:color w:val="000000"/>
          <w:sz w:val="32"/>
          <w:szCs w:val="32"/>
        </w:rPr>
        <w:t xml:space="preserve">                           </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 xml:space="preserve"> 20</w:t>
      </w:r>
      <w:r>
        <w:rPr>
          <w:rFonts w:hint="eastAsia" w:ascii="仿宋" w:hAnsi="仿宋" w:eastAsia="仿宋" w:cs="仿宋"/>
          <w:color w:val="000000"/>
          <w:sz w:val="32"/>
          <w:szCs w:val="32"/>
          <w:lang w:val="en-US" w:eastAsia="zh-CN"/>
        </w:rPr>
        <w:t>22</w:t>
      </w:r>
      <w:r>
        <w:rPr>
          <w:rFonts w:hint="eastAsia" w:ascii="仿宋" w:hAnsi="仿宋" w:eastAsia="仿宋" w:cs="仿宋"/>
          <w:color w:val="000000"/>
          <w:sz w:val="32"/>
          <w:szCs w:val="32"/>
        </w:rPr>
        <w:t>年</w:t>
      </w:r>
      <w:r>
        <w:rPr>
          <w:rFonts w:hint="eastAsia" w:ascii="仿宋" w:hAnsi="仿宋" w:eastAsia="仿宋" w:cs="仿宋"/>
          <w:color w:val="000000"/>
          <w:sz w:val="32"/>
          <w:szCs w:val="32"/>
          <w:lang w:val="en-US" w:eastAsia="zh-CN"/>
        </w:rPr>
        <w:t>9</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26</w:t>
      </w:r>
      <w:r>
        <w:rPr>
          <w:rFonts w:hint="eastAsia" w:ascii="仿宋" w:hAnsi="仿宋" w:eastAsia="仿宋" w:cs="仿宋"/>
          <w:color w:val="000000"/>
          <w:sz w:val="32"/>
          <w:szCs w:val="32"/>
        </w:rPr>
        <w:t xml:space="preserve">日      </w:t>
      </w:r>
    </w:p>
    <w:p>
      <w:pPr>
        <w:spacing w:line="600" w:lineRule="exact"/>
        <w:rPr>
          <w:rFonts w:hint="eastAsia" w:ascii="仿宋" w:hAnsi="仿宋" w:eastAsia="仿宋" w:cs="仿宋"/>
          <w:color w:val="000000"/>
          <w:sz w:val="32"/>
          <w:szCs w:val="32"/>
        </w:rPr>
      </w:pPr>
    </w:p>
    <w:p>
      <w:pPr>
        <w:spacing w:line="600" w:lineRule="exact"/>
        <w:rPr>
          <w:rFonts w:ascii="仿宋" w:hAnsi="仿宋" w:eastAsia="仿宋" w:cs="仿宋"/>
          <w:sz w:val="32"/>
          <w:szCs w:val="32"/>
        </w:rPr>
      </w:pPr>
      <w:r>
        <w:rPr>
          <w:rFonts w:hint="eastAsia" w:ascii="仿宋" w:hAnsi="仿宋" w:eastAsia="仿宋" w:cs="仿宋"/>
          <w:color w:val="000000"/>
          <w:sz w:val="32"/>
          <w:szCs w:val="32"/>
        </w:rPr>
        <w:t>附件：1、</w:t>
      </w:r>
      <w:r>
        <w:rPr>
          <w:rFonts w:hint="eastAsia" w:ascii="仿宋" w:hAnsi="仿宋" w:eastAsia="仿宋" w:cs="仿宋"/>
          <w:sz w:val="32"/>
          <w:szCs w:val="32"/>
        </w:rPr>
        <w:t>收入支出决算总表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2、收入决算表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3、支出决算表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4、财政拨款收入支出决算总表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5、一般公共预算财政拨款支出决算表（一）</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6、一般公共预算财政拨款基本支出决算表（二）</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rPr>
        <w:t>7、一般公共预算财政拨款“三公”经费支出决算表</w:t>
      </w:r>
    </w:p>
    <w:p>
      <w:pPr>
        <w:spacing w:line="600" w:lineRule="exact"/>
        <w:ind w:firstLine="960" w:firstLineChars="300"/>
        <w:rPr>
          <w:rFonts w:hint="eastAsia" w:ascii="仿宋" w:hAnsi="仿宋" w:eastAsia="仿宋" w:cs="仿宋"/>
          <w:sz w:val="32"/>
          <w:szCs w:val="32"/>
        </w:rPr>
      </w:pPr>
      <w:r>
        <w:rPr>
          <w:rFonts w:hint="eastAsia" w:ascii="仿宋" w:hAnsi="仿宋" w:eastAsia="仿宋" w:cs="仿宋"/>
          <w:sz w:val="32"/>
          <w:szCs w:val="32"/>
        </w:rPr>
        <w:t>8、政府性基金预算财政拨款收入支出决算表</w:t>
      </w:r>
    </w:p>
    <w:p>
      <w:pPr>
        <w:spacing w:line="600" w:lineRule="exact"/>
        <w:ind w:firstLine="960" w:firstLine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9、国有资本经营预算财政拨款支出决算表</w:t>
      </w:r>
    </w:p>
    <w:p>
      <w:pPr>
        <w:spacing w:line="600" w:lineRule="exact"/>
        <w:ind w:firstLine="960" w:firstLineChars="300"/>
        <w:rPr>
          <w:rFonts w:ascii="仿宋" w:hAnsi="仿宋" w:eastAsia="仿宋" w:cs="仿宋"/>
          <w:sz w:val="32"/>
          <w:szCs w:val="32"/>
        </w:rPr>
      </w:pPr>
      <w:r>
        <w:rPr>
          <w:rFonts w:hint="eastAsia" w:ascii="仿宋" w:hAnsi="仿宋" w:eastAsia="仿宋" w:cs="仿宋"/>
          <w:sz w:val="32"/>
          <w:szCs w:val="32"/>
          <w:lang w:val="en-US" w:eastAsia="zh-CN"/>
        </w:rPr>
        <w:t>10</w:t>
      </w:r>
      <w:r>
        <w:rPr>
          <w:rFonts w:hint="eastAsia" w:ascii="仿宋" w:hAnsi="仿宋" w:eastAsia="仿宋" w:cs="仿宋"/>
          <w:sz w:val="32"/>
          <w:szCs w:val="32"/>
        </w:rPr>
        <w:t>、部门决算公开相关信息统计表</w:t>
      </w:r>
    </w:p>
    <w:p>
      <w:pPr>
        <w:spacing w:line="600" w:lineRule="exact"/>
        <w:ind w:firstLine="1600" w:firstLineChars="500"/>
        <w:rPr>
          <w:rFonts w:ascii="仿宋" w:hAnsi="仿宋" w:eastAsia="仿宋" w:cs="仿宋"/>
          <w:sz w:val="32"/>
          <w:szCs w:val="32"/>
        </w:rPr>
      </w:pPr>
    </w:p>
    <w:p>
      <w:pPr>
        <w:rPr>
          <w:rFonts w:ascii="宋体" w:hAnsi="宋体"/>
          <w:sz w:val="36"/>
          <w:szCs w:val="36"/>
        </w:rPr>
      </w:pPr>
    </w:p>
    <w:sectPr>
      <w:headerReference r:id="rId3" w:type="default"/>
      <w:footerReference r:id="rId4" w:type="default"/>
      <w:pgSz w:w="11906" w:h="16838"/>
      <w:pgMar w:top="1587" w:right="1417" w:bottom="1587" w:left="141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18"/>
        <w:lang w:val="en-US" w:eastAsia="zh-CN" w:bidi="ar-SA"/>
      </w:rPr>
      <w:pict>
        <v:shape id="文本框1" o:spid="_x0000_s4097" o:spt="202" type="#_x0000_t202" style="position:absolute;left:0pt;margin-top:0pt;height:144pt;width:144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- 1 -</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2AE85"/>
    <w:multiLevelType w:val="singleLevel"/>
    <w:tmpl w:val="6142AE8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JmZDQwZDBmNTkxZWMzMTg4ZGUyOWE0OWFlNmYwZmMifQ=="/>
  </w:docVars>
  <w:rsids>
    <w:rsidRoot w:val="00000000"/>
    <w:rsid w:val="006049C0"/>
    <w:rsid w:val="00ED1E2A"/>
    <w:rsid w:val="010A6538"/>
    <w:rsid w:val="01B82438"/>
    <w:rsid w:val="01E70628"/>
    <w:rsid w:val="01EE7C08"/>
    <w:rsid w:val="02217FDE"/>
    <w:rsid w:val="03522204"/>
    <w:rsid w:val="035C6DF3"/>
    <w:rsid w:val="04065340"/>
    <w:rsid w:val="04770389"/>
    <w:rsid w:val="054E09BE"/>
    <w:rsid w:val="057F3AED"/>
    <w:rsid w:val="06471FDD"/>
    <w:rsid w:val="079A613C"/>
    <w:rsid w:val="080B2B96"/>
    <w:rsid w:val="08B76A1D"/>
    <w:rsid w:val="09376339"/>
    <w:rsid w:val="093F0D49"/>
    <w:rsid w:val="094E3682"/>
    <w:rsid w:val="09F14739"/>
    <w:rsid w:val="0ADF27E4"/>
    <w:rsid w:val="0B416FFB"/>
    <w:rsid w:val="0B4C599F"/>
    <w:rsid w:val="0BD0037E"/>
    <w:rsid w:val="0BE502CE"/>
    <w:rsid w:val="0CAA5DE8"/>
    <w:rsid w:val="0CDB667B"/>
    <w:rsid w:val="0F2031F8"/>
    <w:rsid w:val="0F691CE3"/>
    <w:rsid w:val="0F760DE8"/>
    <w:rsid w:val="100B5E29"/>
    <w:rsid w:val="104F3F68"/>
    <w:rsid w:val="10C478D5"/>
    <w:rsid w:val="10C77FA2"/>
    <w:rsid w:val="13294F44"/>
    <w:rsid w:val="139F06E8"/>
    <w:rsid w:val="141D2434"/>
    <w:rsid w:val="14952165"/>
    <w:rsid w:val="167209B0"/>
    <w:rsid w:val="18FC0A05"/>
    <w:rsid w:val="190478B9"/>
    <w:rsid w:val="192C753C"/>
    <w:rsid w:val="1A4F2DB6"/>
    <w:rsid w:val="1AA53E28"/>
    <w:rsid w:val="1AC15A62"/>
    <w:rsid w:val="1CD203FA"/>
    <w:rsid w:val="1D552DD9"/>
    <w:rsid w:val="1E450758"/>
    <w:rsid w:val="1E562965"/>
    <w:rsid w:val="1EC62589"/>
    <w:rsid w:val="1FD04999"/>
    <w:rsid w:val="20C242E2"/>
    <w:rsid w:val="217D6945"/>
    <w:rsid w:val="21935491"/>
    <w:rsid w:val="224156DA"/>
    <w:rsid w:val="2275175D"/>
    <w:rsid w:val="22EB3FC4"/>
    <w:rsid w:val="22EE13BE"/>
    <w:rsid w:val="2393640A"/>
    <w:rsid w:val="249647E8"/>
    <w:rsid w:val="24F55FEF"/>
    <w:rsid w:val="25474813"/>
    <w:rsid w:val="280276BA"/>
    <w:rsid w:val="282D0BDB"/>
    <w:rsid w:val="291538E3"/>
    <w:rsid w:val="29612686"/>
    <w:rsid w:val="2A1738F0"/>
    <w:rsid w:val="2A7C19A5"/>
    <w:rsid w:val="2B727A55"/>
    <w:rsid w:val="2C6B7F24"/>
    <w:rsid w:val="2CCA0BA7"/>
    <w:rsid w:val="2D0F4D53"/>
    <w:rsid w:val="2D682673"/>
    <w:rsid w:val="2D746964"/>
    <w:rsid w:val="2D80549A"/>
    <w:rsid w:val="2E204D3E"/>
    <w:rsid w:val="2E2C5491"/>
    <w:rsid w:val="2EB342EF"/>
    <w:rsid w:val="2EDF09FD"/>
    <w:rsid w:val="2FA90F83"/>
    <w:rsid w:val="31C34B03"/>
    <w:rsid w:val="33386686"/>
    <w:rsid w:val="36BB1AA7"/>
    <w:rsid w:val="37184804"/>
    <w:rsid w:val="377F4883"/>
    <w:rsid w:val="38060B00"/>
    <w:rsid w:val="381B27FE"/>
    <w:rsid w:val="38575800"/>
    <w:rsid w:val="38A04AB1"/>
    <w:rsid w:val="391D4354"/>
    <w:rsid w:val="399C7771"/>
    <w:rsid w:val="39E01C8B"/>
    <w:rsid w:val="3A145757"/>
    <w:rsid w:val="3A850402"/>
    <w:rsid w:val="3AA72B35"/>
    <w:rsid w:val="3AB807D8"/>
    <w:rsid w:val="3AD54E40"/>
    <w:rsid w:val="3AF85078"/>
    <w:rsid w:val="3C65673D"/>
    <w:rsid w:val="3C7921E9"/>
    <w:rsid w:val="3EDF7953"/>
    <w:rsid w:val="3F9E019F"/>
    <w:rsid w:val="401144E6"/>
    <w:rsid w:val="405D772B"/>
    <w:rsid w:val="412A21F0"/>
    <w:rsid w:val="41AF0727"/>
    <w:rsid w:val="4349434B"/>
    <w:rsid w:val="435568EF"/>
    <w:rsid w:val="447C2D0C"/>
    <w:rsid w:val="449A2CFC"/>
    <w:rsid w:val="44DF4BB3"/>
    <w:rsid w:val="46971BE9"/>
    <w:rsid w:val="469A575F"/>
    <w:rsid w:val="4760647F"/>
    <w:rsid w:val="479B1265"/>
    <w:rsid w:val="48741AB6"/>
    <w:rsid w:val="496B4C67"/>
    <w:rsid w:val="49A45160"/>
    <w:rsid w:val="49BE56DF"/>
    <w:rsid w:val="4BDC779B"/>
    <w:rsid w:val="4C0B44E0"/>
    <w:rsid w:val="4C143394"/>
    <w:rsid w:val="4C51283A"/>
    <w:rsid w:val="4CAC5CC3"/>
    <w:rsid w:val="4D821820"/>
    <w:rsid w:val="4DDF13BD"/>
    <w:rsid w:val="4E9B7D9D"/>
    <w:rsid w:val="4EE218B6"/>
    <w:rsid w:val="4EEA4880"/>
    <w:rsid w:val="4F0516BA"/>
    <w:rsid w:val="4F332EB2"/>
    <w:rsid w:val="4F5C1CD0"/>
    <w:rsid w:val="4FD23C92"/>
    <w:rsid w:val="4FDF1F0B"/>
    <w:rsid w:val="51234079"/>
    <w:rsid w:val="52C8312A"/>
    <w:rsid w:val="53790379"/>
    <w:rsid w:val="53E67D0C"/>
    <w:rsid w:val="542A07E9"/>
    <w:rsid w:val="54B27BEE"/>
    <w:rsid w:val="55983288"/>
    <w:rsid w:val="56586796"/>
    <w:rsid w:val="56716878"/>
    <w:rsid w:val="58324921"/>
    <w:rsid w:val="58647451"/>
    <w:rsid w:val="58C12AF6"/>
    <w:rsid w:val="58F00CE5"/>
    <w:rsid w:val="59026283"/>
    <w:rsid w:val="5910077E"/>
    <w:rsid w:val="59142C25"/>
    <w:rsid w:val="5979320A"/>
    <w:rsid w:val="5A1C236E"/>
    <w:rsid w:val="5AA13016"/>
    <w:rsid w:val="5AE63029"/>
    <w:rsid w:val="5B8A314C"/>
    <w:rsid w:val="5B997251"/>
    <w:rsid w:val="5BD71261"/>
    <w:rsid w:val="5D296EBB"/>
    <w:rsid w:val="5D2B2C34"/>
    <w:rsid w:val="5D775E79"/>
    <w:rsid w:val="5D7A552B"/>
    <w:rsid w:val="5DB22971"/>
    <w:rsid w:val="5DE0757A"/>
    <w:rsid w:val="5EE0177A"/>
    <w:rsid w:val="5F28567D"/>
    <w:rsid w:val="5F473629"/>
    <w:rsid w:val="5F5A2333"/>
    <w:rsid w:val="5F6917F1"/>
    <w:rsid w:val="5F990328"/>
    <w:rsid w:val="5FB7255D"/>
    <w:rsid w:val="5FE15DF3"/>
    <w:rsid w:val="60367925"/>
    <w:rsid w:val="606348FA"/>
    <w:rsid w:val="6065020A"/>
    <w:rsid w:val="60651C9D"/>
    <w:rsid w:val="60D40EEC"/>
    <w:rsid w:val="60FB42EE"/>
    <w:rsid w:val="62487DE4"/>
    <w:rsid w:val="633D0FCB"/>
    <w:rsid w:val="63E31B72"/>
    <w:rsid w:val="63E853DA"/>
    <w:rsid w:val="644A7E43"/>
    <w:rsid w:val="648E6274"/>
    <w:rsid w:val="64D70FAB"/>
    <w:rsid w:val="64E9765C"/>
    <w:rsid w:val="655116B5"/>
    <w:rsid w:val="65650D00"/>
    <w:rsid w:val="665C4285"/>
    <w:rsid w:val="66923426"/>
    <w:rsid w:val="67C27CF0"/>
    <w:rsid w:val="688B4586"/>
    <w:rsid w:val="689F6284"/>
    <w:rsid w:val="690C5ABB"/>
    <w:rsid w:val="6A505A87"/>
    <w:rsid w:val="6A6C6EB1"/>
    <w:rsid w:val="6B3B6738"/>
    <w:rsid w:val="6B6317EA"/>
    <w:rsid w:val="6BB32772"/>
    <w:rsid w:val="6BD050D2"/>
    <w:rsid w:val="6C273458"/>
    <w:rsid w:val="6D070077"/>
    <w:rsid w:val="6D374CDD"/>
    <w:rsid w:val="6E1F2339"/>
    <w:rsid w:val="6E2C680B"/>
    <w:rsid w:val="6E4E22DE"/>
    <w:rsid w:val="6F2D283B"/>
    <w:rsid w:val="70326A39"/>
    <w:rsid w:val="71183F3E"/>
    <w:rsid w:val="71AC5280"/>
    <w:rsid w:val="725B146D"/>
    <w:rsid w:val="729F75AC"/>
    <w:rsid w:val="72D66D46"/>
    <w:rsid w:val="73351CBE"/>
    <w:rsid w:val="73544596"/>
    <w:rsid w:val="739447BA"/>
    <w:rsid w:val="73DB4705"/>
    <w:rsid w:val="748A428C"/>
    <w:rsid w:val="758D4034"/>
    <w:rsid w:val="75932CCC"/>
    <w:rsid w:val="75954C96"/>
    <w:rsid w:val="75E31EA6"/>
    <w:rsid w:val="75F04612"/>
    <w:rsid w:val="76697072"/>
    <w:rsid w:val="77366005"/>
    <w:rsid w:val="78C655F6"/>
    <w:rsid w:val="78EC72C3"/>
    <w:rsid w:val="79246A5D"/>
    <w:rsid w:val="7967694A"/>
    <w:rsid w:val="7A1E16FE"/>
    <w:rsid w:val="7A951295"/>
    <w:rsid w:val="7ABB519F"/>
    <w:rsid w:val="7AF92C20"/>
    <w:rsid w:val="7B5E600A"/>
    <w:rsid w:val="7BEB5610"/>
    <w:rsid w:val="7CB41EA6"/>
    <w:rsid w:val="7CFE1373"/>
    <w:rsid w:val="7DCC321F"/>
    <w:rsid w:val="7DD26C84"/>
    <w:rsid w:val="7DEA5E45"/>
    <w:rsid w:val="7E78218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
    <w:name w:val="列出段落1"/>
    <w:basedOn w:val="1"/>
    <w:qFormat/>
    <w:uiPriority w:val="34"/>
    <w:pPr>
      <w:ind w:firstLine="420" w:firstLineChars="200"/>
    </w:pPr>
  </w:style>
  <w:style w:type="paragraph" w:customStyle="1" w:styleId="9">
    <w:name w:val="List Paragraph"/>
    <w:basedOn w:val="1"/>
    <w:unhideWhenUsed/>
    <w:qFormat/>
    <w:uiPriority w:val="99"/>
    <w:pPr>
      <w:ind w:firstLine="420" w:firstLineChars="200"/>
    </w:pPr>
  </w:style>
  <w:style w:type="paragraph" w:customStyle="1" w:styleId="10">
    <w:name w:val="p0"/>
    <w:basedOn w:val="1"/>
    <w:qFormat/>
    <w:uiPriority w:val="0"/>
    <w:pPr>
      <w:widowControl/>
      <w:spacing w:before="100" w:beforeAutospacing="1" w:after="100" w:afterAutospacing="1"/>
      <w:jc w:val="left"/>
    </w:pPr>
    <w:rPr>
      <w:rFonts w:ascii="宋体" w:hAnsi="宋体" w:cs="宋体"/>
      <w:kern w:val="0"/>
      <w:sz w:val="24"/>
      <w:szCs w:val="20"/>
    </w:rPr>
  </w:style>
  <w:style w:type="character" w:customStyle="1" w:styleId="11">
    <w:name w:val="批注框文本 Char Char"/>
    <w:basedOn w:val="7"/>
    <w:link w:val="2"/>
    <w:qFormat/>
    <w:uiPriority w:val="99"/>
    <w:rPr>
      <w:sz w:val="18"/>
      <w:szCs w:val="18"/>
    </w:rPr>
  </w:style>
  <w:style w:type="character" w:customStyle="1" w:styleId="12">
    <w:name w:val="页眉 Char Char"/>
    <w:basedOn w:val="7"/>
    <w:link w:val="4"/>
    <w:qFormat/>
    <w:uiPriority w:val="99"/>
    <w:rPr>
      <w:sz w:val="18"/>
      <w:szCs w:val="18"/>
    </w:rPr>
  </w:style>
  <w:style w:type="character" w:customStyle="1" w:styleId="13">
    <w:name w:val="页脚 Char Char"/>
    <w:basedOn w:val="7"/>
    <w:link w:val="3"/>
    <w:qFormat/>
    <w:uiPriority w:val="99"/>
    <w:rPr>
      <w:sz w:val="18"/>
      <w:szCs w:val="18"/>
    </w:rPr>
  </w:style>
  <w:style w:type="character" w:customStyle="1" w:styleId="14">
    <w:name w:val="font51"/>
    <w:basedOn w:val="7"/>
    <w:uiPriority w:val="0"/>
    <w:rPr>
      <w:rFonts w:hint="default" w:ascii="Times New Roman" w:hAnsi="Times New Roman" w:cs="Times New Roman"/>
      <w:color w:val="000000"/>
      <w:sz w:val="20"/>
      <w:szCs w:val="20"/>
      <w:u w:val="none"/>
    </w:rPr>
  </w:style>
  <w:style w:type="character" w:customStyle="1" w:styleId="15">
    <w:name w:val="font21"/>
    <w:basedOn w:val="7"/>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5491</Words>
  <Characters>6034</Characters>
  <Lines>37</Lines>
  <Paragraphs>10</Paragraphs>
  <TotalTime>21</TotalTime>
  <ScaleCrop>false</ScaleCrop>
  <LinksUpToDate>false</LinksUpToDate>
  <CharactersWithSpaces>6224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2019-09-17T08:51:00Z</dcterms:created>
  <dc:creator>xzjt0</dc:creator>
  <cp:lastModifiedBy>忻州市防震减灾中心</cp:lastModifiedBy>
  <cp:lastPrinted>2022-09-27T07:06:00Z</cp:lastPrinted>
  <dcterms:modified xsi:type="dcterms:W3CDTF">2022-09-27T07:35:39Z</dcterms:modified>
  <dc:title>忻州市防震减灾中心2020年度部门决算公开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23C71C9B132F46F3B1BB562A15275399</vt:lpwstr>
  </property>
</Properties>
</file>