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before="0" w:after="0" w:line="600" w:lineRule="exact"/>
        <w:ind w:left="0" w:leftChars="0" w:right="0" w:firstLine="0" w:firstLineChars="0"/>
        <w:jc w:val="both"/>
        <w:textAlignment w:val="auto"/>
        <w:outlineLvl w:val="9"/>
        <w:rPr>
          <w:rFonts w:hint="eastAsia" w:ascii="方正大标宋简体" w:hAnsi="方正大标宋简体" w:eastAsia="方正大标宋简体" w:cs="方正大标宋简体"/>
          <w:b w:val="0"/>
          <w:bCs/>
          <w:sz w:val="44"/>
          <w:szCs w:val="44"/>
        </w:rPr>
      </w:pPr>
    </w:p>
    <w:p>
      <w:pPr>
        <w:widowControl/>
        <w:wordWrap/>
        <w:adjustRightInd/>
        <w:snapToGrid/>
        <w:spacing w:before="0" w:after="0" w:line="600" w:lineRule="exact"/>
        <w:ind w:left="0" w:leftChars="0" w:right="0" w:firstLine="0" w:firstLineChars="0"/>
        <w:jc w:val="both"/>
        <w:textAlignment w:val="auto"/>
        <w:outlineLvl w:val="9"/>
        <w:rPr>
          <w:rFonts w:hint="eastAsia" w:ascii="方正大标宋简体" w:hAnsi="方正大标宋简体" w:eastAsia="方正大标宋简体" w:cs="方正大标宋简体"/>
          <w:b w:val="0"/>
          <w:bCs/>
          <w:sz w:val="44"/>
          <w:szCs w:val="44"/>
        </w:rPr>
      </w:pPr>
      <w:r>
        <w:rPr>
          <w:rFonts w:hint="eastAsia" w:ascii="方正大标宋简体" w:hAnsi="方正大标宋简体" w:eastAsia="方正大标宋简体" w:cs="方正大标宋简体"/>
          <w:b w:val="0"/>
          <w:bCs/>
          <w:sz w:val="44"/>
          <w:szCs w:val="44"/>
        </w:rPr>
        <w:t>“十三五”控制温室气体排放实施方案任务分工表</w:t>
      </w:r>
    </w:p>
    <w:tbl>
      <w:tblPr>
        <w:tblStyle w:val="4"/>
        <w:tblpPr w:leftFromText="180" w:rightFromText="180" w:vertAnchor="page" w:horzAnchor="page" w:tblpX="1222" w:tblpY="2853"/>
        <w:tblOverlap w:val="neve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17"/>
        <w:gridCol w:w="52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3"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717"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295"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55"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20" w:type="dxa"/>
            <w:gridSpan w:val="4"/>
            <w:vAlign w:val="center"/>
          </w:tcPr>
          <w:p>
            <w:pPr>
              <w:widowControl w:val="0"/>
              <w:spacing w:line="0" w:lineRule="atLeast"/>
              <w:jc w:val="center"/>
              <w:rPr>
                <w:rFonts w:hint="eastAsia" w:ascii="仿宋_GB2312" w:hAnsi="仿宋_GB2312" w:eastAsia="仿宋_GB2312" w:cs="仿宋_GB2312"/>
                <w:sz w:val="28"/>
                <w:szCs w:val="28"/>
                <w:lang w:eastAsia="zh-CN"/>
              </w:rPr>
            </w:pPr>
            <w:r>
              <w:rPr>
                <w:rFonts w:ascii="仿宋_GB2312" w:hAnsi="仿宋_GB2312" w:eastAsia="仿宋_GB2312"/>
                <w:b/>
                <w:sz w:val="24"/>
              </w:rPr>
              <w:t>低碳引领能源革命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53"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w:t>
            </w:r>
          </w:p>
        </w:tc>
        <w:tc>
          <w:tcPr>
            <w:tcW w:w="1717" w:type="dxa"/>
            <w:vMerge w:val="restart"/>
            <w:vAlign w:val="center"/>
          </w:tcPr>
          <w:p>
            <w:pPr>
              <w:widowControl w:val="0"/>
              <w:jc w:val="center"/>
              <w:rPr>
                <w:rFonts w:ascii="仿宋_GB2312" w:hAnsi="仿宋_GB2312" w:eastAsia="仿宋_GB2312"/>
                <w:sz w:val="24"/>
              </w:rPr>
            </w:pPr>
            <w:r>
              <w:rPr>
                <w:rFonts w:ascii="仿宋_GB2312" w:hAnsi="仿宋_GB2312" w:eastAsia="仿宋_GB2312"/>
                <w:sz w:val="24"/>
              </w:rPr>
              <w:t>强化能源碳排放指标控制</w:t>
            </w:r>
          </w:p>
        </w:tc>
        <w:tc>
          <w:tcPr>
            <w:tcW w:w="5295" w:type="dxa"/>
            <w:vAlign w:val="center"/>
          </w:tcPr>
          <w:p>
            <w:pPr>
              <w:widowControl w:val="0"/>
              <w:jc w:val="both"/>
              <w:rPr>
                <w:rFonts w:ascii="仿宋_GB2312" w:hAnsi="仿宋_GB2312" w:eastAsia="仿宋_GB2312"/>
                <w:sz w:val="24"/>
              </w:rPr>
            </w:pPr>
            <w:r>
              <w:rPr>
                <w:rFonts w:ascii="仿宋_GB2312" w:hAnsi="仿宋_GB2312" w:eastAsia="仿宋_GB2312"/>
                <w:sz w:val="24"/>
              </w:rPr>
              <w:t>到 2020 年，单位地区生产总值二氧化碳排放比2015年下降 18%，碳排放总量得到有效控制。</w:t>
            </w:r>
          </w:p>
        </w:tc>
        <w:tc>
          <w:tcPr>
            <w:tcW w:w="1755" w:type="dxa"/>
            <w:vAlign w:val="center"/>
          </w:tcPr>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直相关部门</w:t>
            </w:r>
          </w:p>
          <w:p>
            <w:pPr>
              <w:widowControl w:val="0"/>
              <w:jc w:val="center"/>
              <w:rPr>
                <w:rFonts w:ascii="仿宋_GB2312" w:hAnsi="仿宋_GB2312" w:eastAsia="仿宋_GB2312"/>
                <w:sz w:val="24"/>
              </w:rPr>
            </w:pPr>
            <w:r>
              <w:rPr>
                <w:rFonts w:ascii="仿宋_GB2312" w:hAnsi="仿宋_GB2312" w:eastAsia="仿宋_GB2312"/>
                <w:sz w:val="24"/>
              </w:rPr>
              <w:t>各</w:t>
            </w:r>
            <w:r>
              <w:rPr>
                <w:rFonts w:hint="eastAsia" w:ascii="仿宋_GB2312" w:hAnsi="仿宋_GB2312" w:eastAsia="仿宋_GB2312"/>
                <w:sz w:val="24"/>
              </w:rPr>
              <w:t>县（市、区）</w:t>
            </w:r>
            <w:r>
              <w:rPr>
                <w:rFonts w:ascii="仿宋_GB2312" w:hAnsi="仿宋_GB2312" w:eastAsia="仿宋_GB2312"/>
                <w:sz w:val="24"/>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53" w:type="dxa"/>
            <w:vMerge w:val="continue"/>
            <w:vAlign w:val="center"/>
          </w:tcPr>
          <w:p>
            <w:pPr>
              <w:widowControl w:val="0"/>
              <w:jc w:val="center"/>
              <w:rPr>
                <w:rFonts w:ascii="仿宋_GB2312" w:hAnsi="仿宋_GB2312" w:eastAsia="仿宋_GB2312"/>
                <w:sz w:val="24"/>
              </w:rPr>
            </w:pPr>
          </w:p>
        </w:tc>
        <w:tc>
          <w:tcPr>
            <w:tcW w:w="1717" w:type="dxa"/>
            <w:vMerge w:val="continue"/>
            <w:vAlign w:val="center"/>
          </w:tcPr>
          <w:p>
            <w:pPr>
              <w:widowControl w:val="0"/>
              <w:jc w:val="both"/>
              <w:rPr>
                <w:rFonts w:ascii="仿宋_GB2312" w:hAnsi="仿宋_GB2312" w:eastAsia="仿宋_GB2312"/>
                <w:sz w:val="24"/>
              </w:rPr>
            </w:pPr>
          </w:p>
        </w:tc>
        <w:tc>
          <w:tcPr>
            <w:tcW w:w="5295" w:type="dxa"/>
            <w:vAlign w:val="center"/>
          </w:tcPr>
          <w:p>
            <w:pPr>
              <w:widowControl w:val="0"/>
              <w:jc w:val="both"/>
              <w:rPr>
                <w:rFonts w:ascii="仿宋_GB2312" w:hAnsi="仿宋_GB2312" w:eastAsia="仿宋_GB2312"/>
                <w:sz w:val="24"/>
              </w:rPr>
            </w:pPr>
            <w:r>
              <w:rPr>
                <w:rFonts w:ascii="仿宋_GB2312" w:hAnsi="仿宋_GB2312" w:eastAsia="仿宋_GB2312"/>
                <w:sz w:val="24"/>
              </w:rPr>
              <w:t>落实能源消费总量和强度“双控”目标</w:t>
            </w:r>
            <w:r>
              <w:rPr>
                <w:rFonts w:hint="eastAsia" w:ascii="仿宋_GB2312" w:hAnsi="仿宋_GB2312" w:eastAsia="仿宋_GB2312"/>
                <w:sz w:val="24"/>
              </w:rPr>
              <w:t>，</w:t>
            </w:r>
            <w:r>
              <w:rPr>
                <w:rFonts w:ascii="仿宋_GB2312" w:hAnsi="仿宋_GB2312" w:eastAsia="仿宋_GB2312"/>
                <w:sz w:val="24"/>
              </w:rPr>
              <w:t>到 202</w:t>
            </w:r>
            <w:r>
              <w:rPr>
                <w:rFonts w:hint="eastAsia" w:ascii="仿宋_GB2312" w:hAnsi="仿宋_GB2312" w:eastAsia="仿宋_GB2312"/>
                <w:sz w:val="24"/>
              </w:rPr>
              <w:t>0</w:t>
            </w:r>
            <w:r>
              <w:rPr>
                <w:rFonts w:ascii="仿宋_GB2312" w:hAnsi="仿宋_GB2312" w:eastAsia="仿宋_GB2312"/>
                <w:sz w:val="24"/>
              </w:rPr>
              <w:t>年，全</w:t>
            </w:r>
            <w:r>
              <w:rPr>
                <w:rFonts w:hint="eastAsia" w:ascii="仿宋_GB2312" w:hAnsi="仿宋_GB2312" w:eastAsia="仿宋_GB2312"/>
                <w:sz w:val="24"/>
              </w:rPr>
              <w:t>市</w:t>
            </w:r>
            <w:r>
              <w:rPr>
                <w:rFonts w:ascii="仿宋_GB2312" w:hAnsi="仿宋_GB2312" w:eastAsia="仿宋_GB2312"/>
                <w:sz w:val="24"/>
              </w:rPr>
              <w:t>能源消费总量控制在</w:t>
            </w:r>
            <w:r>
              <w:rPr>
                <w:rFonts w:hint="eastAsia" w:ascii="仿宋_GB2312" w:hAnsi="仿宋_GB2312" w:eastAsia="仿宋_GB2312"/>
                <w:sz w:val="24"/>
              </w:rPr>
              <w:t>1015万</w:t>
            </w:r>
            <w:r>
              <w:rPr>
                <w:rFonts w:ascii="仿宋_GB2312" w:hAnsi="仿宋_GB2312" w:eastAsia="仿宋_GB2312"/>
                <w:sz w:val="24"/>
              </w:rPr>
              <w:t>吨标准煤以内，单位地区生产总值能</w:t>
            </w:r>
            <w:r>
              <w:rPr>
                <w:rFonts w:hint="eastAsia" w:ascii="仿宋_GB2312" w:hAnsi="仿宋_GB2312" w:eastAsia="仿宋_GB2312"/>
                <w:sz w:val="24"/>
              </w:rPr>
              <w:t>耗</w:t>
            </w:r>
            <w:r>
              <w:rPr>
                <w:rFonts w:ascii="仿宋_GB2312" w:hAnsi="仿宋_GB2312" w:eastAsia="仿宋_GB2312"/>
                <w:sz w:val="24"/>
              </w:rPr>
              <w:t>比 2015年下降1</w:t>
            </w:r>
            <w:r>
              <w:rPr>
                <w:rFonts w:hint="eastAsia" w:ascii="仿宋_GB2312" w:hAnsi="仿宋_GB2312" w:eastAsia="仿宋_GB2312"/>
                <w:sz w:val="24"/>
              </w:rPr>
              <w:t>6</w:t>
            </w:r>
            <w:r>
              <w:rPr>
                <w:rFonts w:ascii="仿宋_GB2312" w:hAnsi="仿宋_GB2312" w:eastAsia="仿宋_GB2312"/>
                <w:sz w:val="24"/>
              </w:rPr>
              <w:t>%。大型发电集团单位供电二氧化碳排放控制在 550克二氧化碳/千瓦时以内。</w:t>
            </w:r>
          </w:p>
        </w:tc>
        <w:tc>
          <w:tcPr>
            <w:tcW w:w="1755" w:type="dxa"/>
            <w:vAlign w:val="center"/>
          </w:tcPr>
          <w:p>
            <w:pPr>
              <w:widowControl w:val="0"/>
              <w:jc w:val="center"/>
              <w:rPr>
                <w:rFonts w:hint="eastAsia" w:ascii="仿宋_GB2312" w:hAnsi="仿宋_GB2312" w:eastAsia="仿宋_GB2312"/>
                <w:sz w:val="24"/>
              </w:rPr>
            </w:pPr>
          </w:p>
          <w:p>
            <w:pPr>
              <w:widowControl w:val="0"/>
              <w:jc w:val="center"/>
              <w:rPr>
                <w:rFonts w:hint="eastAsia" w:ascii="仿宋_GB2312" w:hAnsi="仿宋_GB2312" w:eastAsia="仿宋_GB2312"/>
                <w:sz w:val="24"/>
              </w:rPr>
            </w:pP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经信委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753"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2</w:t>
            </w:r>
          </w:p>
        </w:tc>
        <w:tc>
          <w:tcPr>
            <w:tcW w:w="1717" w:type="dxa"/>
            <w:vMerge w:val="restart"/>
            <w:vAlign w:val="center"/>
          </w:tcPr>
          <w:p>
            <w:pPr>
              <w:widowControl w:val="0"/>
              <w:jc w:val="center"/>
              <w:rPr>
                <w:rFonts w:ascii="仿宋_GB2312" w:hAnsi="仿宋_GB2312" w:eastAsia="仿宋_GB2312"/>
                <w:sz w:val="24"/>
              </w:rPr>
            </w:pPr>
            <w:r>
              <w:rPr>
                <w:rFonts w:ascii="仿宋_GB2312" w:hAnsi="仿宋_GB2312" w:eastAsia="仿宋_GB2312"/>
                <w:sz w:val="24"/>
              </w:rPr>
              <w:t>深入推进能源节约利用</w:t>
            </w:r>
          </w:p>
        </w:tc>
        <w:tc>
          <w:tcPr>
            <w:tcW w:w="5295" w:type="dxa"/>
            <w:vAlign w:val="center"/>
          </w:tcPr>
          <w:p>
            <w:pPr>
              <w:widowControl w:val="0"/>
              <w:jc w:val="both"/>
              <w:rPr>
                <w:rFonts w:ascii="仿宋_GB2312" w:hAnsi="仿宋_GB2312" w:eastAsia="仿宋_GB2312"/>
                <w:sz w:val="24"/>
              </w:rPr>
            </w:pPr>
            <w:r>
              <w:rPr>
                <w:rFonts w:ascii="仿宋_GB2312" w:hAnsi="仿宋_GB2312" w:eastAsia="仿宋_GB2312"/>
                <w:sz w:val="24"/>
              </w:rPr>
              <w:t>围绕全面节约和高效利用能源，实施重点节能改造工程，突出抓好工业、建筑、交通、公共机构等重点领域节能，持续降低能源消耗强度。</w:t>
            </w:r>
          </w:p>
        </w:tc>
        <w:tc>
          <w:tcPr>
            <w:tcW w:w="1755" w:type="dxa"/>
            <w:vAlign w:val="center"/>
          </w:tcPr>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经信委</w:t>
            </w:r>
          </w:p>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住建</w:t>
            </w:r>
            <w:r>
              <w:rPr>
                <w:rFonts w:hint="eastAsia" w:ascii="仿宋_GB2312" w:hAnsi="仿宋_GB2312" w:eastAsia="仿宋_GB2312"/>
                <w:sz w:val="24"/>
              </w:rPr>
              <w:t>局</w:t>
            </w:r>
          </w:p>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交通</w:t>
            </w:r>
            <w:r>
              <w:rPr>
                <w:rFonts w:hint="eastAsia" w:ascii="仿宋_GB2312" w:hAnsi="仿宋_GB2312" w:eastAsia="仿宋_GB2312"/>
                <w:sz w:val="24"/>
              </w:rPr>
              <w:t>局</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机关事务</w:t>
            </w:r>
          </w:p>
          <w:p>
            <w:pPr>
              <w:widowControl w:val="0"/>
              <w:jc w:val="center"/>
              <w:rPr>
                <w:rFonts w:ascii="仿宋_GB2312" w:hAnsi="仿宋_GB2312" w:eastAsia="仿宋_GB2312"/>
                <w:sz w:val="24"/>
              </w:rPr>
            </w:pPr>
            <w:r>
              <w:rPr>
                <w:rFonts w:ascii="仿宋_GB2312" w:hAnsi="仿宋_GB2312" w:eastAsia="仿宋_GB2312"/>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jc w:val="center"/>
        </w:trPr>
        <w:tc>
          <w:tcPr>
            <w:tcW w:w="753" w:type="dxa"/>
            <w:vMerge w:val="continue"/>
            <w:vAlign w:val="center"/>
          </w:tcPr>
          <w:p>
            <w:pPr>
              <w:widowControl w:val="0"/>
              <w:jc w:val="center"/>
              <w:rPr>
                <w:rFonts w:ascii="仿宋_GB2312" w:hAnsi="仿宋_GB2312" w:eastAsia="仿宋_GB2312"/>
                <w:sz w:val="24"/>
              </w:rPr>
            </w:pPr>
          </w:p>
        </w:tc>
        <w:tc>
          <w:tcPr>
            <w:tcW w:w="1717" w:type="dxa"/>
            <w:vMerge w:val="continue"/>
            <w:vAlign w:val="center"/>
          </w:tcPr>
          <w:p>
            <w:pPr>
              <w:widowControl w:val="0"/>
              <w:jc w:val="both"/>
              <w:rPr>
                <w:rFonts w:ascii="仿宋_GB2312" w:hAnsi="仿宋_GB2312" w:eastAsia="仿宋_GB2312"/>
                <w:sz w:val="24"/>
              </w:rPr>
            </w:pPr>
          </w:p>
        </w:tc>
        <w:tc>
          <w:tcPr>
            <w:tcW w:w="5295" w:type="dxa"/>
            <w:vAlign w:val="center"/>
          </w:tcPr>
          <w:p>
            <w:pPr>
              <w:widowControl w:val="0"/>
              <w:jc w:val="both"/>
              <w:rPr>
                <w:rFonts w:ascii="仿宋_GB2312" w:hAnsi="仿宋_GB2312" w:eastAsia="仿宋_GB2312"/>
                <w:sz w:val="24"/>
              </w:rPr>
            </w:pPr>
            <w:r>
              <w:rPr>
                <w:rFonts w:ascii="仿宋_GB2312" w:hAnsi="仿宋_GB2312" w:eastAsia="仿宋_GB2312"/>
                <w:sz w:val="24"/>
              </w:rPr>
              <w:t>贯彻落实《固定资产投资项目节能审查办法》，严格实施节能评估审查，控制新增能耗。强化节能监察执法，开展主要耗能行业节能专项监察。落实国家《能效“领跑者”制度实施方案》，深入开展火电、水泥、钢铁等主要耗能行业能效对标活动。推广应用节能技术和产品，加快修订节能标准，建立节能长效化机制。继续推广合同能源管理机制，推动节能服务产业健康发展。</w:t>
            </w:r>
          </w:p>
        </w:tc>
        <w:tc>
          <w:tcPr>
            <w:tcW w:w="1755" w:type="dxa"/>
            <w:vAlign w:val="center"/>
          </w:tcPr>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经信委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机关事务</w:t>
            </w:r>
          </w:p>
          <w:p>
            <w:pPr>
              <w:widowControl w:val="0"/>
              <w:jc w:val="center"/>
              <w:rPr>
                <w:rFonts w:ascii="仿宋_GB2312" w:hAnsi="仿宋_GB2312" w:eastAsia="仿宋_GB2312"/>
                <w:sz w:val="24"/>
              </w:rPr>
            </w:pPr>
            <w:r>
              <w:rPr>
                <w:rFonts w:ascii="仿宋_GB2312" w:hAnsi="仿宋_GB2312" w:eastAsia="仿宋_GB2312"/>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53"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3</w:t>
            </w:r>
          </w:p>
        </w:tc>
        <w:tc>
          <w:tcPr>
            <w:tcW w:w="1717" w:type="dxa"/>
            <w:vMerge w:val="restart"/>
            <w:vAlign w:val="center"/>
          </w:tcPr>
          <w:p>
            <w:pPr>
              <w:widowControl w:val="0"/>
              <w:jc w:val="center"/>
              <w:rPr>
                <w:rFonts w:ascii="仿宋_GB2312" w:hAnsi="仿宋_GB2312" w:eastAsia="仿宋_GB2312"/>
                <w:sz w:val="24"/>
              </w:rPr>
            </w:pPr>
            <w:r>
              <w:rPr>
                <w:rFonts w:ascii="仿宋_GB2312" w:hAnsi="仿宋_GB2312" w:eastAsia="仿宋_GB2312"/>
                <w:sz w:val="24"/>
              </w:rPr>
              <w:t>加快煤炭清洁高效利用</w:t>
            </w:r>
          </w:p>
        </w:tc>
        <w:tc>
          <w:tcPr>
            <w:tcW w:w="5295" w:type="dxa"/>
            <w:vAlign w:val="center"/>
          </w:tcPr>
          <w:p>
            <w:pPr>
              <w:widowControl w:val="0"/>
              <w:jc w:val="both"/>
              <w:rPr>
                <w:rFonts w:ascii="仿宋_GB2312" w:hAnsi="仿宋_GB2312" w:eastAsia="仿宋_GB2312"/>
                <w:sz w:val="24"/>
              </w:rPr>
            </w:pPr>
            <w:r>
              <w:rPr>
                <w:rFonts w:ascii="仿宋_GB2312" w:hAnsi="仿宋_GB2312" w:eastAsia="仿宋_GB2312"/>
                <w:sz w:val="24"/>
              </w:rPr>
              <w:t>建立商品煤分级分质利用体系，提高洗</w:t>
            </w:r>
            <w:r>
              <w:rPr>
                <w:rFonts w:hint="eastAsia" w:ascii="仿宋_GB2312" w:hAnsi="仿宋_GB2312" w:eastAsia="仿宋_GB2312"/>
                <w:sz w:val="24"/>
                <w:lang w:eastAsia="zh-CN"/>
              </w:rPr>
              <w:t>煤</w:t>
            </w:r>
            <w:r>
              <w:rPr>
                <w:rFonts w:ascii="仿宋_GB2312" w:hAnsi="仿宋_GB2312" w:eastAsia="仿宋_GB2312"/>
                <w:sz w:val="24"/>
              </w:rPr>
              <w:t>配煤占商品煤的比重，推进煤炭清洁供应，</w:t>
            </w:r>
            <w:r>
              <w:rPr>
                <w:rFonts w:hint="eastAsia" w:ascii="仿宋_GB2312" w:hAnsi="仿宋_GB2312" w:eastAsia="仿宋_GB2312"/>
                <w:sz w:val="24"/>
              </w:rPr>
              <w:t>到2020年，</w:t>
            </w:r>
            <w:r>
              <w:rPr>
                <w:rFonts w:ascii="仿宋_GB2312" w:hAnsi="仿宋_GB2312" w:eastAsia="仿宋_GB2312"/>
                <w:sz w:val="24"/>
              </w:rPr>
              <w:t>确保原煤入洗率到 8</w:t>
            </w:r>
            <w:r>
              <w:rPr>
                <w:rFonts w:hint="eastAsia" w:ascii="仿宋_GB2312" w:hAnsi="仿宋_GB2312" w:eastAsia="仿宋_GB2312"/>
                <w:sz w:val="24"/>
              </w:rPr>
              <w:t>3</w:t>
            </w:r>
            <w:r>
              <w:rPr>
                <w:rFonts w:ascii="仿宋_GB2312" w:hAnsi="仿宋_GB2312" w:eastAsia="仿宋_GB2312"/>
                <w:sz w:val="24"/>
              </w:rPr>
              <w:t>%。加强政策引导和执法监管，严格控制劣质煤生产。</w:t>
            </w:r>
          </w:p>
        </w:tc>
        <w:tc>
          <w:tcPr>
            <w:tcW w:w="1755" w:type="dxa"/>
            <w:vAlign w:val="center"/>
          </w:tcPr>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煤炭</w:t>
            </w:r>
            <w:r>
              <w:rPr>
                <w:rFonts w:hint="eastAsia" w:ascii="仿宋_GB2312" w:hAnsi="仿宋_GB2312" w:eastAsia="仿宋_GB2312"/>
                <w:sz w:val="24"/>
              </w:rPr>
              <w:t>局</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商务</w:t>
            </w:r>
            <w:r>
              <w:rPr>
                <w:rFonts w:hint="eastAsia" w:ascii="仿宋_GB2312" w:hAnsi="仿宋_GB2312" w:eastAsia="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753" w:type="dxa"/>
            <w:vMerge w:val="continue"/>
            <w:vAlign w:val="center"/>
          </w:tcPr>
          <w:p>
            <w:pPr>
              <w:widowControl w:val="0"/>
              <w:jc w:val="both"/>
              <w:rPr>
                <w:rFonts w:ascii="仿宋_GB2312" w:hAnsi="仿宋_GB2312" w:eastAsia="仿宋_GB2312"/>
                <w:sz w:val="24"/>
              </w:rPr>
            </w:pPr>
          </w:p>
        </w:tc>
        <w:tc>
          <w:tcPr>
            <w:tcW w:w="1717" w:type="dxa"/>
            <w:vMerge w:val="continue"/>
            <w:vAlign w:val="center"/>
          </w:tcPr>
          <w:p>
            <w:pPr>
              <w:widowControl w:val="0"/>
              <w:jc w:val="both"/>
              <w:rPr>
                <w:rFonts w:ascii="仿宋_GB2312" w:hAnsi="仿宋_GB2312" w:eastAsia="仿宋_GB2312"/>
                <w:sz w:val="24"/>
              </w:rPr>
            </w:pPr>
          </w:p>
        </w:tc>
        <w:tc>
          <w:tcPr>
            <w:tcW w:w="5295" w:type="dxa"/>
            <w:vAlign w:val="center"/>
          </w:tcPr>
          <w:p>
            <w:pPr>
              <w:widowControl w:val="0"/>
              <w:jc w:val="left"/>
              <w:rPr>
                <w:rFonts w:ascii="仿宋_GB2312" w:hAnsi="仿宋_GB2312" w:eastAsia="仿宋_GB2312"/>
                <w:sz w:val="24"/>
              </w:rPr>
            </w:pPr>
            <w:r>
              <w:rPr>
                <w:rFonts w:ascii="仿宋_GB2312" w:hAnsi="仿宋_GB2312" w:eastAsia="仿宋_GB2312"/>
                <w:sz w:val="24"/>
              </w:rPr>
              <w:t>突出抓好城中村、城边村和城乡结合部及农村地区清洁燃料及高效清洁燃烧炉具推广工作</w:t>
            </w:r>
            <w:r>
              <w:rPr>
                <w:rFonts w:hint="eastAsia" w:ascii="仿宋_GB2312" w:hAnsi="仿宋_GB2312" w:eastAsia="仿宋_GB2312"/>
                <w:sz w:val="24"/>
              </w:rPr>
              <w:t>。</w:t>
            </w:r>
            <w:r>
              <w:rPr>
                <w:rFonts w:ascii="仿宋_GB2312" w:hAnsi="仿宋_GB2312" w:eastAsia="仿宋_GB2312"/>
                <w:sz w:val="24"/>
              </w:rPr>
              <w:t>推进燃煤发电机组超低排放改造和节能改造，鼓励</w:t>
            </w:r>
            <w:r>
              <w:rPr>
                <w:rFonts w:hint="eastAsia" w:ascii="仿宋_GB2312" w:hAnsi="仿宋_GB2312" w:eastAsia="仿宋_GB2312"/>
                <w:sz w:val="24"/>
              </w:rPr>
              <w:t>采用大容量、高参数超超临界燃煤发电组。全力推进山煤河曲、晋能保德、华润宁武等低热值煤发电等重大电力项目，加强煤炭清洁转化利用关键技术与装备研究。</w:t>
            </w:r>
          </w:p>
        </w:tc>
        <w:tc>
          <w:tcPr>
            <w:tcW w:w="1755" w:type="dxa"/>
            <w:vAlign w:val="center"/>
          </w:tcPr>
          <w:p>
            <w:pPr>
              <w:widowControl w:val="0"/>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经信委</w:t>
            </w:r>
          </w:p>
          <w:p>
            <w:pPr>
              <w:widowControl w:val="0"/>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科技</w:t>
            </w:r>
            <w:r>
              <w:rPr>
                <w:rFonts w:hint="eastAsia" w:ascii="仿宋_GB2312" w:hAnsi="仿宋_GB2312" w:eastAsia="仿宋_GB2312"/>
                <w:sz w:val="24"/>
              </w:rPr>
              <w:t>局</w:t>
            </w:r>
          </w:p>
        </w:tc>
      </w:tr>
    </w:tbl>
    <w:p>
      <w:pPr>
        <w:widowControl w:val="0"/>
        <w:jc w:val="both"/>
        <w:rPr>
          <w:rFonts w:ascii="仿宋_GB2312" w:hAnsi="仿宋_GB2312" w:eastAsia="仿宋_GB2312"/>
          <w:sz w:val="24"/>
        </w:rPr>
      </w:pPr>
    </w:p>
    <w:tbl>
      <w:tblPr>
        <w:tblStyle w:val="4"/>
        <w:tblpPr w:leftFromText="180" w:rightFromText="180" w:vertAnchor="page" w:horzAnchor="page" w:tblpX="1297" w:tblpY="1647"/>
        <w:tblOverlap w:val="neve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604"/>
        <w:gridCol w:w="5408"/>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3"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60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408"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55"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753" w:type="dxa"/>
            <w:vAlign w:val="center"/>
          </w:tcPr>
          <w:p>
            <w:pPr>
              <w:widowControl w:val="0"/>
              <w:jc w:val="center"/>
              <w:rPr>
                <w:rFonts w:hint="eastAsia" w:ascii="仿宋_GB2312" w:hAnsi="仿宋_GB2312" w:eastAsia="仿宋_GB2312"/>
                <w:sz w:val="24"/>
                <w:lang w:val="en-US" w:eastAsia="zh-CN"/>
              </w:rPr>
            </w:pPr>
          </w:p>
        </w:tc>
        <w:tc>
          <w:tcPr>
            <w:tcW w:w="1604" w:type="dxa"/>
            <w:vAlign w:val="center"/>
          </w:tcPr>
          <w:p>
            <w:pPr>
              <w:widowControl w:val="0"/>
              <w:jc w:val="both"/>
              <w:rPr>
                <w:rFonts w:ascii="仿宋_GB2312" w:hAnsi="仿宋_GB2312" w:eastAsia="仿宋_GB2312"/>
                <w:sz w:val="24"/>
              </w:rPr>
            </w:pPr>
          </w:p>
        </w:tc>
        <w:tc>
          <w:tcPr>
            <w:tcW w:w="5408" w:type="dxa"/>
            <w:vAlign w:val="center"/>
          </w:tcPr>
          <w:p>
            <w:pPr>
              <w:widowControl w:val="0"/>
              <w:spacing w:line="0" w:lineRule="atLeast"/>
              <w:jc w:val="both"/>
              <w:rPr>
                <w:rFonts w:hint="eastAsia" w:ascii="仿宋_GB2312" w:hAnsi="仿宋_GB2312" w:eastAsia="仿宋_GB2312"/>
                <w:sz w:val="24"/>
                <w:lang w:eastAsia="zh-CN"/>
              </w:rPr>
            </w:pPr>
            <w:r>
              <w:rPr>
                <w:rFonts w:ascii="仿宋_GB2312" w:hAnsi="仿宋_GB2312" w:eastAsia="仿宋_GB2312"/>
                <w:sz w:val="24"/>
              </w:rPr>
              <w:t>合理控制煤炭消费，到202</w:t>
            </w:r>
            <w:r>
              <w:rPr>
                <w:rFonts w:hint="eastAsia" w:ascii="仿宋_GB2312" w:hAnsi="仿宋_GB2312" w:eastAsia="仿宋_GB2312"/>
                <w:sz w:val="24"/>
              </w:rPr>
              <w:t>0</w:t>
            </w:r>
            <w:r>
              <w:rPr>
                <w:rFonts w:ascii="仿宋_GB2312" w:hAnsi="仿宋_GB2312" w:eastAsia="仿宋_GB2312"/>
                <w:sz w:val="24"/>
              </w:rPr>
              <w:t>年，</w:t>
            </w:r>
            <w:r>
              <w:rPr>
                <w:rFonts w:hint="eastAsia" w:ascii="仿宋_GB2312" w:hAnsi="仿宋_GB2312" w:eastAsia="仿宋_GB2312"/>
                <w:sz w:val="24"/>
              </w:rPr>
              <w:t>全市煤炭在一次能源消费比例下降到全省平均水平80%</w:t>
            </w:r>
            <w:r>
              <w:rPr>
                <w:rFonts w:hint="eastAsia" w:ascii="仿宋_GB2312" w:hAnsi="仿宋_GB2312" w:eastAsia="仿宋_GB2312"/>
                <w:sz w:val="24"/>
                <w:lang w:eastAsia="zh-CN"/>
              </w:rPr>
              <w:t>。</w:t>
            </w:r>
          </w:p>
        </w:tc>
        <w:tc>
          <w:tcPr>
            <w:tcW w:w="1755" w:type="dxa"/>
            <w:vAlign w:val="center"/>
          </w:tcPr>
          <w:p>
            <w:pPr>
              <w:widowControl w:val="0"/>
              <w:spacing w:line="0" w:lineRule="atLeast"/>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经信委</w:t>
            </w:r>
          </w:p>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环保</w:t>
            </w:r>
            <w:r>
              <w:rPr>
                <w:rFonts w:hint="eastAsia" w:ascii="仿宋_GB2312" w:hAnsi="仿宋_GB2312" w:eastAsia="仿宋_GB2312"/>
                <w:sz w:val="24"/>
              </w:rPr>
              <w:t>局</w:t>
            </w:r>
          </w:p>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住建</w:t>
            </w:r>
            <w:r>
              <w:rPr>
                <w:rFonts w:hint="eastAsia" w:ascii="仿宋_GB2312" w:hAnsi="仿宋_GB2312" w:eastAsia="仿宋_GB2312"/>
                <w:sz w:val="24"/>
              </w:rPr>
              <w:t>局</w:t>
            </w:r>
          </w:p>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煤炭</w:t>
            </w:r>
            <w:r>
              <w:rPr>
                <w:rFonts w:hint="eastAsia" w:ascii="仿宋_GB2312" w:hAnsi="仿宋_GB2312" w:eastAsia="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753" w:type="dxa"/>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4</w:t>
            </w:r>
          </w:p>
        </w:tc>
        <w:tc>
          <w:tcPr>
            <w:tcW w:w="1604" w:type="dxa"/>
            <w:vAlign w:val="center"/>
          </w:tcPr>
          <w:p>
            <w:pPr>
              <w:widowControl w:val="0"/>
              <w:spacing w:line="0" w:lineRule="atLeast"/>
              <w:jc w:val="center"/>
              <w:rPr>
                <w:rFonts w:ascii="仿宋_GB2312" w:hAnsi="仿宋_GB2312" w:eastAsia="仿宋_GB2312"/>
                <w:sz w:val="24"/>
              </w:rPr>
            </w:pPr>
            <w:r>
              <w:rPr>
                <w:rFonts w:ascii="仿宋_GB2312" w:hAnsi="仿宋_GB2312" w:eastAsia="仿宋_GB2312"/>
                <w:sz w:val="24"/>
              </w:rPr>
              <w:t>优化煤层气开发利用</w:t>
            </w:r>
          </w:p>
        </w:tc>
        <w:tc>
          <w:tcPr>
            <w:tcW w:w="5408"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积极开发利用煤层气，建</w:t>
            </w:r>
            <w:r>
              <w:rPr>
                <w:rFonts w:hint="eastAsia" w:ascii="仿宋_GB2312" w:hAnsi="仿宋_GB2312" w:eastAsia="仿宋_GB2312"/>
                <w:sz w:val="24"/>
              </w:rPr>
              <w:t>成河曲-保德煤层气勘探开发</w:t>
            </w:r>
            <w:r>
              <w:rPr>
                <w:rFonts w:ascii="仿宋_GB2312" w:hAnsi="仿宋_GB2312" w:eastAsia="仿宋_GB2312"/>
                <w:sz w:val="24"/>
              </w:rPr>
              <w:t>基地</w:t>
            </w:r>
            <w:r>
              <w:rPr>
                <w:rFonts w:hint="eastAsia" w:ascii="仿宋_GB2312" w:hAnsi="仿宋_GB2312" w:eastAsia="仿宋_GB2312"/>
                <w:sz w:val="24"/>
              </w:rPr>
              <w:t>。加强放空煤层气和煤矿瓦斯回收利用，推进地面煤层气</w:t>
            </w:r>
            <w:r>
              <w:rPr>
                <w:rFonts w:ascii="仿宋_GB2312" w:hAnsi="仿宋_GB2312" w:eastAsia="仿宋_GB2312"/>
                <w:sz w:val="24"/>
              </w:rPr>
              <w:t>加快建设重点工业企业和园区、重点矿区、重点城镇的支线管网，不断强化煤层气在民用、交通运输、工业等领域的推广应用。充分利用过境天然气资源，积极争取天然气配额。争取到 202</w:t>
            </w:r>
            <w:r>
              <w:rPr>
                <w:rFonts w:hint="eastAsia" w:ascii="仿宋_GB2312" w:hAnsi="仿宋_GB2312" w:eastAsia="仿宋_GB2312"/>
                <w:sz w:val="24"/>
              </w:rPr>
              <w:t>0</w:t>
            </w:r>
            <w:r>
              <w:rPr>
                <w:rFonts w:ascii="仿宋_GB2312" w:hAnsi="仿宋_GB2312" w:eastAsia="仿宋_GB2312"/>
                <w:sz w:val="24"/>
              </w:rPr>
              <w:t>年，城市人口气化基本实现全覆盖，35%的行政村实现气化，不断提高我</w:t>
            </w:r>
            <w:r>
              <w:rPr>
                <w:rFonts w:hint="eastAsia" w:ascii="仿宋_GB2312" w:hAnsi="仿宋_GB2312" w:eastAsia="仿宋_GB2312"/>
                <w:sz w:val="24"/>
              </w:rPr>
              <w:t>市</w:t>
            </w:r>
            <w:r>
              <w:rPr>
                <w:rFonts w:ascii="仿宋_GB2312" w:hAnsi="仿宋_GB2312" w:eastAsia="仿宋_GB2312"/>
                <w:sz w:val="24"/>
              </w:rPr>
              <w:t>燃气普及率。</w:t>
            </w:r>
          </w:p>
        </w:tc>
        <w:tc>
          <w:tcPr>
            <w:tcW w:w="1755"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发改委</w:t>
            </w:r>
          </w:p>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交通</w:t>
            </w:r>
            <w:r>
              <w:rPr>
                <w:rFonts w:hint="eastAsia" w:ascii="仿宋_GB2312" w:hAnsi="仿宋_GB2312" w:eastAsia="仿宋_GB2312"/>
                <w:sz w:val="24"/>
              </w:rPr>
              <w:t>局</w:t>
            </w:r>
          </w:p>
          <w:p>
            <w:pPr>
              <w:widowControl w:val="0"/>
              <w:spacing w:line="0" w:lineRule="atLeast"/>
              <w:jc w:val="center"/>
              <w:rPr>
                <w:rFonts w:hint="eastAsia"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住建</w:t>
            </w:r>
            <w:r>
              <w:rPr>
                <w:rFonts w:hint="eastAsia" w:ascii="仿宋_GB2312" w:hAnsi="仿宋_GB2312" w:eastAsia="仿宋_GB2312"/>
                <w:sz w:val="24"/>
              </w:rPr>
              <w:t>局</w:t>
            </w: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1" w:hRule="atLeast"/>
          <w:jc w:val="center"/>
        </w:trPr>
        <w:tc>
          <w:tcPr>
            <w:tcW w:w="753" w:type="dxa"/>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5</w:t>
            </w:r>
          </w:p>
        </w:tc>
        <w:tc>
          <w:tcPr>
            <w:tcW w:w="1604" w:type="dxa"/>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合理发展非化石能源</w:t>
            </w:r>
          </w:p>
        </w:tc>
        <w:tc>
          <w:tcPr>
            <w:tcW w:w="5408" w:type="dxa"/>
            <w:vAlign w:val="center"/>
          </w:tcPr>
          <w:p>
            <w:pPr>
              <w:widowControl w:val="0"/>
              <w:jc w:val="both"/>
              <w:rPr>
                <w:rFonts w:ascii="仿宋_GB2312" w:hAnsi="仿宋_GB2312" w:eastAsia="仿宋_GB2312"/>
                <w:sz w:val="24"/>
              </w:rPr>
            </w:pPr>
            <w:r>
              <w:rPr>
                <w:rFonts w:ascii="仿宋_GB2312" w:hAnsi="仿宋_GB2312" w:eastAsia="仿宋_GB2312"/>
                <w:sz w:val="24"/>
              </w:rPr>
              <w:t>加快晋北千万千瓦</w:t>
            </w:r>
            <w:r>
              <w:rPr>
                <w:rFonts w:hint="eastAsia" w:ascii="仿宋_GB2312" w:hAnsi="仿宋_GB2312" w:eastAsia="仿宋_GB2312"/>
                <w:sz w:val="24"/>
              </w:rPr>
              <w:t>级大型风电</w:t>
            </w:r>
            <w:r>
              <w:rPr>
                <w:rFonts w:ascii="仿宋_GB2312" w:hAnsi="仿宋_GB2312" w:eastAsia="仿宋_GB2312"/>
                <w:sz w:val="24"/>
              </w:rPr>
              <w:t>基地建设，</w:t>
            </w:r>
            <w:r>
              <w:rPr>
                <w:rFonts w:hint="eastAsia" w:ascii="仿宋_GB2312" w:hAnsi="仿宋_GB2312" w:eastAsia="仿宋_GB2312"/>
                <w:sz w:val="24"/>
              </w:rPr>
              <w:t>打造山西省重要的新能源基地。</w:t>
            </w:r>
            <w:r>
              <w:rPr>
                <w:rFonts w:ascii="仿宋_GB2312" w:hAnsi="仿宋_GB2312" w:eastAsia="仿宋_GB2312"/>
                <w:sz w:val="24"/>
              </w:rPr>
              <w:t>有序推进</w:t>
            </w:r>
            <w:r>
              <w:rPr>
                <w:rFonts w:hint="eastAsia" w:ascii="仿宋_GB2312" w:hAnsi="仿宋_GB2312" w:eastAsia="仿宋_GB2312"/>
                <w:sz w:val="24"/>
              </w:rPr>
              <w:t>建设岢岚县、五台县、神池县、定襄县、忻府区等120万千瓦风力发电项目；合理发展光伏发电，重点推进五台县、代县、静乐县、岢岚县、定襄县、神池县、忻府区等105万千瓦光伏发电项目；</w:t>
            </w:r>
            <w:r>
              <w:rPr>
                <w:rFonts w:ascii="仿宋_GB2312" w:hAnsi="仿宋_GB2312" w:eastAsia="仿宋_GB2312"/>
                <w:sz w:val="24"/>
              </w:rPr>
              <w:t>积极发展生物质能</w:t>
            </w:r>
            <w:r>
              <w:rPr>
                <w:rFonts w:hint="eastAsia" w:ascii="仿宋_GB2312" w:hAnsi="仿宋_GB2312" w:eastAsia="仿宋_GB2312"/>
                <w:sz w:val="24"/>
              </w:rPr>
              <w:t>发电，推进神池县渊林能源有限公司</w:t>
            </w:r>
            <w:r>
              <w:rPr>
                <w:rFonts w:hint="eastAsia" w:ascii="仿宋_GB2312" w:hAnsi="Helvetica" w:eastAsia="仿宋_GB2312"/>
                <w:color w:val="000000"/>
                <w:sz w:val="24"/>
                <w:szCs w:val="24"/>
              </w:rPr>
              <w:t>2×15MW生物质热电联产项目。</w:t>
            </w:r>
            <w:r>
              <w:rPr>
                <w:rFonts w:ascii="仿宋_GB2312" w:hAnsi="仿宋_GB2312" w:eastAsia="仿宋_GB2312"/>
                <w:sz w:val="24"/>
              </w:rPr>
              <w:t>积极发展地热能，鼓励</w:t>
            </w:r>
            <w:r>
              <w:rPr>
                <w:rFonts w:hint="eastAsia" w:ascii="仿宋_GB2312" w:hAnsi="仿宋_GB2312" w:eastAsia="仿宋_GB2312"/>
                <w:sz w:val="24"/>
              </w:rPr>
              <w:t>忻府区</w:t>
            </w:r>
            <w:r>
              <w:rPr>
                <w:rFonts w:ascii="仿宋_GB2312" w:hAnsi="仿宋_GB2312" w:eastAsia="仿宋_GB2312"/>
                <w:sz w:val="24"/>
              </w:rPr>
              <w:t xml:space="preserve">因地制宜推进地热能开发利用。到 </w:t>
            </w:r>
            <w:r>
              <w:rPr>
                <w:rFonts w:ascii="Times New Roman" w:hAnsi="Times New Roman" w:eastAsia="Times New Roman"/>
                <w:sz w:val="24"/>
              </w:rPr>
              <w:t>2020</w:t>
            </w:r>
            <w:r>
              <w:rPr>
                <w:rFonts w:ascii="仿宋_GB2312" w:hAnsi="仿宋_GB2312" w:eastAsia="仿宋_GB2312"/>
                <w:sz w:val="24"/>
              </w:rPr>
              <w:t>年</w:t>
            </w:r>
            <w:r>
              <w:rPr>
                <w:rFonts w:hint="eastAsia" w:ascii="Times New Roman" w:hAnsi="Times New Roman" w:eastAsia="宋体"/>
                <w:sz w:val="24"/>
                <w:lang w:eastAsia="zh-CN"/>
              </w:rPr>
              <w:t>，</w:t>
            </w:r>
            <w:r>
              <w:rPr>
                <w:rFonts w:hint="eastAsia" w:ascii="仿宋_GB2312" w:hAnsi="Helvetica" w:eastAsia="仿宋_GB2312"/>
                <w:color w:val="000000"/>
                <w:sz w:val="24"/>
                <w:szCs w:val="24"/>
              </w:rPr>
              <w:t>全市新能源电力装机容量达到720万千瓦，实现“新能源电力总装机容量较2015年翻一番，新能源总装机容量占全市电力总装机容量的40%”两大目标。非化石能源消费占一次能源消费比重达到4.5%以上。</w:t>
            </w:r>
          </w:p>
        </w:tc>
        <w:tc>
          <w:tcPr>
            <w:tcW w:w="1755" w:type="dxa"/>
            <w:vAlign w:val="center"/>
          </w:tcPr>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753"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6</w:t>
            </w:r>
          </w:p>
        </w:tc>
        <w:tc>
          <w:tcPr>
            <w:tcW w:w="1604" w:type="dxa"/>
            <w:vMerge w:val="restart"/>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创新能源利用方式</w:t>
            </w:r>
          </w:p>
        </w:tc>
        <w:tc>
          <w:tcPr>
            <w:tcW w:w="5408" w:type="dxa"/>
            <w:vAlign w:val="center"/>
          </w:tcPr>
          <w:p>
            <w:pPr>
              <w:widowControl w:val="0"/>
              <w:jc w:val="both"/>
              <w:rPr>
                <w:rFonts w:ascii="仿宋_GB2312" w:hAnsi="仿宋_GB2312" w:eastAsia="仿宋_GB2312"/>
                <w:sz w:val="24"/>
              </w:rPr>
            </w:pPr>
            <w:r>
              <w:rPr>
                <w:rFonts w:ascii="仿宋_GB2312" w:hAnsi="仿宋_GB2312" w:eastAsia="仿宋_GB2312"/>
                <w:sz w:val="24"/>
              </w:rPr>
              <w:t>以城市、工业园区为重点，积极发展分布式能源，探索推广智能电网、多能互补、储能等技术创新，形成风电、光电、煤层气发电等多轮驱动的新能源供应体系</w:t>
            </w:r>
          </w:p>
        </w:tc>
        <w:tc>
          <w:tcPr>
            <w:tcW w:w="1755" w:type="dxa"/>
            <w:vAlign w:val="center"/>
          </w:tcPr>
          <w:p>
            <w:pPr>
              <w:widowControl w:val="0"/>
              <w:spacing w:line="0" w:lineRule="atLeast"/>
              <w:ind w:right="40"/>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jc w:val="center"/>
              <w:rPr>
                <w:rFonts w:hint="eastAsia" w:ascii="仿宋_GB2312" w:hAnsi="仿宋_GB2312" w:eastAsia="仿宋_GB2312"/>
                <w:sz w:val="24"/>
                <w:lang w:eastAsia="zh-CN"/>
              </w:rPr>
            </w:pPr>
            <w:r>
              <w:rPr>
                <w:rFonts w:hint="eastAsia" w:ascii="仿宋_GB2312" w:hAnsi="仿宋_GB2312" w:eastAsia="仿宋_GB2312"/>
                <w:w w:val="99"/>
                <w:sz w:val="24"/>
                <w:lang w:eastAsia="zh-CN"/>
              </w:rPr>
              <w:t>忻州供电公司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53" w:type="dxa"/>
            <w:vMerge w:val="continue"/>
            <w:vAlign w:val="center"/>
          </w:tcPr>
          <w:p>
            <w:pPr>
              <w:widowControl w:val="0"/>
              <w:jc w:val="center"/>
              <w:rPr>
                <w:rFonts w:hint="eastAsia" w:ascii="仿宋_GB2312" w:hAnsi="仿宋_GB2312" w:eastAsia="仿宋_GB2312"/>
                <w:sz w:val="24"/>
                <w:lang w:val="en-US" w:eastAsia="zh-CN"/>
              </w:rPr>
            </w:pPr>
          </w:p>
        </w:tc>
        <w:tc>
          <w:tcPr>
            <w:tcW w:w="1604" w:type="dxa"/>
            <w:vMerge w:val="continue"/>
            <w:vAlign w:val="center"/>
          </w:tcPr>
          <w:p>
            <w:pPr>
              <w:widowControl w:val="0"/>
              <w:jc w:val="both"/>
              <w:rPr>
                <w:rFonts w:ascii="仿宋_GB2312" w:hAnsi="仿宋_GB2312" w:eastAsia="仿宋_GB2312"/>
                <w:sz w:val="24"/>
              </w:rPr>
            </w:pPr>
          </w:p>
        </w:tc>
        <w:tc>
          <w:tcPr>
            <w:tcW w:w="5408" w:type="dxa"/>
            <w:vAlign w:val="center"/>
          </w:tcPr>
          <w:p>
            <w:pPr>
              <w:widowControl w:val="0"/>
              <w:jc w:val="both"/>
              <w:rPr>
                <w:rFonts w:ascii="仿宋_GB2312" w:hAnsi="仿宋_GB2312" w:eastAsia="仿宋_GB2312"/>
                <w:sz w:val="24"/>
              </w:rPr>
            </w:pPr>
            <w:r>
              <w:rPr>
                <w:rFonts w:ascii="仿宋_GB2312" w:hAnsi="仿宋_GB2312" w:eastAsia="仿宋_GB2312"/>
                <w:sz w:val="24"/>
              </w:rPr>
              <w:t>推进电力需求侧管理平台建设，加强电力需求侧管理。</w:t>
            </w:r>
          </w:p>
        </w:tc>
        <w:tc>
          <w:tcPr>
            <w:tcW w:w="1755" w:type="dxa"/>
            <w:vAlign w:val="center"/>
          </w:tcPr>
          <w:p>
            <w:pPr>
              <w:widowControl w:val="0"/>
              <w:jc w:val="center"/>
              <w:rPr>
                <w:rFonts w:hint="eastAsia" w:ascii="仿宋_GB2312" w:hAnsi="仿宋_GB2312" w:eastAsia="仿宋_GB2312"/>
                <w:sz w:val="24"/>
                <w:lang w:eastAsia="zh-CN"/>
              </w:rPr>
            </w:pPr>
            <w:r>
              <w:rPr>
                <w:rFonts w:hint="eastAsia" w:ascii="仿宋_GB2312" w:hAnsi="仿宋_GB2312" w:eastAsia="仿宋_GB2312"/>
                <w:w w:val="99"/>
                <w:sz w:val="24"/>
                <w:lang w:eastAsia="zh-CN"/>
              </w:rPr>
              <w:t>忻州供电公司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53" w:type="dxa"/>
            <w:vMerge w:val="continue"/>
            <w:vAlign w:val="center"/>
          </w:tcPr>
          <w:p>
            <w:pPr>
              <w:widowControl w:val="0"/>
              <w:jc w:val="both"/>
              <w:rPr>
                <w:rFonts w:ascii="仿宋_GB2312" w:hAnsi="仿宋_GB2312" w:eastAsia="仿宋_GB2312"/>
                <w:sz w:val="24"/>
              </w:rPr>
            </w:pPr>
          </w:p>
        </w:tc>
        <w:tc>
          <w:tcPr>
            <w:tcW w:w="1604" w:type="dxa"/>
            <w:vMerge w:val="continue"/>
            <w:vAlign w:val="center"/>
          </w:tcPr>
          <w:p>
            <w:pPr>
              <w:widowControl w:val="0"/>
              <w:jc w:val="both"/>
              <w:rPr>
                <w:rFonts w:ascii="仿宋_GB2312" w:hAnsi="仿宋_GB2312" w:eastAsia="仿宋_GB2312"/>
                <w:sz w:val="24"/>
              </w:rPr>
            </w:pPr>
          </w:p>
        </w:tc>
        <w:tc>
          <w:tcPr>
            <w:tcW w:w="5408"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推进坚强智能电网建设，实现智能电网全覆盖，建成</w:t>
            </w:r>
            <w:r>
              <w:rPr>
                <w:rFonts w:hint="eastAsia" w:ascii="仿宋_GB2312" w:hAnsi="仿宋_GB2312" w:eastAsia="仿宋_GB2312"/>
                <w:color w:val="000000"/>
                <w:sz w:val="24"/>
              </w:rPr>
              <w:t>市</w:t>
            </w:r>
            <w:r>
              <w:rPr>
                <w:rFonts w:ascii="仿宋_GB2312" w:hAnsi="仿宋_GB2312" w:eastAsia="仿宋_GB2312"/>
                <w:sz w:val="24"/>
              </w:rPr>
              <w:t>调智能电网调度技术支持系统，为可再生能源开发和分布式能源发展提供支撑。</w:t>
            </w:r>
          </w:p>
        </w:tc>
        <w:tc>
          <w:tcPr>
            <w:tcW w:w="1755" w:type="dxa"/>
            <w:vAlign w:val="center"/>
          </w:tcPr>
          <w:p>
            <w:pPr>
              <w:widowControl w:val="0"/>
              <w:spacing w:line="260" w:lineRule="exact"/>
              <w:ind w:right="40"/>
              <w:jc w:val="center"/>
              <w:rPr>
                <w:rFonts w:hint="eastAsia" w:ascii="仿宋_GB2312" w:hAnsi="仿宋_GB2312" w:eastAsia="仿宋_GB2312"/>
                <w:w w:val="99"/>
                <w:sz w:val="24"/>
                <w:lang w:eastAsia="zh-CN"/>
              </w:rPr>
            </w:pPr>
            <w:r>
              <w:rPr>
                <w:rFonts w:hint="eastAsia" w:ascii="仿宋_GB2312" w:hAnsi="仿宋_GB2312" w:eastAsia="仿宋_GB2312"/>
                <w:w w:val="99"/>
                <w:sz w:val="24"/>
                <w:lang w:eastAsia="zh-CN"/>
              </w:rPr>
              <w:t>忻州供电公司</w:t>
            </w:r>
          </w:p>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发改委</w:t>
            </w:r>
          </w:p>
        </w:tc>
      </w:tr>
    </w:tbl>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tbl>
      <w:tblPr>
        <w:tblStyle w:val="4"/>
        <w:tblpPr w:leftFromText="180" w:rightFromText="180" w:vertAnchor="page" w:horzAnchor="page" w:tblpX="1297" w:tblpY="1493"/>
        <w:tblOverlap w:val="never"/>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94"/>
        <w:gridCol w:w="5374"/>
        <w:gridCol w:w="59"/>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748"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59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433" w:type="dxa"/>
            <w:gridSpan w:val="2"/>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685"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460" w:type="dxa"/>
            <w:gridSpan w:val="5"/>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b/>
                <w:sz w:val="24"/>
              </w:rPr>
              <w:t>全力推进产业低碳转型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748" w:type="dxa"/>
            <w:vMerge w:val="restart"/>
            <w:vAlign w:val="center"/>
          </w:tcPr>
          <w:p>
            <w:pPr>
              <w:widowControl w:val="0"/>
              <w:spacing w:line="262" w:lineRule="exact"/>
              <w:jc w:val="center"/>
              <w:rPr>
                <w:rFonts w:hint="eastAsia" w:ascii="仿宋_GB2312" w:hAnsi="仿宋_GB2312" w:eastAsia="仿宋_GB2312" w:cs="仿宋_GB2312"/>
                <w:w w:val="99"/>
                <w:sz w:val="24"/>
                <w:lang w:val="en-US" w:eastAsia="zh-CN"/>
              </w:rPr>
            </w:pPr>
            <w:r>
              <w:rPr>
                <w:rFonts w:hint="eastAsia" w:ascii="仿宋_GB2312" w:hAnsi="仿宋_GB2312" w:eastAsia="仿宋_GB2312" w:cs="仿宋_GB2312"/>
                <w:w w:val="99"/>
                <w:sz w:val="24"/>
                <w:lang w:val="en-US" w:eastAsia="zh-CN"/>
              </w:rPr>
              <w:t>7</w:t>
            </w:r>
          </w:p>
        </w:tc>
        <w:tc>
          <w:tcPr>
            <w:tcW w:w="1594" w:type="dxa"/>
            <w:vMerge w:val="restart"/>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加快产业结构调整</w:t>
            </w:r>
          </w:p>
        </w:tc>
        <w:tc>
          <w:tcPr>
            <w:tcW w:w="5374" w:type="dxa"/>
            <w:vAlign w:val="center"/>
          </w:tcPr>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将资源型经济转型综合配套改革试验区作为推动经济转型发展的抓手，将低碳发展作为新常态下经济提质增效的重要动力，全面实施创新驱动，推动产业结构转型升级。推进供给侧结构性改革，加快煤炭、钢铁、电力、水泥等重点行业化解过剩产能。</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市煤炭局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jc w:val="center"/>
        </w:trPr>
        <w:tc>
          <w:tcPr>
            <w:tcW w:w="748" w:type="dxa"/>
            <w:vMerge w:val="continue"/>
            <w:vAlign w:val="center"/>
          </w:tcPr>
          <w:p>
            <w:pPr>
              <w:widowControl w:val="0"/>
              <w:spacing w:line="262" w:lineRule="exact"/>
              <w:jc w:val="both"/>
              <w:rPr>
                <w:rFonts w:hint="eastAsia" w:ascii="仿宋_GB2312" w:hAnsi="仿宋_GB2312" w:eastAsia="仿宋_GB2312" w:cs="仿宋_GB2312"/>
                <w:w w:val="99"/>
                <w:sz w:val="24"/>
                <w:lang w:val="en-US" w:eastAsia="zh-CN"/>
              </w:rPr>
            </w:pPr>
          </w:p>
        </w:tc>
        <w:tc>
          <w:tcPr>
            <w:tcW w:w="1594" w:type="dxa"/>
            <w:vMerge w:val="continue"/>
            <w:vAlign w:val="center"/>
          </w:tcPr>
          <w:p>
            <w:pPr>
              <w:widowControl w:val="0"/>
              <w:spacing w:line="262" w:lineRule="exact"/>
              <w:jc w:val="both"/>
              <w:rPr>
                <w:rFonts w:hint="eastAsia" w:ascii="仿宋_GB2312" w:hAnsi="仿宋_GB2312" w:eastAsia="仿宋_GB2312" w:cs="仿宋_GB2312"/>
                <w:w w:val="99"/>
                <w:sz w:val="24"/>
              </w:rPr>
            </w:pPr>
          </w:p>
        </w:tc>
        <w:tc>
          <w:tcPr>
            <w:tcW w:w="5374" w:type="dxa"/>
            <w:vAlign w:val="center"/>
          </w:tcPr>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充分发挥区域特色和比较优势，实施战略性新兴产业培育工程、能源产业创新工程、传统产业提质工程、现代服务业发展工程、特色现代农业增效工程、“双创”孵化新产业新业态工程，加快发展高端装备制造、新材料、新能源、节能环保和信息产业。转变旅游业发展模式，推进“互联网+旅游”融合发展，倡导绿色、低碳旅游新概念，统筹开发低碳旅游项目和产品。到 2020 年，战略性新兴产业增加值达到150亿元左右，服务业增加值占 GDP 比重保持在 47%以上。</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 农 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市环保局</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市科技局</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市旅发委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48" w:type="dxa"/>
            <w:vMerge w:val="restart"/>
            <w:vAlign w:val="center"/>
          </w:tcPr>
          <w:p>
            <w:pPr>
              <w:widowControl w:val="0"/>
              <w:spacing w:line="262" w:lineRule="exact"/>
              <w:jc w:val="center"/>
              <w:rPr>
                <w:rFonts w:hint="eastAsia" w:ascii="仿宋_GB2312" w:hAnsi="仿宋_GB2312" w:eastAsia="仿宋_GB2312" w:cs="仿宋_GB2312"/>
                <w:w w:val="99"/>
                <w:sz w:val="24"/>
                <w:lang w:val="en-US" w:eastAsia="zh-CN"/>
              </w:rPr>
            </w:pPr>
            <w:r>
              <w:rPr>
                <w:rFonts w:hint="eastAsia" w:ascii="仿宋_GB2312" w:hAnsi="仿宋_GB2312" w:eastAsia="仿宋_GB2312" w:cs="仿宋_GB2312"/>
                <w:w w:val="99"/>
                <w:sz w:val="24"/>
                <w:lang w:val="en-US" w:eastAsia="zh-CN"/>
              </w:rPr>
              <w:t>8</w:t>
            </w:r>
          </w:p>
        </w:tc>
        <w:tc>
          <w:tcPr>
            <w:tcW w:w="1594" w:type="dxa"/>
            <w:vMerge w:val="restart"/>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严控工业领域排放</w:t>
            </w:r>
          </w:p>
        </w:tc>
        <w:tc>
          <w:tcPr>
            <w:tcW w:w="5374" w:type="dxa"/>
            <w:vAlign w:val="center"/>
          </w:tcPr>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以工业园区、产业集聚区为重点，促进资源循环利用、能量梯级利用，构建绿色低碳循环产业链。</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748" w:type="dxa"/>
            <w:vMerge w:val="continue"/>
            <w:vAlign w:val="center"/>
          </w:tcPr>
          <w:p>
            <w:pPr>
              <w:widowControl w:val="0"/>
              <w:jc w:val="center"/>
              <w:rPr>
                <w:rFonts w:hint="eastAsia" w:ascii="仿宋_GB2312" w:hAnsi="仿宋_GB2312" w:eastAsia="仿宋_GB2312"/>
                <w:sz w:val="24"/>
                <w:lang w:val="en-US" w:eastAsia="zh-CN"/>
              </w:rPr>
            </w:pPr>
          </w:p>
        </w:tc>
        <w:tc>
          <w:tcPr>
            <w:tcW w:w="1594" w:type="dxa"/>
            <w:vMerge w:val="continue"/>
            <w:vAlign w:val="center"/>
          </w:tcPr>
          <w:p>
            <w:pPr>
              <w:widowControl w:val="0"/>
              <w:jc w:val="both"/>
              <w:rPr>
                <w:rFonts w:ascii="仿宋_GB2312" w:hAnsi="仿宋_GB2312" w:eastAsia="仿宋_GB2312"/>
                <w:sz w:val="24"/>
              </w:rPr>
            </w:pPr>
          </w:p>
        </w:tc>
        <w:tc>
          <w:tcPr>
            <w:tcW w:w="5374" w:type="dxa"/>
            <w:vAlign w:val="center"/>
          </w:tcPr>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鼓励运用先进适用技术和高新技术改造提升电力、</w:t>
            </w:r>
          </w:p>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冶金、化工、建材等传统产业。围绕工业生产源头、</w:t>
            </w:r>
          </w:p>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过程和产品三个重点，实施工业能效提升计划，推</w:t>
            </w:r>
          </w:p>
          <w:p>
            <w:pPr>
              <w:widowControl w:val="0"/>
              <w:spacing w:line="262" w:lineRule="exac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动主要高耗能产品单位产品碳排放达到国内或国际先进水平。</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p>
            <w:pPr>
              <w:widowControl w:val="0"/>
              <w:spacing w:line="262" w:lineRule="exact"/>
              <w:jc w:val="center"/>
              <w:rPr>
                <w:rFonts w:ascii="仿宋_GB2312" w:hAnsi="仿宋_GB2312" w:eastAsia="仿宋_GB2312"/>
                <w:sz w:val="24"/>
              </w:rPr>
            </w:pPr>
            <w:r>
              <w:rPr>
                <w:rFonts w:hint="eastAsia" w:ascii="仿宋_GB2312" w:hAnsi="仿宋_GB2312" w:eastAsia="仿宋_GB2312" w:cs="仿宋_GB2312"/>
                <w:w w:val="99"/>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748" w:type="dxa"/>
            <w:vMerge w:val="continue"/>
            <w:vAlign w:val="center"/>
          </w:tcPr>
          <w:p>
            <w:pPr>
              <w:widowControl w:val="0"/>
              <w:jc w:val="both"/>
              <w:rPr>
                <w:rFonts w:ascii="仿宋_GB2312" w:hAnsi="仿宋_GB2312" w:eastAsia="仿宋_GB2312"/>
                <w:sz w:val="24"/>
              </w:rPr>
            </w:pPr>
          </w:p>
        </w:tc>
        <w:tc>
          <w:tcPr>
            <w:tcW w:w="1594" w:type="dxa"/>
            <w:vMerge w:val="continue"/>
            <w:vAlign w:val="center"/>
          </w:tcPr>
          <w:p>
            <w:pPr>
              <w:widowControl w:val="0"/>
              <w:jc w:val="both"/>
              <w:rPr>
                <w:rFonts w:ascii="仿宋_GB2312" w:hAnsi="仿宋_GB2312" w:eastAsia="仿宋_GB2312"/>
                <w:sz w:val="24"/>
              </w:rPr>
            </w:pPr>
          </w:p>
        </w:tc>
        <w:tc>
          <w:tcPr>
            <w:tcW w:w="5374" w:type="dxa"/>
            <w:vAlign w:val="bottom"/>
          </w:tcPr>
          <w:p>
            <w:pPr>
              <w:widowControl w:val="0"/>
              <w:spacing w:line="262" w:lineRule="exact"/>
              <w:jc w:val="both"/>
              <w:rPr>
                <w:rFonts w:ascii="仿宋_GB2312" w:hAnsi="仿宋_GB2312" w:eastAsia="仿宋_GB2312"/>
                <w:sz w:val="24"/>
              </w:rPr>
            </w:pPr>
            <w:r>
              <w:rPr>
                <w:rFonts w:hint="eastAsia" w:ascii="仿宋_GB2312" w:hAnsi="仿宋_GB2312" w:eastAsia="仿宋_GB2312" w:cs="仿宋_GB2312"/>
                <w:w w:val="99"/>
                <w:sz w:val="24"/>
              </w:rPr>
              <w:t>加快企业碳排放管理体系建设，推动实施低碳产品标准、标识和认证制度，鼓励企业开发生产低碳产品。实施低碳标杆引领计划，推动重点行业企业开展碳排放对标活动。</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市质监局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748" w:type="dxa"/>
            <w:vMerge w:val="continue"/>
            <w:vAlign w:val="center"/>
          </w:tcPr>
          <w:p>
            <w:pPr>
              <w:widowControl w:val="0"/>
              <w:jc w:val="both"/>
              <w:rPr>
                <w:rFonts w:ascii="仿宋_GB2312" w:hAnsi="仿宋_GB2312" w:eastAsia="仿宋_GB2312"/>
                <w:sz w:val="24"/>
              </w:rPr>
            </w:pPr>
          </w:p>
        </w:tc>
        <w:tc>
          <w:tcPr>
            <w:tcW w:w="1594" w:type="dxa"/>
            <w:vMerge w:val="continue"/>
            <w:vAlign w:val="center"/>
          </w:tcPr>
          <w:p>
            <w:pPr>
              <w:widowControl w:val="0"/>
              <w:jc w:val="both"/>
              <w:rPr>
                <w:rFonts w:ascii="仿宋_GB2312" w:hAnsi="仿宋_GB2312" w:eastAsia="仿宋_GB2312"/>
                <w:sz w:val="24"/>
              </w:rPr>
            </w:pPr>
          </w:p>
        </w:tc>
        <w:tc>
          <w:tcPr>
            <w:tcW w:w="5374" w:type="dxa"/>
            <w:vAlign w:val="center"/>
          </w:tcPr>
          <w:p>
            <w:pPr>
              <w:widowControl w:val="0"/>
              <w:jc w:val="both"/>
              <w:rPr>
                <w:rFonts w:ascii="仿宋_GB2312" w:hAnsi="仿宋_GB2312" w:eastAsia="仿宋_GB2312"/>
                <w:sz w:val="24"/>
              </w:rPr>
            </w:pPr>
            <w:r>
              <w:rPr>
                <w:rFonts w:hint="eastAsia" w:ascii="仿宋_GB2312" w:hAnsi="仿宋_GB2312" w:eastAsia="仿宋_GB2312" w:cs="仿宋_GB2312"/>
                <w:w w:val="99"/>
                <w:sz w:val="24"/>
              </w:rPr>
              <w:t>“十三五”期间规模以上单位工业增加值能耗降低18%，电力、钢铁、建材等重点行业二氧化碳排放总量得到有效控制，工业领域二氧化碳排放总量趋于稳定。</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市经信委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748" w:type="dxa"/>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9</w:t>
            </w:r>
          </w:p>
        </w:tc>
        <w:tc>
          <w:tcPr>
            <w:tcW w:w="1594"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cs="仿宋_GB2312"/>
                <w:w w:val="99"/>
                <w:sz w:val="24"/>
              </w:rPr>
              <w:t>加快发展低碳农业</w:t>
            </w:r>
          </w:p>
        </w:tc>
        <w:tc>
          <w:tcPr>
            <w:tcW w:w="5374" w:type="dxa"/>
            <w:vAlign w:val="center"/>
          </w:tcPr>
          <w:p>
            <w:pPr>
              <w:widowControl w:val="0"/>
              <w:spacing w:line="262" w:lineRule="exact"/>
              <w:jc w:val="both"/>
              <w:rPr>
                <w:rFonts w:hint="eastAsia" w:ascii="仿宋_GB2312" w:hAnsi="仿宋_GB2312" w:eastAsia="仿宋_GB2312"/>
                <w:color w:val="000000"/>
                <w:sz w:val="24"/>
              </w:rPr>
            </w:pPr>
            <w:r>
              <w:rPr>
                <w:rFonts w:hint="eastAsia" w:ascii="仿宋_GB2312" w:hAnsi="仿宋_GB2312" w:eastAsia="仿宋_GB2312" w:cs="仿宋_GB2312"/>
                <w:w w:val="99"/>
                <w:sz w:val="24"/>
              </w:rPr>
              <w:t>深入推进全省测土配方施肥工作，增施有机肥，减少农田氧化亚氮排放，到2020年，实现化肥施用量零增长。实施耕地质量保护与提升行动,推广秸秆还田，施用有机肥等技术。</w:t>
            </w:r>
          </w:p>
        </w:tc>
        <w:tc>
          <w:tcPr>
            <w:tcW w:w="1744" w:type="dxa"/>
            <w:gridSpan w:val="2"/>
            <w:vAlign w:val="center"/>
          </w:tcPr>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 农 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市发改委</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市国土局</w:t>
            </w:r>
          </w:p>
          <w:p>
            <w:pPr>
              <w:widowControl w:val="0"/>
              <w:spacing w:line="262" w:lineRule="exac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市水利局</w:t>
            </w:r>
          </w:p>
        </w:tc>
      </w:tr>
    </w:tbl>
    <w:tbl>
      <w:tblPr>
        <w:tblStyle w:val="4"/>
        <w:tblpPr w:leftFromText="180" w:rightFromText="180" w:vertAnchor="page" w:horzAnchor="page" w:tblpXSpec="center" w:tblpY="1588"/>
        <w:tblOverlap w:val="never"/>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631"/>
        <w:gridCol w:w="556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765"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631"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560"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2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65" w:type="dxa"/>
            <w:vAlign w:val="center"/>
          </w:tcPr>
          <w:p>
            <w:pPr>
              <w:widowControl w:val="0"/>
              <w:jc w:val="center"/>
              <w:rPr>
                <w:rFonts w:hint="eastAsia" w:ascii="仿宋_GB2312" w:hAnsi="仿宋_GB2312" w:eastAsia="仿宋_GB2312"/>
                <w:sz w:val="24"/>
                <w:lang w:val="en-US" w:eastAsia="zh-CN"/>
              </w:rPr>
            </w:pPr>
          </w:p>
        </w:tc>
        <w:tc>
          <w:tcPr>
            <w:tcW w:w="1631" w:type="dxa"/>
            <w:vAlign w:val="center"/>
          </w:tcPr>
          <w:p>
            <w:pPr>
              <w:widowControl w:val="0"/>
              <w:spacing w:line="0" w:lineRule="atLeast"/>
              <w:ind w:left="80"/>
              <w:jc w:val="center"/>
              <w:rPr>
                <w:rFonts w:ascii="仿宋_GB2312" w:hAnsi="仿宋_GB2312" w:eastAsia="仿宋_GB2312"/>
                <w:sz w:val="24"/>
              </w:rPr>
            </w:pPr>
          </w:p>
        </w:tc>
        <w:tc>
          <w:tcPr>
            <w:tcW w:w="5560"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spacing w:val="-11"/>
                <w:w w:val="100"/>
                <w:sz w:val="24"/>
              </w:rPr>
              <w:t>推广标准化规模养殖，因地制宜建设畜禽养殖场大中型沼气工程，逐步加大沼气、有机肥生产比例，到 2020 年规模化畜禽养殖场粪便处理基本实现资源化利用。选择条件基础好的农业示范园区开展低碳农业试点。</w:t>
            </w:r>
          </w:p>
        </w:tc>
        <w:tc>
          <w:tcPr>
            <w:tcW w:w="1724" w:type="dxa"/>
            <w:vAlign w:val="center"/>
          </w:tcPr>
          <w:p>
            <w:pPr>
              <w:widowControl w:val="0"/>
              <w:spacing w:line="251" w:lineRule="exac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农</w:t>
            </w:r>
            <w:r>
              <w:rPr>
                <w:rFonts w:hint="eastAsia" w:ascii="仿宋_GB2312" w:hAnsi="仿宋_GB2312" w:eastAsia="仿宋_GB2312"/>
                <w:sz w:val="24"/>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7" w:hRule="atLeast"/>
          <w:jc w:val="center"/>
        </w:trPr>
        <w:tc>
          <w:tcPr>
            <w:tcW w:w="765" w:type="dxa"/>
            <w:vAlign w:val="center"/>
          </w:tcPr>
          <w:p>
            <w:pPr>
              <w:widowControl w:val="0"/>
              <w:jc w:val="center"/>
              <w:rPr>
                <w:rFonts w:hint="eastAsia" w:ascii="仿宋_GB2312" w:hAnsi="仿宋_GB2312" w:eastAsia="仿宋_GB2312"/>
                <w:sz w:val="24"/>
                <w:lang w:val="en-US" w:eastAsia="zh-CN"/>
              </w:rPr>
            </w:pPr>
            <w:r>
              <w:rPr>
                <w:rFonts w:ascii="Times New Roman" w:hAnsi="Times New Roman" w:eastAsia="Times New Roman"/>
                <w:sz w:val="24"/>
              </w:rPr>
              <w:t>10</w:t>
            </w:r>
          </w:p>
        </w:tc>
        <w:tc>
          <w:tcPr>
            <w:tcW w:w="1631" w:type="dxa"/>
            <w:vAlign w:val="center"/>
          </w:tcPr>
          <w:p>
            <w:pPr>
              <w:widowControl w:val="0"/>
              <w:spacing w:line="0" w:lineRule="atLeast"/>
              <w:jc w:val="center"/>
              <w:rPr>
                <w:rFonts w:hint="eastAsia" w:ascii="仿宋_GB2312" w:hAnsi="仿宋_GB2312" w:eastAsia="仿宋_GB2312" w:cs="仿宋_GB2312"/>
                <w:w w:val="99"/>
                <w:sz w:val="24"/>
              </w:rPr>
            </w:pPr>
            <w:r>
              <w:rPr>
                <w:rFonts w:hint="eastAsia" w:ascii="仿宋_GB2312" w:hAnsi="仿宋_GB2312" w:eastAsia="仿宋_GB2312" w:cs="仿宋_GB2312"/>
                <w:w w:val="99"/>
                <w:sz w:val="24"/>
              </w:rPr>
              <w:t>增加生态系</w:t>
            </w:r>
          </w:p>
          <w:p>
            <w:pPr>
              <w:widowControl w:val="0"/>
              <w:spacing w:line="0" w:lineRule="atLeast"/>
              <w:jc w:val="center"/>
              <w:rPr>
                <w:rFonts w:ascii="仿宋_GB2312" w:hAnsi="仿宋_GB2312" w:eastAsia="仿宋_GB2312"/>
                <w:sz w:val="24"/>
              </w:rPr>
            </w:pPr>
            <w:r>
              <w:rPr>
                <w:rFonts w:hint="eastAsia" w:ascii="仿宋_GB2312" w:hAnsi="仿宋_GB2312" w:eastAsia="仿宋_GB2312" w:cs="仿宋_GB2312"/>
                <w:w w:val="99"/>
                <w:sz w:val="24"/>
              </w:rPr>
              <w:t>统碳汇</w:t>
            </w:r>
          </w:p>
        </w:tc>
        <w:tc>
          <w:tcPr>
            <w:tcW w:w="5560" w:type="dxa"/>
            <w:vAlign w:val="center"/>
          </w:tcPr>
          <w:p>
            <w:pPr>
              <w:widowControl w:val="0"/>
              <w:spacing w:line="0" w:lineRule="atLeast"/>
              <w:jc w:val="left"/>
              <w:rPr>
                <w:rFonts w:ascii="仿宋_GB2312" w:hAnsi="仿宋_GB2312" w:eastAsia="仿宋_GB2312"/>
                <w:sz w:val="24"/>
              </w:rPr>
            </w:pPr>
            <w:r>
              <w:rPr>
                <w:rFonts w:hint="eastAsia" w:ascii="仿宋_GB2312" w:hAnsi="仿宋_GB2312" w:eastAsia="仿宋_GB2312" w:cs="Times New Roman"/>
                <w:kern w:val="2"/>
                <w:sz w:val="24"/>
                <w:szCs w:val="24"/>
                <w:lang w:val="en-US" w:eastAsia="zh-CN" w:bidi="ar-SA"/>
              </w:rPr>
              <w:t>加快推进造林绿化步伐，全市围绕“一核两区三河五路”进行布局。“一核”即围绕忻定原同城化，在忻州市城区周边忻府区、定襄县、原平市的核心发展区域开展林业生态建设；“两区”即吕梁山和太行山集中连片地区的生态治理修复；“三河”即黄河、汾河、滹沱河三条主要河流水源保护；“五路”即大运、五保、灵河、右芮、天黎五条主要高速通道为主要框架的通道绿化。实施国省林业重点工程，举全力治理生态脆弱区、生态源头保护区、京津冀绿色屏障区、生态建设潜力区。积极开展碳汇造林，加强未成林地管护，扩大森林面积，增加森林碳汇。加强森林抚育，提高森林经营管理水平，促进森林结构不断优化，质量不断提升，增强固碳能力。强化全市湿地自然保护区保护与能力建设，稳定并增强湿地固碳能力。到2020年，全市完成造林268万亩（包括人工造林、封山育林、退化林分修复和人工更新造林），森林覆盖率提高到21%，森林蓄积量达到2742万立方米以上。</w:t>
            </w:r>
          </w:p>
        </w:tc>
        <w:tc>
          <w:tcPr>
            <w:tcW w:w="1724"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sz w:val="24"/>
              </w:rPr>
              <w:t>市</w:t>
            </w:r>
            <w:r>
              <w:rPr>
                <w:rFonts w:ascii="仿宋_GB2312" w:hAnsi="仿宋_GB2312" w:eastAsia="仿宋_GB2312"/>
                <w:sz w:val="24"/>
              </w:rPr>
              <w:t>林业</w:t>
            </w:r>
            <w:r>
              <w:rPr>
                <w:rFonts w:hint="eastAsia" w:ascii="仿宋_GB2312" w:hAnsi="仿宋_GB2312" w:eastAsia="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680" w:type="dxa"/>
            <w:gridSpan w:val="4"/>
            <w:vAlign w:val="center"/>
          </w:tcPr>
          <w:p>
            <w:pPr>
              <w:widowControl w:val="0"/>
              <w:spacing w:line="0" w:lineRule="atLeast"/>
              <w:jc w:val="center"/>
              <w:rPr>
                <w:rFonts w:ascii="仿宋_GB2312" w:hAnsi="仿宋_GB2312" w:eastAsia="仿宋_GB2312"/>
                <w:sz w:val="24"/>
              </w:rPr>
            </w:pPr>
            <w:r>
              <w:rPr>
                <w:rFonts w:ascii="仿宋_GB2312" w:hAnsi="仿宋_GB2312" w:eastAsia="仿宋_GB2312"/>
                <w:b/>
                <w:sz w:val="24"/>
              </w:rPr>
              <w:t>积极推动城镇化低碳发展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765" w:type="dxa"/>
            <w:vMerge w:val="restart"/>
            <w:vAlign w:val="center"/>
          </w:tcPr>
          <w:p>
            <w:pPr>
              <w:widowControl w:val="0"/>
              <w:jc w:val="center"/>
              <w:rPr>
                <w:rFonts w:hint="eastAsia" w:ascii="仿宋_GB2312" w:hAnsi="仿宋_GB2312" w:eastAsia="仿宋_GB2312"/>
                <w:sz w:val="24"/>
                <w:lang w:val="en-US" w:eastAsia="zh-CN"/>
              </w:rPr>
            </w:pPr>
            <w:r>
              <w:rPr>
                <w:rFonts w:ascii="Times New Roman" w:hAnsi="Times New Roman" w:eastAsia="Times New Roman"/>
                <w:sz w:val="24"/>
              </w:rPr>
              <w:t>11</w:t>
            </w:r>
          </w:p>
        </w:tc>
        <w:tc>
          <w:tcPr>
            <w:tcW w:w="1631" w:type="dxa"/>
            <w:vMerge w:val="restart"/>
            <w:vAlign w:val="center"/>
          </w:tcPr>
          <w:p>
            <w:pPr>
              <w:widowControl w:val="0"/>
              <w:spacing w:line="0" w:lineRule="atLeast"/>
              <w:ind w:left="80"/>
              <w:jc w:val="center"/>
              <w:rPr>
                <w:rFonts w:ascii="仿宋_GB2312" w:hAnsi="仿宋_GB2312" w:eastAsia="仿宋_GB2312"/>
                <w:sz w:val="24"/>
              </w:rPr>
            </w:pPr>
            <w:r>
              <w:rPr>
                <w:rFonts w:hint="eastAsia" w:ascii="仿宋_GB2312" w:hAnsi="仿宋_GB2312" w:eastAsia="仿宋_GB2312" w:cs="仿宋_GB2312"/>
                <w:w w:val="99"/>
                <w:sz w:val="24"/>
              </w:rPr>
              <w:t>强化城乡低碳化建设和管理</w:t>
            </w:r>
          </w:p>
        </w:tc>
        <w:tc>
          <w:tcPr>
            <w:tcW w:w="5560"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结合智慧城市和海绵城市建设，在城乡建设规划中认真落实绿色低碳发展理念和要求，鼓励省级低碳试点城市忻府区编制城市低碳发展规划，开展城市碳排放精细化管理，探索集约、智能、绿色、低碳的新型城镇化模式。强化既有建筑节能改造，推动绿色村庄建设和农村居住建筑节能。</w:t>
            </w:r>
          </w:p>
        </w:tc>
        <w:tc>
          <w:tcPr>
            <w:tcW w:w="1724" w:type="dxa"/>
            <w:vAlign w:val="center"/>
          </w:tcPr>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65" w:type="dxa"/>
            <w:vMerge w:val="continue"/>
            <w:vAlign w:val="center"/>
          </w:tcPr>
          <w:p>
            <w:pPr>
              <w:widowControl w:val="0"/>
              <w:jc w:val="center"/>
              <w:rPr>
                <w:rFonts w:ascii="Times New Roman" w:hAnsi="Times New Roman" w:eastAsia="Times New Roman"/>
                <w:sz w:val="24"/>
              </w:rPr>
            </w:pPr>
          </w:p>
        </w:tc>
        <w:tc>
          <w:tcPr>
            <w:tcW w:w="1631" w:type="dxa"/>
            <w:vMerge w:val="continue"/>
            <w:vAlign w:val="center"/>
          </w:tcPr>
          <w:p>
            <w:pPr>
              <w:widowControl w:val="0"/>
              <w:spacing w:line="0" w:lineRule="atLeast"/>
              <w:ind w:left="80"/>
              <w:jc w:val="center"/>
              <w:rPr>
                <w:rFonts w:ascii="仿宋_GB2312" w:hAnsi="仿宋_GB2312" w:eastAsia="仿宋_GB2312"/>
                <w:sz w:val="24"/>
              </w:rPr>
            </w:pPr>
          </w:p>
        </w:tc>
        <w:tc>
          <w:tcPr>
            <w:tcW w:w="5560" w:type="dxa"/>
            <w:vAlign w:val="center"/>
          </w:tcPr>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推动保障性住房、政府投资公益性建筑以及大型公共建筑等重点建筑全面执行绿色建筑标准，到 2020年，城镇新建建筑中执行绿色建筑标准的建筑面积比重达到 50%以上。</w:t>
            </w:r>
          </w:p>
        </w:tc>
        <w:tc>
          <w:tcPr>
            <w:tcW w:w="1724"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机关事务</w:t>
            </w:r>
          </w:p>
          <w:p>
            <w:pPr>
              <w:widowControl w:val="0"/>
              <w:jc w:val="center"/>
              <w:rPr>
                <w:rFonts w:ascii="仿宋_GB2312" w:hAnsi="仿宋_GB2312" w:eastAsia="仿宋_GB2312"/>
                <w:sz w:val="24"/>
              </w:rPr>
            </w:pPr>
            <w:r>
              <w:rPr>
                <w:rFonts w:ascii="仿宋_GB2312" w:hAnsi="仿宋_GB2312" w:eastAsia="仿宋_GB2312"/>
                <w:w w:val="99"/>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65" w:type="dxa"/>
            <w:vMerge w:val="continue"/>
            <w:vAlign w:val="center"/>
          </w:tcPr>
          <w:p>
            <w:pPr>
              <w:widowControl w:val="0"/>
              <w:jc w:val="center"/>
              <w:rPr>
                <w:rFonts w:ascii="Times New Roman" w:hAnsi="Times New Roman" w:eastAsia="Times New Roman"/>
                <w:sz w:val="24"/>
              </w:rPr>
            </w:pPr>
          </w:p>
        </w:tc>
        <w:tc>
          <w:tcPr>
            <w:tcW w:w="1631" w:type="dxa"/>
            <w:vMerge w:val="continue"/>
            <w:vAlign w:val="center"/>
          </w:tcPr>
          <w:p>
            <w:pPr>
              <w:widowControl w:val="0"/>
              <w:spacing w:line="0" w:lineRule="atLeast"/>
              <w:ind w:left="80"/>
              <w:jc w:val="center"/>
              <w:rPr>
                <w:rFonts w:ascii="仿宋_GB2312" w:hAnsi="仿宋_GB2312" w:eastAsia="仿宋_GB2312"/>
                <w:sz w:val="24"/>
              </w:rPr>
            </w:pPr>
          </w:p>
        </w:tc>
        <w:tc>
          <w:tcPr>
            <w:tcW w:w="5560" w:type="dxa"/>
            <w:vAlign w:val="center"/>
          </w:tcPr>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实施宾馆、办公楼、商场等商业和公共建筑低碳化</w:t>
            </w:r>
          </w:p>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运营管理。</w:t>
            </w:r>
          </w:p>
        </w:tc>
        <w:tc>
          <w:tcPr>
            <w:tcW w:w="1724"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市商务局</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机关事务</w:t>
            </w:r>
          </w:p>
          <w:p>
            <w:pPr>
              <w:widowControl w:val="0"/>
              <w:jc w:val="center"/>
              <w:rPr>
                <w:rFonts w:ascii="仿宋_GB2312" w:hAnsi="仿宋_GB2312" w:eastAsia="仿宋_GB2312"/>
                <w:sz w:val="24"/>
              </w:rPr>
            </w:pPr>
            <w:r>
              <w:rPr>
                <w:rFonts w:ascii="仿宋_GB2312" w:hAnsi="仿宋_GB2312" w:eastAsia="仿宋_GB2312"/>
                <w:w w:val="99"/>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65" w:type="dxa"/>
            <w:vMerge w:val="continue"/>
            <w:vAlign w:val="center"/>
          </w:tcPr>
          <w:p>
            <w:pPr>
              <w:widowControl w:val="0"/>
              <w:jc w:val="center"/>
              <w:rPr>
                <w:rFonts w:ascii="Times New Roman" w:hAnsi="Times New Roman" w:eastAsia="Times New Roman"/>
                <w:sz w:val="24"/>
              </w:rPr>
            </w:pPr>
          </w:p>
        </w:tc>
        <w:tc>
          <w:tcPr>
            <w:tcW w:w="1631" w:type="dxa"/>
            <w:vMerge w:val="continue"/>
            <w:vAlign w:val="center"/>
          </w:tcPr>
          <w:p>
            <w:pPr>
              <w:widowControl w:val="0"/>
              <w:spacing w:line="0" w:lineRule="atLeast"/>
              <w:ind w:left="80"/>
              <w:jc w:val="center"/>
              <w:rPr>
                <w:rFonts w:ascii="仿宋_GB2312" w:hAnsi="仿宋_GB2312" w:eastAsia="仿宋_GB2312"/>
                <w:sz w:val="24"/>
              </w:rPr>
            </w:pPr>
          </w:p>
        </w:tc>
        <w:tc>
          <w:tcPr>
            <w:tcW w:w="5560"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积极开展绿色生态城区和近零能耗建筑试点示范。</w:t>
            </w:r>
          </w:p>
        </w:tc>
        <w:tc>
          <w:tcPr>
            <w:tcW w:w="1724" w:type="dxa"/>
            <w:vAlign w:val="center"/>
          </w:tcPr>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tc>
      </w:tr>
    </w:tbl>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tbl>
      <w:tblPr>
        <w:tblStyle w:val="4"/>
        <w:tblpPr w:leftFromText="180" w:rightFromText="180" w:vertAnchor="page" w:horzAnchor="page" w:tblpXSpec="center" w:tblpY="2013"/>
        <w:tblOverlap w:val="never"/>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628"/>
        <w:gridCol w:w="5547"/>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6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628"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547"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21"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64"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12</w:t>
            </w:r>
          </w:p>
        </w:tc>
        <w:tc>
          <w:tcPr>
            <w:tcW w:w="1628" w:type="dxa"/>
            <w:vMerge w:val="restart"/>
            <w:vAlign w:val="center"/>
          </w:tcPr>
          <w:p>
            <w:pPr>
              <w:widowControl w:val="0"/>
              <w:spacing w:line="0" w:lineRule="atLeast"/>
              <w:ind w:left="80"/>
              <w:jc w:val="center"/>
              <w:rPr>
                <w:rFonts w:ascii="仿宋_GB2312" w:hAnsi="仿宋_GB2312" w:eastAsia="仿宋_GB2312"/>
                <w:sz w:val="24"/>
              </w:rPr>
            </w:pPr>
            <w:r>
              <w:rPr>
                <w:rFonts w:hint="eastAsia" w:ascii="仿宋_GB2312" w:hAnsi="仿宋_GB2312" w:eastAsia="仿宋_GB2312" w:cs="仿宋_GB2312"/>
                <w:w w:val="99"/>
                <w:sz w:val="24"/>
                <w:lang w:eastAsia="zh-CN"/>
              </w:rPr>
              <w:t>建设低碳交通运输体系</w:t>
            </w:r>
          </w:p>
        </w:tc>
        <w:tc>
          <w:tcPr>
            <w:tcW w:w="5547"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推进现代综合交通运输体系建设，加快我市地方铁路、公路建设，着力推动建设忻州“十字型”高铁枢纽，加快建成“两横三纵一环”高速公路网络，实现县城高速通达，科学统筹铁路、公路等运输方式多样化发展，鼓励发展绿色低碳物流，争取到2020 年营运货车单位运输周转量能耗下降7.1%、营运客车单位运输周转量能耗下降2.5%。城市客运单位客运量二氧化碳排放比 2015 年下降 12.5%。建设衔接完善、快捷方便的公共交通服务体系，到2020 年城市公共交通出行分担率达到 26.5%。</w:t>
            </w:r>
          </w:p>
        </w:tc>
        <w:tc>
          <w:tcPr>
            <w:tcW w:w="1721" w:type="dxa"/>
            <w:vAlign w:val="center"/>
          </w:tcPr>
          <w:p>
            <w:pPr>
              <w:widowControl w:val="0"/>
              <w:spacing w:line="251" w:lineRule="exact"/>
              <w:ind w:left="180" w:leftChars="0"/>
              <w:jc w:val="center"/>
              <w:rPr>
                <w:rFonts w:hint="eastAsia" w:ascii="仿宋_GB2312" w:hAnsi="仿宋_GB2312" w:eastAsia="仿宋_GB2312"/>
                <w:w w:val="99"/>
                <w:sz w:val="24"/>
              </w:rPr>
            </w:pPr>
          </w:p>
          <w:p>
            <w:pPr>
              <w:widowControl w:val="0"/>
              <w:spacing w:line="251" w:lineRule="exact"/>
              <w:ind w:left="180" w:leftChars="0"/>
              <w:jc w:val="center"/>
              <w:rPr>
                <w:rFonts w:hint="eastAsia" w:ascii="仿宋_GB2312" w:hAnsi="仿宋_GB2312" w:eastAsia="仿宋_GB2312"/>
                <w:w w:val="99"/>
                <w:sz w:val="24"/>
                <w:lang w:eastAsia="zh-CN"/>
              </w:rPr>
            </w:pPr>
            <w:r>
              <w:rPr>
                <w:rFonts w:hint="eastAsia" w:ascii="仿宋_GB2312" w:hAnsi="仿宋_GB2312" w:eastAsia="仿宋_GB2312"/>
                <w:w w:val="99"/>
                <w:sz w:val="24"/>
                <w:lang w:eastAsia="zh-CN"/>
              </w:rPr>
              <w:t>市发改委</w:t>
            </w:r>
          </w:p>
          <w:p>
            <w:pPr>
              <w:widowControl w:val="0"/>
              <w:spacing w:line="251" w:lineRule="exact"/>
              <w:ind w:left="180" w:leftChars="0"/>
              <w:jc w:val="center"/>
              <w:rPr>
                <w:rFonts w:hint="eastAsia" w:ascii="仿宋_GB2312" w:hAnsi="仿宋_GB2312" w:eastAsia="仿宋_GB2312"/>
                <w:w w:val="99"/>
                <w:sz w:val="24"/>
                <w:lang w:eastAsia="zh-CN"/>
              </w:rPr>
            </w:pPr>
            <w:r>
              <w:rPr>
                <w:rFonts w:hint="eastAsia" w:ascii="仿宋_GB2312" w:hAnsi="仿宋_GB2312" w:eastAsia="仿宋_GB2312"/>
                <w:w w:val="99"/>
                <w:sz w:val="24"/>
              </w:rPr>
              <w:t>市</w:t>
            </w:r>
            <w:r>
              <w:rPr>
                <w:rFonts w:ascii="仿宋_GB2312" w:hAnsi="仿宋_GB2312" w:eastAsia="仿宋_GB2312"/>
                <w:w w:val="99"/>
                <w:sz w:val="24"/>
              </w:rPr>
              <w:t>交通</w:t>
            </w:r>
            <w:r>
              <w:rPr>
                <w:rFonts w:hint="eastAsia" w:ascii="仿宋_GB2312" w:hAnsi="仿宋_GB2312" w:eastAsia="仿宋_GB2312"/>
                <w:w w:val="99"/>
                <w:sz w:val="24"/>
              </w:rPr>
              <w:t>局</w:t>
            </w:r>
          </w:p>
          <w:p>
            <w:pPr>
              <w:widowControl w:val="0"/>
              <w:spacing w:line="251" w:lineRule="exact"/>
              <w:ind w:left="180" w:leftChars="0"/>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764" w:type="dxa"/>
            <w:vMerge w:val="continue"/>
            <w:vAlign w:val="center"/>
          </w:tcPr>
          <w:p>
            <w:pPr>
              <w:widowControl w:val="0"/>
              <w:jc w:val="center"/>
              <w:rPr>
                <w:rFonts w:hint="eastAsia" w:ascii="仿宋_GB2312" w:hAnsi="仿宋_GB2312" w:eastAsia="仿宋_GB2312"/>
                <w:sz w:val="24"/>
                <w:lang w:val="en-US" w:eastAsia="zh-CN"/>
              </w:rPr>
            </w:pPr>
          </w:p>
        </w:tc>
        <w:tc>
          <w:tcPr>
            <w:tcW w:w="1628" w:type="dxa"/>
            <w:vMerge w:val="continue"/>
            <w:vAlign w:val="center"/>
          </w:tcPr>
          <w:p>
            <w:pPr>
              <w:widowControl w:val="0"/>
              <w:spacing w:line="0" w:lineRule="atLeast"/>
              <w:ind w:left="80"/>
              <w:jc w:val="center"/>
              <w:rPr>
                <w:rFonts w:ascii="仿宋_GB2312" w:hAnsi="仿宋_GB2312" w:eastAsia="仿宋_GB2312"/>
                <w:sz w:val="24"/>
              </w:rPr>
            </w:pPr>
          </w:p>
        </w:tc>
        <w:tc>
          <w:tcPr>
            <w:tcW w:w="5547"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实施新能源汽车推广计划，加大新能源和清洁能源在城市公交客运领域的应用，支持充电站和加气站在交通运输领域的规划建设,党政机关、公共机构和公共服务领域新增车辆中电动汽车推广应用比例明显增加。</w:t>
            </w:r>
          </w:p>
        </w:tc>
        <w:tc>
          <w:tcPr>
            <w:tcW w:w="1721"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经信委</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交通</w:t>
            </w:r>
            <w:r>
              <w:rPr>
                <w:rFonts w:hint="eastAsia" w:ascii="仿宋_GB2312" w:hAnsi="仿宋_GB2312" w:eastAsia="仿宋_GB2312"/>
                <w:w w:val="99"/>
                <w:sz w:val="24"/>
              </w:rPr>
              <w:t>局</w:t>
            </w:r>
          </w:p>
          <w:p>
            <w:pPr>
              <w:widowControl w:val="0"/>
              <w:spacing w:line="271" w:lineRule="exac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机关事务</w:t>
            </w:r>
          </w:p>
          <w:p>
            <w:pPr>
              <w:widowControl w:val="0"/>
              <w:spacing w:line="271" w:lineRule="exact"/>
              <w:jc w:val="center"/>
              <w:rPr>
                <w:rFonts w:ascii="仿宋_GB2312" w:hAnsi="仿宋_GB2312" w:eastAsia="仿宋_GB2312"/>
                <w:sz w:val="24"/>
              </w:rPr>
            </w:pPr>
            <w:r>
              <w:rPr>
                <w:rFonts w:ascii="仿宋_GB2312" w:hAnsi="仿宋_GB2312" w:eastAsia="仿宋_GB2312"/>
                <w:w w:val="99"/>
                <w:sz w:val="24"/>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764" w:type="dxa"/>
            <w:vMerge w:val="continue"/>
            <w:vAlign w:val="center"/>
          </w:tcPr>
          <w:p>
            <w:pPr>
              <w:widowControl w:val="0"/>
              <w:jc w:val="center"/>
              <w:rPr>
                <w:rFonts w:hint="eastAsia" w:ascii="仿宋_GB2312" w:hAnsi="仿宋_GB2312" w:eastAsia="仿宋_GB2312"/>
                <w:sz w:val="24"/>
                <w:lang w:val="en-US" w:eastAsia="zh-CN"/>
              </w:rPr>
            </w:pPr>
          </w:p>
        </w:tc>
        <w:tc>
          <w:tcPr>
            <w:tcW w:w="1628" w:type="dxa"/>
            <w:vMerge w:val="continue"/>
            <w:vAlign w:val="center"/>
          </w:tcPr>
          <w:p>
            <w:pPr>
              <w:widowControl w:val="0"/>
              <w:spacing w:line="0" w:lineRule="atLeast"/>
              <w:ind w:left="80"/>
              <w:jc w:val="center"/>
              <w:rPr>
                <w:rFonts w:ascii="仿宋_GB2312" w:hAnsi="仿宋_GB2312" w:eastAsia="仿宋_GB2312"/>
                <w:sz w:val="24"/>
              </w:rPr>
            </w:pPr>
          </w:p>
        </w:tc>
        <w:tc>
          <w:tcPr>
            <w:tcW w:w="5547" w:type="dxa"/>
            <w:vAlign w:val="center"/>
          </w:tcPr>
          <w:p>
            <w:pPr>
              <w:widowControl w:val="0"/>
              <w:spacing w:line="262" w:lineRule="exact"/>
              <w:jc w:val="both"/>
              <w:rPr>
                <w:rFonts w:ascii="仿宋_GB2312" w:hAnsi="仿宋_GB2312" w:eastAsia="仿宋_GB2312"/>
                <w:sz w:val="24"/>
              </w:rPr>
            </w:pPr>
            <w:r>
              <w:rPr>
                <w:rFonts w:hint="eastAsia" w:ascii="仿宋_GB2312" w:hAnsi="仿宋_GB2312" w:eastAsia="仿宋_GB2312" w:cs="仿宋_GB2312"/>
                <w:w w:val="99"/>
                <w:sz w:val="24"/>
              </w:rPr>
              <w:t>严格实施乘用车燃料消耗量限值准入制度，加快淘汰老旧高能耗车辆，加强节能低碳技术应用，到2020 年，营运类道路运输清洁能源车辆保有量在2015 年基础上增长50%。继续开展车船路港千家企业低碳交通运输专项行动。</w:t>
            </w:r>
          </w:p>
        </w:tc>
        <w:tc>
          <w:tcPr>
            <w:tcW w:w="1721"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交通</w:t>
            </w:r>
            <w:r>
              <w:rPr>
                <w:rFonts w:hint="eastAsia" w:ascii="仿宋_GB2312" w:hAnsi="仿宋_GB2312" w:eastAsia="仿宋_GB2312"/>
                <w:w w:val="99"/>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764" w:type="dxa"/>
            <w:vMerge w:val="restart"/>
            <w:vAlign w:val="center"/>
          </w:tcPr>
          <w:p>
            <w:pPr>
              <w:widowControl w:val="0"/>
              <w:spacing w:line="0" w:lineRule="atLeast"/>
              <w:jc w:val="center"/>
              <w:rPr>
                <w:rFonts w:ascii="Times New Roman" w:hAnsi="Times New Roman" w:eastAsia="Times New Roman"/>
                <w:sz w:val="24"/>
              </w:rPr>
            </w:pPr>
            <w:r>
              <w:rPr>
                <w:rFonts w:ascii="Times New Roman" w:hAnsi="Times New Roman" w:eastAsia="Times New Roman"/>
                <w:w w:val="99"/>
                <w:sz w:val="24"/>
              </w:rPr>
              <w:t>13</w:t>
            </w:r>
          </w:p>
        </w:tc>
        <w:tc>
          <w:tcPr>
            <w:tcW w:w="1628" w:type="dxa"/>
            <w:vMerge w:val="restart"/>
            <w:vAlign w:val="center"/>
          </w:tcPr>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加</w:t>
            </w:r>
            <w:r>
              <w:rPr>
                <w:rFonts w:hint="eastAsia" w:ascii="仿宋_GB2312" w:hAnsi="仿宋_GB2312" w:eastAsia="仿宋_GB2312" w:cs="仿宋_GB2312"/>
                <w:w w:val="99"/>
                <w:sz w:val="24"/>
                <w:lang w:eastAsia="zh-CN"/>
              </w:rPr>
              <w:t>强废</w:t>
            </w:r>
            <w:r>
              <w:rPr>
                <w:rFonts w:hint="eastAsia" w:ascii="仿宋_GB2312" w:hAnsi="仿宋_GB2312" w:eastAsia="仿宋_GB2312" w:cs="仿宋_GB2312"/>
                <w:w w:val="99"/>
                <w:sz w:val="24"/>
              </w:rPr>
              <w:t>弃资</w:t>
            </w:r>
          </w:p>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源化利用和低碳化处置</w:t>
            </w:r>
          </w:p>
        </w:tc>
        <w:tc>
          <w:tcPr>
            <w:tcW w:w="5547"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创新城乡社区生活垃圾处理理念，合理布局便捷回收设施，科学配置社区垃圾收集系统，研究制定垃圾分类制度，积极落实国家《生活垃圾分类制度实施方案》。</w:t>
            </w:r>
          </w:p>
        </w:tc>
        <w:tc>
          <w:tcPr>
            <w:tcW w:w="1721" w:type="dxa"/>
            <w:vAlign w:val="center"/>
          </w:tcPr>
          <w:p>
            <w:pPr>
              <w:widowControl w:val="0"/>
              <w:spacing w:line="0" w:lineRule="atLeast"/>
              <w:jc w:val="center"/>
              <w:rPr>
                <w:rFonts w:hint="eastAsia" w:ascii="仿宋_GB2312" w:hAnsi="仿宋_GB2312" w:eastAsia="仿宋_GB2312"/>
                <w:w w:val="99"/>
                <w:sz w:val="24"/>
              </w:rPr>
            </w:pP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64" w:type="dxa"/>
            <w:vMerge w:val="continue"/>
            <w:vAlign w:val="center"/>
          </w:tcPr>
          <w:p>
            <w:pPr>
              <w:widowControl w:val="0"/>
              <w:jc w:val="center"/>
              <w:rPr>
                <w:rFonts w:ascii="Times New Roman" w:hAnsi="Times New Roman" w:eastAsia="Times New Roman"/>
                <w:sz w:val="24"/>
              </w:rPr>
            </w:pPr>
          </w:p>
        </w:tc>
        <w:tc>
          <w:tcPr>
            <w:tcW w:w="1628" w:type="dxa"/>
            <w:vMerge w:val="continue"/>
            <w:vAlign w:val="center"/>
          </w:tcPr>
          <w:p>
            <w:pPr>
              <w:widowControl w:val="0"/>
              <w:spacing w:line="0" w:lineRule="atLeast"/>
              <w:ind w:left="80"/>
              <w:jc w:val="center"/>
              <w:rPr>
                <w:rFonts w:ascii="仿宋_GB2312" w:hAnsi="仿宋_GB2312" w:eastAsia="仿宋_GB2312"/>
                <w:sz w:val="24"/>
              </w:rPr>
            </w:pPr>
          </w:p>
        </w:tc>
        <w:tc>
          <w:tcPr>
            <w:tcW w:w="5547"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cs="仿宋_GB2312"/>
                <w:w w:val="99"/>
                <w:sz w:val="24"/>
              </w:rPr>
              <w:t>加大生活垃圾无害化处理能力，</w:t>
            </w:r>
            <w:r>
              <w:rPr>
                <w:rFonts w:hint="eastAsia" w:ascii="仿宋_GB2312" w:hAnsi="仿宋_GB2312" w:eastAsia="仿宋_GB2312" w:cs="仿宋_GB2312"/>
                <w:color w:val="000000"/>
                <w:w w:val="99"/>
                <w:sz w:val="24"/>
                <w:shd w:val="clear" w:color="auto" w:fill="auto"/>
              </w:rPr>
              <w:t>力争到2020年，忻州市城镇生活垃圾无害化处理率达到90%。</w:t>
            </w:r>
            <w:r>
              <w:rPr>
                <w:rFonts w:hint="eastAsia" w:ascii="仿宋_GB2312" w:hAnsi="仿宋_GB2312" w:eastAsia="仿宋_GB2312" w:cs="仿宋_GB2312"/>
                <w:color w:val="0C0C0C"/>
                <w:w w:val="99"/>
                <w:sz w:val="24"/>
              </w:rPr>
              <w:t>抓好餐厨废弃物利用与无害化处理试点城市建设，积极推动县城、示范镇餐厨垃圾的分类收运和处理，到2020年，全市实现餐厨垃圾处理规范规模达到50吨/日。</w:t>
            </w:r>
          </w:p>
        </w:tc>
        <w:tc>
          <w:tcPr>
            <w:tcW w:w="1721"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64" w:type="dxa"/>
            <w:vMerge w:val="continue"/>
            <w:vAlign w:val="center"/>
          </w:tcPr>
          <w:p>
            <w:pPr>
              <w:widowControl w:val="0"/>
              <w:jc w:val="center"/>
              <w:rPr>
                <w:rFonts w:ascii="Times New Roman" w:hAnsi="Times New Roman" w:eastAsia="Times New Roman"/>
                <w:sz w:val="24"/>
              </w:rPr>
            </w:pPr>
          </w:p>
        </w:tc>
        <w:tc>
          <w:tcPr>
            <w:tcW w:w="1628" w:type="dxa"/>
            <w:vMerge w:val="continue"/>
            <w:vAlign w:val="center"/>
          </w:tcPr>
          <w:p>
            <w:pPr>
              <w:widowControl w:val="0"/>
              <w:spacing w:line="0" w:lineRule="atLeast"/>
              <w:ind w:left="80"/>
              <w:jc w:val="center"/>
              <w:rPr>
                <w:rFonts w:ascii="仿宋_GB2312" w:hAnsi="仿宋_GB2312" w:eastAsia="仿宋_GB2312"/>
                <w:sz w:val="24"/>
              </w:rPr>
            </w:pPr>
          </w:p>
        </w:tc>
        <w:tc>
          <w:tcPr>
            <w:tcW w:w="5547" w:type="dxa"/>
            <w:vAlign w:val="center"/>
          </w:tcPr>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促进煤矸石、粉煤灰、脱硫石膏综合利用产业化，</w:t>
            </w:r>
          </w:p>
          <w:p>
            <w:pPr>
              <w:widowControl w:val="0"/>
              <w:spacing w:line="0" w:lineRule="atLeast"/>
              <w:jc w:val="both"/>
              <w:rPr>
                <w:rFonts w:hint="eastAsia" w:ascii="仿宋_GB2312" w:hAnsi="仿宋_GB2312" w:eastAsia="仿宋_GB2312" w:cs="仿宋_GB2312"/>
                <w:w w:val="99"/>
                <w:sz w:val="24"/>
              </w:rPr>
            </w:pPr>
            <w:r>
              <w:rPr>
                <w:rFonts w:hint="eastAsia" w:ascii="仿宋_GB2312" w:hAnsi="仿宋_GB2312" w:eastAsia="仿宋_GB2312" w:cs="仿宋_GB2312"/>
                <w:w w:val="99"/>
                <w:sz w:val="24"/>
              </w:rPr>
              <w:t>提高全</w:t>
            </w:r>
            <w:r>
              <w:rPr>
                <w:rFonts w:hint="eastAsia" w:ascii="仿宋_GB2312" w:hAnsi="仿宋_GB2312" w:eastAsia="仿宋_GB2312" w:cs="仿宋_GB2312"/>
                <w:w w:val="99"/>
                <w:sz w:val="24"/>
                <w:lang w:eastAsia="zh-CN"/>
              </w:rPr>
              <w:t>市</w:t>
            </w:r>
            <w:r>
              <w:rPr>
                <w:rFonts w:hint="eastAsia" w:ascii="仿宋_GB2312" w:hAnsi="仿宋_GB2312" w:eastAsia="仿宋_GB2312" w:cs="仿宋_GB2312"/>
                <w:w w:val="99"/>
                <w:sz w:val="24"/>
              </w:rPr>
              <w:t>工业固废综合利用水平和规模。</w:t>
            </w:r>
          </w:p>
        </w:tc>
        <w:tc>
          <w:tcPr>
            <w:tcW w:w="1721" w:type="dxa"/>
            <w:vAlign w:val="center"/>
          </w:tcPr>
          <w:p>
            <w:pPr>
              <w:widowControl w:val="0"/>
              <w:spacing w:line="0" w:lineRule="atLeast"/>
              <w:jc w:val="center"/>
              <w:rPr>
                <w:rFonts w:hint="eastAsia" w:ascii="仿宋_GB2312" w:hAnsi="仿宋_GB2312" w:eastAsia="仿宋_GB2312"/>
                <w:color w:val="000000"/>
                <w:w w:val="99"/>
                <w:sz w:val="24"/>
                <w:lang w:eastAsia="zh-CN"/>
              </w:rPr>
            </w:pPr>
            <w:r>
              <w:rPr>
                <w:rFonts w:hint="eastAsia" w:ascii="仿宋_GB2312" w:hAnsi="仿宋_GB2312" w:eastAsia="仿宋_GB2312"/>
                <w:color w:val="000000"/>
                <w:w w:val="99"/>
                <w:sz w:val="24"/>
                <w:lang w:eastAsia="zh-CN"/>
              </w:rPr>
              <w:t>市</w:t>
            </w:r>
            <w:r>
              <w:rPr>
                <w:rFonts w:ascii="仿宋_GB2312" w:hAnsi="仿宋_GB2312" w:eastAsia="仿宋_GB2312"/>
                <w:color w:val="000000"/>
                <w:w w:val="99"/>
                <w:sz w:val="24"/>
              </w:rPr>
              <w:t>经信委</w:t>
            </w:r>
          </w:p>
          <w:p>
            <w:pPr>
              <w:widowControl w:val="0"/>
              <w:spacing w:line="0" w:lineRule="atLeast"/>
              <w:jc w:val="center"/>
              <w:rPr>
                <w:rFonts w:ascii="仿宋_GB2312" w:hAnsi="仿宋_GB2312" w:eastAsia="仿宋_GB2312"/>
                <w:color w:val="000000"/>
                <w:w w:val="99"/>
                <w:sz w:val="24"/>
              </w:rPr>
            </w:pPr>
            <w:r>
              <w:rPr>
                <w:rFonts w:hint="eastAsia" w:ascii="仿宋_GB2312" w:hAnsi="仿宋_GB2312" w:eastAsia="仿宋_GB2312"/>
                <w:color w:val="000000"/>
                <w:w w:val="99"/>
                <w:sz w:val="24"/>
                <w:lang w:eastAsia="zh-CN"/>
              </w:rPr>
              <w:t>市</w:t>
            </w:r>
            <w:r>
              <w:rPr>
                <w:rFonts w:ascii="仿宋_GB2312" w:hAnsi="仿宋_GB2312" w:eastAsia="仿宋_GB2312"/>
                <w:color w:val="000000"/>
                <w:w w:val="99"/>
                <w:sz w:val="24"/>
              </w:rPr>
              <w:t>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color w:val="000000"/>
                <w:w w:val="99"/>
                <w:sz w:val="24"/>
                <w:lang w:eastAsia="zh-CN"/>
              </w:rPr>
              <w:t>市</w:t>
            </w:r>
            <w:r>
              <w:rPr>
                <w:rFonts w:ascii="仿宋_GB2312" w:hAnsi="仿宋_GB2312" w:eastAsia="仿宋_GB2312"/>
                <w:color w:val="000000"/>
                <w:w w:val="99"/>
                <w:sz w:val="24"/>
              </w:rPr>
              <w:t>环保</w:t>
            </w:r>
            <w:r>
              <w:rPr>
                <w:rFonts w:hint="eastAsia" w:ascii="仿宋_GB2312" w:hAnsi="仿宋_GB2312" w:eastAsia="仿宋_GB2312"/>
                <w:color w:val="000000"/>
                <w:w w:val="99"/>
                <w:sz w:val="24"/>
                <w:lang w:eastAsia="zh-CN"/>
              </w:rPr>
              <w:t>局</w:t>
            </w:r>
          </w:p>
        </w:tc>
      </w:tr>
    </w:tbl>
    <w:p>
      <w:pPr>
        <w:widowControl w:val="0"/>
        <w:jc w:val="both"/>
        <w:rPr>
          <w:rFonts w:ascii="仿宋_GB2312" w:hAnsi="仿宋_GB2312" w:eastAsia="仿宋_GB2312"/>
          <w:sz w:val="24"/>
        </w:rPr>
      </w:pPr>
    </w:p>
    <w:tbl>
      <w:tblPr>
        <w:tblStyle w:val="4"/>
        <w:tblpPr w:leftFromText="180" w:rightFromText="180" w:vertAnchor="page" w:horzAnchor="page" w:tblpXSpec="center" w:tblpY="1902"/>
        <w:tblOverlap w:val="never"/>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66"/>
        <w:gridCol w:w="540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6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766"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409"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21"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764" w:type="dxa"/>
            <w:vAlign w:val="center"/>
          </w:tcPr>
          <w:p>
            <w:pPr>
              <w:widowControl w:val="0"/>
              <w:jc w:val="center"/>
              <w:rPr>
                <w:rFonts w:hint="eastAsia" w:ascii="仿宋_GB2312" w:hAnsi="仿宋_GB2312" w:eastAsia="仿宋_GB2312"/>
                <w:sz w:val="24"/>
                <w:lang w:val="en-US" w:eastAsia="zh-CN"/>
              </w:rPr>
            </w:pPr>
          </w:p>
          <w:p>
            <w:pPr>
              <w:widowControl w:val="0"/>
              <w:jc w:val="center"/>
              <w:rPr>
                <w:rFonts w:hint="eastAsia" w:ascii="仿宋_GB2312" w:hAnsi="仿宋_GB2312" w:eastAsia="仿宋_GB2312"/>
                <w:sz w:val="24"/>
                <w:lang w:val="en-US" w:eastAsia="zh-CN"/>
              </w:rPr>
            </w:pPr>
          </w:p>
        </w:tc>
        <w:tc>
          <w:tcPr>
            <w:tcW w:w="1766" w:type="dxa"/>
            <w:vAlign w:val="center"/>
          </w:tcPr>
          <w:p>
            <w:pPr>
              <w:widowControl w:val="0"/>
              <w:spacing w:line="0" w:lineRule="atLeast"/>
              <w:ind w:left="80"/>
              <w:jc w:val="center"/>
              <w:rPr>
                <w:rFonts w:ascii="仿宋_GB2312" w:hAnsi="仿宋_GB2312" w:eastAsia="仿宋_GB2312"/>
                <w:sz w:val="24"/>
              </w:rPr>
            </w:pPr>
          </w:p>
          <w:p>
            <w:pPr>
              <w:widowControl w:val="0"/>
              <w:spacing w:line="0" w:lineRule="atLeast"/>
              <w:ind w:left="8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加快推进污水处理厂污泥无害化处置，重点抓好设</w:t>
            </w:r>
          </w:p>
          <w:p>
            <w:pPr>
              <w:widowControl w:val="0"/>
              <w:spacing w:line="0" w:lineRule="atLeast"/>
              <w:jc w:val="both"/>
              <w:rPr>
                <w:rFonts w:ascii="仿宋_GB2312" w:hAnsi="仿宋_GB2312" w:eastAsia="仿宋_GB2312"/>
                <w:sz w:val="24"/>
              </w:rPr>
            </w:pPr>
            <w:r>
              <w:rPr>
                <w:rFonts w:ascii="仿宋_GB2312" w:hAnsi="仿宋_GB2312" w:eastAsia="仿宋_GB2312"/>
                <w:sz w:val="24"/>
              </w:rPr>
              <w:t>区城市污泥处置设施建设工作。开展垃圾填埋场、</w:t>
            </w:r>
          </w:p>
          <w:p>
            <w:pPr>
              <w:widowControl w:val="0"/>
              <w:spacing w:line="0" w:lineRule="atLeast"/>
              <w:jc w:val="both"/>
              <w:rPr>
                <w:rFonts w:ascii="仿宋_GB2312" w:hAnsi="仿宋_GB2312" w:eastAsia="仿宋_GB2312"/>
                <w:sz w:val="24"/>
              </w:rPr>
            </w:pPr>
            <w:r>
              <w:rPr>
                <w:rFonts w:ascii="仿宋_GB2312" w:hAnsi="仿宋_GB2312" w:eastAsia="仿宋_GB2312"/>
                <w:sz w:val="24"/>
              </w:rPr>
              <w:t>污水处理厂甲烷收集利用及与常规污染物协同处理工作。</w:t>
            </w: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spacing w:line="251" w:lineRule="exac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环保</w:t>
            </w:r>
            <w:r>
              <w:rPr>
                <w:rFonts w:hint="eastAsia" w:ascii="仿宋_GB2312" w:hAnsi="仿宋_GB2312" w:eastAsia="仿宋_GB2312"/>
                <w:w w:val="99"/>
                <w:sz w:val="24"/>
              </w:rPr>
              <w:t>局</w:t>
            </w:r>
          </w:p>
          <w:p>
            <w:pPr>
              <w:widowControl w:val="0"/>
              <w:spacing w:line="251" w:lineRule="exact"/>
              <w:ind w:left="180" w:leftChars="0"/>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64" w:type="dxa"/>
            <w:vMerge w:val="restart"/>
            <w:vAlign w:val="center"/>
          </w:tcPr>
          <w:p>
            <w:pPr>
              <w:widowControl w:val="0"/>
              <w:jc w:val="center"/>
              <w:rPr>
                <w:rFonts w:hint="eastAsia" w:ascii="仿宋_GB2312" w:hAnsi="仿宋_GB2312" w:eastAsia="仿宋_GB2312"/>
                <w:sz w:val="24"/>
                <w:lang w:val="en-US" w:eastAsia="zh-CN"/>
              </w:rPr>
            </w:pPr>
            <w:r>
              <w:rPr>
                <w:rFonts w:hint="eastAsia" w:ascii="仿宋_GB2312" w:hAnsi="仿宋_GB2312" w:eastAsia="仿宋_GB2312"/>
                <w:sz w:val="24"/>
                <w:lang w:val="en-US" w:eastAsia="zh-CN"/>
              </w:rPr>
              <w:t>14</w:t>
            </w:r>
          </w:p>
        </w:tc>
        <w:tc>
          <w:tcPr>
            <w:tcW w:w="1766" w:type="dxa"/>
            <w:vMerge w:val="restart"/>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倡导绿色低碳</w:t>
            </w:r>
          </w:p>
          <w:p>
            <w:pPr>
              <w:widowControl w:val="0"/>
              <w:spacing w:line="0" w:lineRule="atLeast"/>
              <w:ind w:left="80"/>
              <w:jc w:val="both"/>
              <w:rPr>
                <w:rFonts w:ascii="仿宋_GB2312" w:hAnsi="仿宋_GB2312" w:eastAsia="仿宋_GB2312"/>
                <w:sz w:val="24"/>
              </w:rPr>
            </w:pPr>
          </w:p>
          <w:p>
            <w:pPr>
              <w:widowControl w:val="0"/>
              <w:spacing w:line="0" w:lineRule="atLeast"/>
              <w:ind w:left="80"/>
              <w:jc w:val="both"/>
              <w:rPr>
                <w:rFonts w:ascii="仿宋_GB2312" w:hAnsi="仿宋_GB2312" w:eastAsia="仿宋_GB2312"/>
                <w:sz w:val="24"/>
              </w:rPr>
            </w:pPr>
          </w:p>
        </w:tc>
        <w:tc>
          <w:tcPr>
            <w:tcW w:w="5409" w:type="dxa"/>
            <w:vAlign w:val="bottom"/>
          </w:tcPr>
          <w:p>
            <w:pPr>
              <w:widowControl w:val="0"/>
              <w:spacing w:line="0" w:lineRule="atLeast"/>
              <w:jc w:val="both"/>
              <w:rPr>
                <w:rFonts w:ascii="仿宋_GB2312" w:hAnsi="仿宋_GB2312" w:eastAsia="仿宋_GB2312"/>
                <w:sz w:val="24"/>
              </w:rPr>
            </w:pPr>
            <w:r>
              <w:rPr>
                <w:rFonts w:ascii="仿宋_GB2312" w:hAnsi="仿宋_GB2312" w:eastAsia="仿宋_GB2312"/>
                <w:sz w:val="24"/>
              </w:rPr>
              <w:t>树立绿色低碳消费观，弘扬以低碳为荣的社会新风尚。依托我</w:t>
            </w:r>
            <w:r>
              <w:rPr>
                <w:rFonts w:hint="eastAsia" w:ascii="仿宋_GB2312" w:hAnsi="仿宋_GB2312" w:eastAsia="仿宋_GB2312"/>
                <w:sz w:val="24"/>
              </w:rPr>
              <w:t>市</w:t>
            </w:r>
            <w:r>
              <w:rPr>
                <w:rFonts w:ascii="仿宋_GB2312" w:hAnsi="仿宋_GB2312" w:eastAsia="仿宋_GB2312"/>
                <w:sz w:val="24"/>
              </w:rPr>
              <w:t>特色地域文化，加快培育绿色低碳生态文化，营造绿色低碳氛围。</w:t>
            </w:r>
          </w:p>
          <w:p>
            <w:pPr>
              <w:widowControl w:val="0"/>
              <w:spacing w:line="0" w:lineRule="atLeast"/>
              <w:jc w:val="both"/>
              <w:rPr>
                <w:rFonts w:ascii="仿宋_GB2312" w:hAnsi="仿宋_GB2312" w:eastAsia="仿宋_GB2312"/>
                <w:sz w:val="24"/>
              </w:rPr>
            </w:pP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271" w:lineRule="exac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64" w:type="dxa"/>
            <w:vMerge w:val="continue"/>
            <w:vAlign w:val="center"/>
          </w:tcPr>
          <w:p>
            <w:pPr>
              <w:widowControl w:val="0"/>
              <w:jc w:val="center"/>
              <w:rPr>
                <w:rFonts w:hint="eastAsia" w:ascii="仿宋_GB2312" w:hAnsi="仿宋_GB2312" w:eastAsia="仿宋_GB2312"/>
                <w:sz w:val="24"/>
                <w:lang w:val="en-US" w:eastAsia="zh-CN"/>
              </w:rPr>
            </w:pPr>
          </w:p>
        </w:tc>
        <w:tc>
          <w:tcPr>
            <w:tcW w:w="1766" w:type="dxa"/>
            <w:vMerge w:val="continue"/>
            <w:vAlign w:val="center"/>
          </w:tcPr>
          <w:p>
            <w:pPr>
              <w:widowControl w:val="0"/>
              <w:spacing w:line="0" w:lineRule="atLeast"/>
              <w:ind w:left="80"/>
              <w:jc w:val="center"/>
              <w:rPr>
                <w:rFonts w:ascii="仿宋_GB2312" w:hAnsi="仿宋_GB2312" w:eastAsia="仿宋_GB2312"/>
                <w:sz w:val="24"/>
              </w:rPr>
            </w:pPr>
          </w:p>
        </w:tc>
        <w:tc>
          <w:tcPr>
            <w:tcW w:w="5409" w:type="dxa"/>
            <w:vAlign w:val="bottom"/>
          </w:tcPr>
          <w:p>
            <w:pPr>
              <w:widowControl w:val="0"/>
              <w:spacing w:line="262" w:lineRule="exact"/>
              <w:jc w:val="both"/>
              <w:rPr>
                <w:rFonts w:hint="eastAsia" w:ascii="仿宋_GB2312" w:hAnsi="仿宋_GB2312" w:eastAsia="仿宋_GB2312" w:cs="仿宋_GB2312"/>
                <w:sz w:val="24"/>
              </w:rPr>
            </w:pPr>
            <w:r>
              <w:rPr>
                <w:rFonts w:hint="eastAsia" w:ascii="仿宋_GB2312" w:hAnsi="仿宋_GB2312" w:eastAsia="仿宋_GB2312" w:cs="仿宋_GB2312"/>
                <w:sz w:val="24"/>
              </w:rPr>
              <w:t>抑制不合理消费，限制商品过度包装，减少一次性用品使用。提倡低碳餐饮，开展“光盘行动”。倡导低碳居住，鼓励选用低碳绿色环保建筑材料和节水、节能器具。倡导“135”绿色低碳出行方式，鼓励购买小排量汽车、节能与新能源汽车。</w:t>
            </w:r>
          </w:p>
          <w:p>
            <w:pPr>
              <w:widowControl w:val="0"/>
              <w:spacing w:line="262" w:lineRule="exact"/>
              <w:jc w:val="both"/>
              <w:rPr>
                <w:rFonts w:ascii="仿宋_GB2312" w:hAnsi="仿宋_GB2312" w:eastAsia="仿宋_GB2312"/>
                <w:sz w:val="24"/>
              </w:rPr>
            </w:pPr>
          </w:p>
        </w:tc>
        <w:tc>
          <w:tcPr>
            <w:tcW w:w="1721" w:type="dxa"/>
            <w:vAlign w:val="center"/>
          </w:tcPr>
          <w:p>
            <w:pPr>
              <w:widowControl w:val="0"/>
              <w:spacing w:line="0" w:lineRule="atLeast"/>
              <w:jc w:val="center"/>
              <w:rPr>
                <w:rFonts w:hint="eastAsia" w:ascii="仿宋_GB2312" w:hAnsi="仿宋_GB2312" w:eastAsia="仿宋_GB2312"/>
                <w:w w:val="99"/>
                <w:sz w:val="24"/>
              </w:rPr>
            </w:pP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商务</w:t>
            </w:r>
            <w:r>
              <w:rPr>
                <w:rFonts w:hint="eastAsia" w:ascii="仿宋_GB2312" w:hAnsi="仿宋_GB2312" w:eastAsia="仿宋_GB2312"/>
                <w:w w:val="99"/>
                <w:sz w:val="24"/>
              </w:rPr>
              <w:t>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交通</w:t>
            </w:r>
            <w:r>
              <w:rPr>
                <w:rFonts w:hint="eastAsia" w:ascii="仿宋_GB2312" w:hAnsi="仿宋_GB2312" w:eastAsia="仿宋_GB2312"/>
                <w:w w:val="99"/>
                <w:sz w:val="24"/>
              </w:rPr>
              <w:t>局</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764" w:type="dxa"/>
            <w:vMerge w:val="continue"/>
            <w:vAlign w:val="center"/>
          </w:tcPr>
          <w:p>
            <w:pPr>
              <w:widowControl w:val="0"/>
              <w:spacing w:line="0" w:lineRule="atLeast"/>
              <w:jc w:val="center"/>
              <w:rPr>
                <w:rFonts w:ascii="Times New Roman" w:hAnsi="Times New Roman" w:eastAsia="Times New Roman"/>
                <w:sz w:val="24"/>
              </w:rPr>
            </w:pPr>
          </w:p>
        </w:tc>
        <w:tc>
          <w:tcPr>
            <w:tcW w:w="1766" w:type="dxa"/>
            <w:vMerge w:val="continue"/>
            <w:vAlign w:val="center"/>
          </w:tcPr>
          <w:p>
            <w:pPr>
              <w:widowControl w:val="0"/>
              <w:spacing w:line="0" w:lineRule="atLeast"/>
              <w:ind w:left="80"/>
              <w:jc w:val="both"/>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鼓励公共机构践行勤俭节约和低碳消费理念</w:t>
            </w:r>
            <w:r>
              <w:rPr>
                <w:rFonts w:ascii="Times New Roman" w:hAnsi="Times New Roman" w:eastAsia="Times New Roman"/>
                <w:sz w:val="24"/>
              </w:rPr>
              <w:t>,</w:t>
            </w:r>
            <w:r>
              <w:rPr>
                <w:rFonts w:ascii="仿宋_GB2312" w:hAnsi="仿宋_GB2312" w:eastAsia="仿宋_GB2312"/>
                <w:sz w:val="24"/>
              </w:rPr>
              <w:t>积极开展低碳机关、低碳校园、低碳医院等创建活动。</w:t>
            </w:r>
          </w:p>
        </w:tc>
        <w:tc>
          <w:tcPr>
            <w:tcW w:w="1721" w:type="dxa"/>
            <w:vAlign w:val="center"/>
          </w:tcPr>
          <w:p>
            <w:pPr>
              <w:widowControl w:val="0"/>
              <w:jc w:val="center"/>
              <w:rPr>
                <w:rFonts w:ascii="仿宋_GB2312" w:hAnsi="仿宋_GB2312" w:eastAsia="仿宋_GB2312"/>
                <w:sz w:val="24"/>
              </w:rPr>
            </w:pPr>
          </w:p>
          <w:p>
            <w:pPr>
              <w:widowControl w:val="0"/>
              <w:spacing w:line="261" w:lineRule="exac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机关事务</w:t>
            </w:r>
          </w:p>
          <w:p>
            <w:pPr>
              <w:widowControl w:val="0"/>
              <w:spacing w:line="0" w:lineRule="atLeast"/>
              <w:jc w:val="center"/>
              <w:rPr>
                <w:rFonts w:ascii="仿宋_GB2312" w:hAnsi="仿宋_GB2312" w:eastAsia="仿宋_GB2312"/>
                <w:w w:val="99"/>
                <w:sz w:val="24"/>
              </w:rPr>
            </w:pPr>
            <w:r>
              <w:rPr>
                <w:rFonts w:ascii="仿宋_GB2312" w:hAnsi="仿宋_GB2312" w:eastAsia="仿宋_GB2312"/>
                <w:w w:val="99"/>
                <w:sz w:val="24"/>
              </w:rPr>
              <w:t>管理局</w:t>
            </w:r>
          </w:p>
          <w:p>
            <w:pPr>
              <w:widowControl w:val="0"/>
              <w:spacing w:line="270" w:lineRule="exac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教育</w:t>
            </w:r>
            <w:r>
              <w:rPr>
                <w:rFonts w:hint="eastAsia" w:ascii="仿宋_GB2312" w:hAnsi="仿宋_GB2312" w:eastAsia="仿宋_GB2312"/>
                <w:w w:val="99"/>
                <w:sz w:val="24"/>
              </w:rPr>
              <w:t>局</w:t>
            </w:r>
          </w:p>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卫计委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660" w:type="dxa"/>
            <w:gridSpan w:val="4"/>
            <w:vAlign w:val="center"/>
          </w:tcPr>
          <w:p>
            <w:pPr>
              <w:widowControl w:val="0"/>
              <w:spacing w:line="0" w:lineRule="atLeast"/>
              <w:jc w:val="both"/>
              <w:rPr>
                <w:rFonts w:ascii="仿宋_GB2312" w:hAnsi="仿宋_GB2312" w:eastAsia="仿宋_GB2312"/>
                <w:sz w:val="24"/>
              </w:rPr>
            </w:pPr>
          </w:p>
          <w:p>
            <w:pPr>
              <w:widowControl w:val="0"/>
              <w:spacing w:line="0" w:lineRule="atLeast"/>
              <w:jc w:val="center"/>
              <w:rPr>
                <w:rFonts w:ascii="仿宋_GB2312" w:hAnsi="仿宋_GB2312" w:eastAsia="仿宋_GB2312"/>
                <w:sz w:val="24"/>
              </w:rPr>
            </w:pPr>
            <w:r>
              <w:rPr>
                <w:rFonts w:ascii="仿宋_GB2312" w:hAnsi="仿宋_GB2312" w:eastAsia="仿宋_GB2312"/>
                <w:b/>
                <w:sz w:val="24"/>
              </w:rPr>
              <w:t>合理引导区域低碳发展</w:t>
            </w: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764" w:type="dxa"/>
            <w:vMerge w:val="restart"/>
            <w:vAlign w:val="center"/>
          </w:tcPr>
          <w:p>
            <w:pPr>
              <w:widowControl w:val="0"/>
              <w:spacing w:line="0" w:lineRule="atLeast"/>
              <w:jc w:val="center"/>
              <w:rPr>
                <w:rFonts w:ascii="Times New Roman" w:hAnsi="Times New Roman" w:eastAsia="Times New Roman"/>
                <w:sz w:val="24"/>
              </w:rPr>
            </w:pPr>
            <w:r>
              <w:rPr>
                <w:rFonts w:hint="eastAsia" w:ascii="Times New Roman" w:hAnsi="Times New Roman"/>
                <w:sz w:val="24"/>
              </w:rPr>
              <w:t>15</w:t>
            </w:r>
          </w:p>
        </w:tc>
        <w:tc>
          <w:tcPr>
            <w:tcW w:w="1766" w:type="dxa"/>
            <w:vMerge w:val="restart"/>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分类指导碳排</w:t>
            </w:r>
          </w:p>
          <w:p>
            <w:pPr>
              <w:widowControl w:val="0"/>
              <w:spacing w:line="0" w:lineRule="atLeast"/>
              <w:ind w:left="80" w:leftChars="0"/>
              <w:jc w:val="center"/>
              <w:rPr>
                <w:rFonts w:ascii="仿宋_GB2312" w:hAnsi="仿宋_GB2312" w:eastAsia="仿宋_GB2312"/>
                <w:sz w:val="24"/>
              </w:rPr>
            </w:pPr>
            <w:r>
              <w:rPr>
                <w:rFonts w:ascii="仿宋_GB2312" w:hAnsi="仿宋_GB2312" w:eastAsia="仿宋_GB2312"/>
                <w:sz w:val="24"/>
              </w:rPr>
              <w:t>放强度控制</w:t>
            </w:r>
          </w:p>
        </w:tc>
        <w:tc>
          <w:tcPr>
            <w:tcW w:w="5409" w:type="dxa"/>
            <w:vAlign w:val="center"/>
          </w:tcPr>
          <w:p>
            <w:pPr>
              <w:widowControl w:val="0"/>
              <w:spacing w:line="0" w:lineRule="atLeast"/>
              <w:ind w:left="100"/>
              <w:jc w:val="both"/>
              <w:rPr>
                <w:rFonts w:ascii="Times New Roman" w:hAnsi="Times New Roman" w:eastAsia="Times New Roman"/>
                <w:sz w:val="24"/>
              </w:rPr>
            </w:pPr>
            <w:r>
              <w:rPr>
                <w:rFonts w:ascii="Times New Roman" w:hAnsi="Times New Roman" w:eastAsia="Times New Roman"/>
                <w:sz w:val="24"/>
              </w:rPr>
              <w:t>“</w:t>
            </w:r>
            <w:r>
              <w:rPr>
                <w:rFonts w:ascii="仿宋_GB2312" w:hAnsi="仿宋_GB2312" w:eastAsia="仿宋_GB2312"/>
                <w:sz w:val="24"/>
              </w:rPr>
              <w:t>十三五</w:t>
            </w:r>
            <w:r>
              <w:rPr>
                <w:rFonts w:ascii="Times New Roman" w:hAnsi="Times New Roman" w:eastAsia="Times New Roman"/>
                <w:sz w:val="24"/>
              </w:rPr>
              <w:t>”</w:t>
            </w:r>
            <w:r>
              <w:rPr>
                <w:rFonts w:ascii="仿宋_GB2312" w:hAnsi="仿宋_GB2312" w:eastAsia="仿宋_GB2312"/>
                <w:sz w:val="24"/>
              </w:rPr>
              <w:t>期间，</w:t>
            </w:r>
            <w:r>
              <w:rPr>
                <w:rFonts w:hint="eastAsia" w:ascii="仿宋_GB2312" w:hAnsi="仿宋_GB2312" w:eastAsia="仿宋_GB2312"/>
                <w:sz w:val="24"/>
              </w:rPr>
              <w:t>忻州</w:t>
            </w:r>
            <w:r>
              <w:rPr>
                <w:rFonts w:ascii="仿宋_GB2312" w:hAnsi="仿宋_GB2312" w:eastAsia="仿宋_GB2312"/>
                <w:sz w:val="24"/>
              </w:rPr>
              <w:t>市碳排放强度累计下降</w:t>
            </w:r>
            <w:r>
              <w:rPr>
                <w:rFonts w:ascii="Times New Roman" w:hAnsi="Times New Roman" w:eastAsia="Times New Roman"/>
                <w:sz w:val="24"/>
              </w:rPr>
              <w:t xml:space="preserve"> 1</w:t>
            </w:r>
            <w:r>
              <w:rPr>
                <w:rFonts w:hint="eastAsia" w:ascii="Times New Roman" w:hAnsi="Times New Roman"/>
                <w:sz w:val="24"/>
              </w:rPr>
              <w:t>8</w:t>
            </w:r>
            <w:r>
              <w:rPr>
                <w:rFonts w:ascii="Times New Roman" w:hAnsi="Times New Roman" w:eastAsia="Times New Roman"/>
                <w:sz w:val="24"/>
              </w:rPr>
              <w:t>%</w:t>
            </w:r>
            <w:r>
              <w:rPr>
                <w:rFonts w:ascii="仿宋_GB2312" w:hAnsi="仿宋_GB2312" w:eastAsia="仿宋_GB2312"/>
                <w:sz w:val="24"/>
              </w:rPr>
              <w:t>，</w:t>
            </w:r>
          </w:p>
          <w:p>
            <w:pPr>
              <w:widowControl w:val="0"/>
              <w:spacing w:line="0" w:lineRule="atLeast"/>
              <w:jc w:val="both"/>
              <w:rPr>
                <w:rFonts w:ascii="仿宋_GB2312" w:hAnsi="仿宋_GB2312" w:eastAsia="仿宋_GB2312"/>
                <w:sz w:val="24"/>
              </w:rPr>
            </w:pPr>
            <w:r>
              <w:rPr>
                <w:rFonts w:hint="eastAsia" w:ascii="仿宋_GB2312" w:hAnsi="仿宋_GB2312" w:eastAsia="仿宋_GB2312"/>
                <w:sz w:val="24"/>
              </w:rPr>
              <w:t>各县（市、区)</w:t>
            </w:r>
            <w:r>
              <w:rPr>
                <w:rFonts w:ascii="仿宋_GB2312" w:hAnsi="仿宋_GB2312" w:eastAsia="仿宋_GB2312"/>
                <w:sz w:val="24"/>
              </w:rPr>
              <w:t xml:space="preserve">碳排放强度累计下降 </w:t>
            </w:r>
            <w:r>
              <w:rPr>
                <w:rFonts w:ascii="Times New Roman" w:hAnsi="Times New Roman" w:eastAsia="Times New Roman"/>
                <w:sz w:val="24"/>
              </w:rPr>
              <w:t>1</w:t>
            </w:r>
            <w:r>
              <w:rPr>
                <w:rFonts w:hint="eastAsia" w:ascii="Times New Roman" w:hAnsi="Times New Roman"/>
                <w:sz w:val="24"/>
              </w:rPr>
              <w:t>8</w:t>
            </w:r>
            <w:r>
              <w:rPr>
                <w:rFonts w:ascii="Times New Roman" w:hAnsi="Times New Roman" w:eastAsia="Times New Roman"/>
                <w:sz w:val="24"/>
              </w:rPr>
              <w:t>%</w:t>
            </w:r>
            <w:r>
              <w:rPr>
                <w:rFonts w:hint="eastAsia" w:ascii="Times New Roman" w:hAnsi="Times New Roman"/>
                <w:sz w:val="24"/>
              </w:rPr>
              <w:t>。</w:t>
            </w:r>
          </w:p>
        </w:tc>
        <w:tc>
          <w:tcPr>
            <w:tcW w:w="1721" w:type="dxa"/>
            <w:vAlign w:val="center"/>
          </w:tcPr>
          <w:p>
            <w:pPr>
              <w:widowControl w:val="0"/>
              <w:spacing w:line="0" w:lineRule="atLeast"/>
              <w:jc w:val="center"/>
              <w:rPr>
                <w:rFonts w:ascii="仿宋_GB2312" w:hAnsi="仿宋_GB2312" w:eastAsia="仿宋_GB2312"/>
                <w:sz w:val="24"/>
              </w:rPr>
            </w:pPr>
            <w:r>
              <w:rPr>
                <w:rFonts w:ascii="仿宋_GB2312" w:hAnsi="仿宋_GB2312" w:eastAsia="仿宋_GB2312"/>
                <w:w w:val="99"/>
                <w:sz w:val="24"/>
              </w:rPr>
              <w:t>各</w:t>
            </w:r>
            <w:r>
              <w:rPr>
                <w:rFonts w:hint="eastAsia" w:ascii="仿宋_GB2312" w:hAnsi="仿宋_GB2312" w:eastAsia="仿宋_GB2312"/>
                <w:sz w:val="24"/>
              </w:rPr>
              <w:t>县（市、区)</w:t>
            </w:r>
            <w:r>
              <w:rPr>
                <w:rFonts w:ascii="仿宋_GB2312" w:hAnsi="仿宋_GB2312" w:eastAsia="仿宋_GB2312"/>
                <w:w w:val="99"/>
                <w:sz w:val="24"/>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764" w:type="dxa"/>
            <w:vMerge w:val="continue"/>
            <w:vAlign w:val="center"/>
          </w:tcPr>
          <w:p>
            <w:pPr>
              <w:widowControl w:val="0"/>
              <w:spacing w:line="0" w:lineRule="atLeast"/>
              <w:jc w:val="center"/>
              <w:rPr>
                <w:rFonts w:hint="eastAsia" w:ascii="Times New Roman" w:hAnsi="Times New Roman"/>
                <w:sz w:val="24"/>
              </w:rPr>
            </w:pPr>
          </w:p>
        </w:tc>
        <w:tc>
          <w:tcPr>
            <w:tcW w:w="1766" w:type="dxa"/>
            <w:vMerge w:val="continue"/>
            <w:vAlign w:val="center"/>
          </w:tcPr>
          <w:p>
            <w:pPr>
              <w:widowControl w:val="0"/>
              <w:spacing w:line="0" w:lineRule="atLeas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hint="eastAsia" w:ascii="仿宋_GB2312" w:hAnsi="仿宋_GB2312" w:eastAsia="仿宋_GB2312"/>
                <w:sz w:val="24"/>
              </w:rPr>
              <w:t>在省统一安排部署下，</w:t>
            </w:r>
            <w:r>
              <w:rPr>
                <w:rFonts w:ascii="仿宋_GB2312" w:hAnsi="仿宋_GB2312" w:eastAsia="仿宋_GB2312"/>
                <w:sz w:val="24"/>
              </w:rPr>
              <w:t>开展全</w:t>
            </w:r>
            <w:r>
              <w:rPr>
                <w:rFonts w:hint="eastAsia" w:ascii="仿宋_GB2312" w:hAnsi="仿宋_GB2312" w:eastAsia="仿宋_GB2312"/>
                <w:sz w:val="24"/>
              </w:rPr>
              <w:t>市</w:t>
            </w:r>
            <w:r>
              <w:rPr>
                <w:rFonts w:ascii="仿宋_GB2312" w:hAnsi="仿宋_GB2312" w:eastAsia="仿宋_GB2312"/>
                <w:sz w:val="24"/>
              </w:rPr>
              <w:t>碳排放峰值目标和达峰路径研究，争取在</w:t>
            </w:r>
            <w:r>
              <w:rPr>
                <w:rFonts w:ascii="Times New Roman" w:hAnsi="Times New Roman" w:eastAsia="Times New Roman"/>
                <w:sz w:val="24"/>
              </w:rPr>
              <w:t xml:space="preserve">2030 </w:t>
            </w:r>
            <w:r>
              <w:rPr>
                <w:rFonts w:ascii="仿宋_GB2312" w:hAnsi="仿宋_GB2312" w:eastAsia="仿宋_GB2312"/>
                <w:sz w:val="24"/>
              </w:rPr>
              <w:t>年左右与全国同步达峰并努力尽早达峰。</w:t>
            </w:r>
          </w:p>
        </w:tc>
        <w:tc>
          <w:tcPr>
            <w:tcW w:w="1721"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64" w:type="dxa"/>
            <w:vAlign w:val="center"/>
          </w:tcPr>
          <w:p>
            <w:pPr>
              <w:widowControl w:val="0"/>
              <w:spacing w:line="0" w:lineRule="atLeast"/>
              <w:jc w:val="center"/>
              <w:rPr>
                <w:rFonts w:ascii="Times New Roman" w:hAnsi="Times New Roman" w:eastAsia="Times New Roman"/>
                <w:sz w:val="24"/>
              </w:rPr>
            </w:pPr>
            <w:r>
              <w:rPr>
                <w:rFonts w:ascii="Times New Roman" w:hAnsi="Times New Roman" w:eastAsia="Times New Roman"/>
                <w:w w:val="99"/>
                <w:sz w:val="24"/>
              </w:rPr>
              <w:t>16</w:t>
            </w:r>
          </w:p>
        </w:tc>
        <w:tc>
          <w:tcPr>
            <w:tcW w:w="1766" w:type="dxa"/>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深入开展试点</w:t>
            </w:r>
          </w:p>
          <w:p>
            <w:pPr>
              <w:widowControl w:val="0"/>
              <w:spacing w:line="267" w:lineRule="exact"/>
              <w:ind w:left="80" w:leftChars="0"/>
              <w:jc w:val="center"/>
              <w:rPr>
                <w:rFonts w:ascii="仿宋_GB2312" w:hAnsi="仿宋_GB2312" w:eastAsia="仿宋_GB2312"/>
                <w:sz w:val="24"/>
              </w:rPr>
            </w:pPr>
            <w:r>
              <w:rPr>
                <w:rFonts w:ascii="仿宋_GB2312" w:hAnsi="仿宋_GB2312" w:eastAsia="仿宋_GB2312"/>
                <w:sz w:val="24"/>
              </w:rPr>
              <w:t>示范</w:t>
            </w: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color w:val="000000"/>
                <w:sz w:val="24"/>
              </w:rPr>
              <w:t>推动</w:t>
            </w:r>
            <w:r>
              <w:rPr>
                <w:rFonts w:hint="eastAsia" w:ascii="仿宋_GB2312" w:hAnsi="仿宋_GB2312" w:eastAsia="仿宋_GB2312"/>
                <w:color w:val="000000"/>
                <w:sz w:val="24"/>
              </w:rPr>
              <w:t>省级低碳试点忻府区开展</w:t>
            </w:r>
            <w:r>
              <w:rPr>
                <w:rFonts w:ascii="仿宋_GB2312" w:hAnsi="仿宋_GB2312" w:eastAsia="仿宋_GB2312"/>
                <w:color w:val="000000"/>
                <w:sz w:val="24"/>
              </w:rPr>
              <w:t>碳排放总量控制和碳排放峰值研究，强化低碳发展顶层设计和基础能力建设，探索产城融合低碳发展模式，鼓励有条件的</w:t>
            </w:r>
            <w:r>
              <w:rPr>
                <w:rFonts w:hint="eastAsia" w:ascii="仿宋_GB2312" w:hAnsi="仿宋_GB2312" w:eastAsia="仿宋_GB2312"/>
                <w:color w:val="000000"/>
                <w:sz w:val="24"/>
              </w:rPr>
              <w:t>县（市、区）</w:t>
            </w:r>
            <w:r>
              <w:rPr>
                <w:rFonts w:ascii="仿宋_GB2312" w:hAnsi="仿宋_GB2312" w:eastAsia="仿宋_GB2312"/>
                <w:color w:val="000000"/>
                <w:sz w:val="24"/>
              </w:rPr>
              <w:t>积极申报低碳城市、低碳城（镇）试点。</w:t>
            </w:r>
          </w:p>
        </w:tc>
        <w:tc>
          <w:tcPr>
            <w:tcW w:w="1721"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ascii="仿宋_GB2312" w:hAnsi="仿宋_GB2312" w:eastAsia="仿宋_GB2312"/>
                <w:sz w:val="24"/>
              </w:rPr>
            </w:pPr>
            <w:r>
              <w:rPr>
                <w:rFonts w:ascii="仿宋_GB2312" w:hAnsi="仿宋_GB2312" w:eastAsia="仿宋_GB2312"/>
                <w:w w:val="99"/>
                <w:sz w:val="24"/>
              </w:rPr>
              <w:t>各</w:t>
            </w:r>
            <w:r>
              <w:rPr>
                <w:rFonts w:hint="eastAsia" w:ascii="仿宋_GB2312" w:hAnsi="仿宋_GB2312" w:eastAsia="仿宋_GB2312"/>
                <w:w w:val="99"/>
                <w:sz w:val="24"/>
              </w:rPr>
              <w:t>县（市、区）</w:t>
            </w:r>
            <w:r>
              <w:rPr>
                <w:rFonts w:ascii="仿宋_GB2312" w:hAnsi="仿宋_GB2312" w:eastAsia="仿宋_GB2312"/>
                <w:w w:val="99"/>
                <w:sz w:val="24"/>
              </w:rPr>
              <w:t>人民政府</w:t>
            </w:r>
          </w:p>
        </w:tc>
      </w:tr>
    </w:tbl>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tbl>
      <w:tblPr>
        <w:tblStyle w:val="4"/>
        <w:tblpPr w:leftFromText="180" w:rightFromText="180" w:vertAnchor="page" w:horzAnchor="page" w:tblpXSpec="center" w:tblpY="1971"/>
        <w:tblOverlap w:val="never"/>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66"/>
        <w:gridCol w:w="540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6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766"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409"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21"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764" w:type="dxa"/>
            <w:vMerge w:val="restart"/>
            <w:vAlign w:val="center"/>
          </w:tcPr>
          <w:p>
            <w:pPr>
              <w:widowControl w:val="0"/>
              <w:jc w:val="center"/>
              <w:rPr>
                <w:rFonts w:hint="eastAsia" w:ascii="仿宋_GB2312" w:hAnsi="仿宋_GB2312" w:eastAsia="仿宋_GB2312"/>
                <w:sz w:val="24"/>
                <w:lang w:val="en-US" w:eastAsia="zh-CN"/>
              </w:rPr>
            </w:pPr>
          </w:p>
          <w:p>
            <w:pPr>
              <w:widowControl w:val="0"/>
              <w:jc w:val="center"/>
              <w:rPr>
                <w:rFonts w:hint="eastAsia" w:ascii="仿宋_GB2312" w:hAnsi="仿宋_GB2312" w:eastAsia="仿宋_GB2312"/>
                <w:sz w:val="24"/>
                <w:lang w:val="en-US" w:eastAsia="zh-CN"/>
              </w:rPr>
            </w:pPr>
          </w:p>
          <w:p>
            <w:pPr>
              <w:widowControl w:val="0"/>
              <w:jc w:val="center"/>
              <w:rPr>
                <w:rFonts w:hint="eastAsia" w:ascii="仿宋_GB2312" w:hAnsi="仿宋_GB2312" w:eastAsia="仿宋_GB2312"/>
                <w:sz w:val="24"/>
                <w:lang w:val="en-US" w:eastAsia="zh-CN"/>
              </w:rPr>
            </w:pPr>
          </w:p>
          <w:p>
            <w:pPr>
              <w:widowControl w:val="0"/>
              <w:jc w:val="center"/>
              <w:rPr>
                <w:rFonts w:hint="eastAsia" w:ascii="仿宋_GB2312" w:hAnsi="仿宋_GB2312" w:eastAsia="仿宋_GB2312"/>
                <w:sz w:val="24"/>
                <w:lang w:val="en-US" w:eastAsia="zh-CN"/>
              </w:rPr>
            </w:pPr>
          </w:p>
        </w:tc>
        <w:tc>
          <w:tcPr>
            <w:tcW w:w="1766" w:type="dxa"/>
            <w:vMerge w:val="restart"/>
            <w:vAlign w:val="center"/>
          </w:tcPr>
          <w:p>
            <w:pPr>
              <w:widowControl w:val="0"/>
              <w:spacing w:line="0" w:lineRule="atLeast"/>
              <w:ind w:left="80"/>
              <w:jc w:val="center"/>
              <w:rPr>
                <w:rFonts w:ascii="仿宋_GB2312" w:hAnsi="仿宋_GB2312" w:eastAsia="仿宋_GB2312"/>
                <w:sz w:val="24"/>
              </w:rPr>
            </w:pPr>
          </w:p>
          <w:p>
            <w:pPr>
              <w:widowControl w:val="0"/>
              <w:spacing w:line="0" w:lineRule="atLeast"/>
              <w:ind w:left="80"/>
              <w:jc w:val="center"/>
              <w:rPr>
                <w:rFonts w:ascii="仿宋_GB2312" w:hAnsi="仿宋_GB2312" w:eastAsia="仿宋_GB2312"/>
                <w:sz w:val="24"/>
              </w:rPr>
            </w:pPr>
          </w:p>
          <w:p>
            <w:pPr>
              <w:widowControl w:val="0"/>
              <w:spacing w:line="0" w:lineRule="atLeast"/>
              <w:ind w:left="80"/>
              <w:jc w:val="both"/>
              <w:rPr>
                <w:rFonts w:ascii="仿宋_GB2312" w:hAnsi="仿宋_GB2312" w:eastAsia="仿宋_GB2312"/>
                <w:sz w:val="24"/>
              </w:rPr>
            </w:pPr>
          </w:p>
          <w:p>
            <w:pPr>
              <w:widowControl w:val="0"/>
              <w:spacing w:line="0" w:lineRule="atLeast"/>
              <w:ind w:left="80"/>
              <w:jc w:val="both"/>
              <w:rPr>
                <w:rFonts w:ascii="仿宋_GB2312" w:hAnsi="仿宋_GB2312" w:eastAsia="仿宋_GB2312"/>
                <w:sz w:val="24"/>
              </w:rPr>
            </w:pPr>
          </w:p>
          <w:p>
            <w:pPr>
              <w:widowControl w:val="0"/>
              <w:spacing w:line="0" w:lineRule="atLeast"/>
              <w:ind w:left="80"/>
              <w:jc w:val="both"/>
              <w:rPr>
                <w:rFonts w:ascii="仿宋_GB2312" w:hAnsi="仿宋_GB2312" w:eastAsia="仿宋_GB2312"/>
                <w:sz w:val="24"/>
              </w:rPr>
            </w:pPr>
          </w:p>
        </w:tc>
        <w:tc>
          <w:tcPr>
            <w:tcW w:w="5409" w:type="dxa"/>
            <w:vAlign w:val="center"/>
          </w:tcPr>
          <w:p>
            <w:pPr>
              <w:widowControl w:val="0"/>
              <w:spacing w:line="262" w:lineRule="exact"/>
              <w:ind w:left="100"/>
              <w:jc w:val="both"/>
              <w:rPr>
                <w:rFonts w:hint="eastAsia" w:ascii="仿宋_GB2312" w:hAnsi="仿宋_GB2312" w:eastAsia="仿宋_GB2312"/>
                <w:sz w:val="24"/>
              </w:rPr>
            </w:pPr>
          </w:p>
          <w:p>
            <w:pPr>
              <w:widowControl w:val="0"/>
              <w:spacing w:line="262" w:lineRule="exact"/>
              <w:jc w:val="both"/>
              <w:rPr>
                <w:rFonts w:ascii="仿宋_GB2312" w:hAnsi="仿宋_GB2312" w:eastAsia="仿宋_GB2312"/>
                <w:sz w:val="24"/>
              </w:rPr>
            </w:pPr>
            <w:r>
              <w:rPr>
                <w:rFonts w:hint="eastAsia" w:ascii="仿宋_GB2312" w:hAnsi="仿宋_GB2312" w:eastAsia="仿宋_GB2312"/>
                <w:sz w:val="24"/>
              </w:rPr>
              <w:t>开展低碳工业园区、低碳社区试点、低碳商业试点创建活动。</w:t>
            </w:r>
            <w:r>
              <w:rPr>
                <w:rFonts w:ascii="仿宋_GB2312" w:hAnsi="仿宋_GB2312" w:eastAsia="仿宋_GB2312"/>
                <w:sz w:val="24"/>
              </w:rPr>
              <w:t>鼓励条件成熟的限制开发区域和禁止开</w:t>
            </w:r>
          </w:p>
          <w:p>
            <w:pPr>
              <w:widowControl w:val="0"/>
              <w:spacing w:line="0" w:lineRule="atLeast"/>
              <w:jc w:val="both"/>
              <w:rPr>
                <w:rFonts w:ascii="仿宋_GB2312" w:hAnsi="仿宋_GB2312" w:eastAsia="仿宋_GB2312"/>
                <w:sz w:val="24"/>
              </w:rPr>
            </w:pPr>
            <w:r>
              <w:rPr>
                <w:rFonts w:ascii="仿宋_GB2312" w:hAnsi="仿宋_GB2312" w:eastAsia="仿宋_GB2312"/>
                <w:sz w:val="24"/>
              </w:rPr>
              <w:t>发区域、生态功能区、工矿区、城镇等开展近零碳</w:t>
            </w:r>
          </w:p>
          <w:p>
            <w:pPr>
              <w:widowControl w:val="0"/>
              <w:spacing w:line="0" w:lineRule="atLeast"/>
              <w:jc w:val="both"/>
              <w:rPr>
                <w:rFonts w:ascii="仿宋_GB2312" w:hAnsi="仿宋_GB2312" w:eastAsia="仿宋_GB2312"/>
                <w:sz w:val="24"/>
              </w:rPr>
            </w:pPr>
            <w:r>
              <w:rPr>
                <w:rFonts w:ascii="仿宋_GB2312" w:hAnsi="仿宋_GB2312" w:eastAsia="仿宋_GB2312"/>
                <w:sz w:val="24"/>
              </w:rPr>
              <w:t>排放区示范工程。</w:t>
            </w:r>
          </w:p>
          <w:p>
            <w:pPr>
              <w:widowControl w:val="0"/>
              <w:spacing w:line="0" w:lineRule="atLeast"/>
              <w:jc w:val="both"/>
              <w:rPr>
                <w:rFonts w:ascii="仿宋_GB2312" w:hAnsi="仿宋_GB2312" w:eastAsia="仿宋_GB2312"/>
                <w:sz w:val="24"/>
              </w:rPr>
            </w:pPr>
          </w:p>
        </w:tc>
        <w:tc>
          <w:tcPr>
            <w:tcW w:w="1721" w:type="dxa"/>
            <w:vAlign w:val="center"/>
          </w:tcPr>
          <w:p>
            <w:pPr>
              <w:widowControl w:val="0"/>
              <w:spacing w:line="262" w:lineRule="exact"/>
              <w:jc w:val="center"/>
              <w:rPr>
                <w:rFonts w:hint="eastAsia" w:ascii="仿宋_GB2312" w:hAnsi="仿宋_GB2312" w:eastAsia="仿宋_GB2312"/>
                <w:sz w:val="24"/>
              </w:rPr>
            </w:pPr>
            <w:r>
              <w:rPr>
                <w:rFonts w:hint="eastAsia" w:ascii="仿宋_GB2312" w:hAnsi="仿宋_GB2312" w:eastAsia="仿宋_GB2312"/>
                <w:sz w:val="24"/>
              </w:rPr>
              <w:t>市经信委</w:t>
            </w:r>
          </w:p>
          <w:p>
            <w:pPr>
              <w:widowControl w:val="0"/>
              <w:spacing w:line="262" w:lineRule="exact"/>
              <w:jc w:val="center"/>
              <w:rPr>
                <w:rFonts w:hint="eastAsia" w:ascii="仿宋_GB2312" w:hAnsi="仿宋_GB2312" w:eastAsia="仿宋_GB2312"/>
                <w:sz w:val="24"/>
              </w:rPr>
            </w:pPr>
            <w:r>
              <w:rPr>
                <w:rFonts w:hint="eastAsia" w:ascii="仿宋_GB2312" w:hAnsi="仿宋_GB2312" w:eastAsia="仿宋_GB2312"/>
                <w:sz w:val="24"/>
              </w:rPr>
              <w:t>市发改委</w:t>
            </w:r>
          </w:p>
          <w:p>
            <w:pPr>
              <w:widowControl w:val="0"/>
              <w:spacing w:line="262" w:lineRule="exact"/>
              <w:jc w:val="center"/>
              <w:rPr>
                <w:rFonts w:ascii="仿宋_GB2312" w:hAnsi="仿宋_GB2312" w:eastAsia="仿宋_GB2312"/>
                <w:sz w:val="24"/>
              </w:rPr>
            </w:pPr>
            <w:r>
              <w:rPr>
                <w:rFonts w:hint="eastAsia" w:ascii="仿宋_GB2312" w:hAnsi="仿宋_GB2312" w:eastAsia="仿宋_GB2312"/>
                <w:sz w:val="24"/>
              </w:rPr>
              <w:t>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764" w:type="dxa"/>
            <w:vMerge w:val="continue"/>
            <w:vAlign w:val="center"/>
          </w:tcPr>
          <w:p>
            <w:pPr>
              <w:widowControl w:val="0"/>
              <w:jc w:val="center"/>
              <w:rPr>
                <w:rFonts w:hint="eastAsia" w:ascii="仿宋_GB2312" w:hAnsi="仿宋_GB2312" w:eastAsia="仿宋_GB2312"/>
                <w:sz w:val="24"/>
                <w:lang w:val="en-US" w:eastAsia="zh-CN"/>
              </w:rPr>
            </w:pPr>
          </w:p>
        </w:tc>
        <w:tc>
          <w:tcPr>
            <w:tcW w:w="1766" w:type="dxa"/>
            <w:vMerge w:val="continue"/>
            <w:vAlign w:val="center"/>
          </w:tcPr>
          <w:p>
            <w:pPr>
              <w:widowControl w:val="0"/>
              <w:spacing w:line="0" w:lineRule="atLeast"/>
              <w:ind w:left="80"/>
              <w:jc w:val="both"/>
              <w:rPr>
                <w:rFonts w:ascii="仿宋_GB2312" w:hAnsi="仿宋_GB2312" w:eastAsia="仿宋_GB2312"/>
                <w:sz w:val="24"/>
              </w:rPr>
            </w:pPr>
          </w:p>
        </w:tc>
        <w:tc>
          <w:tcPr>
            <w:tcW w:w="5409" w:type="dxa"/>
            <w:vAlign w:val="center"/>
          </w:tcPr>
          <w:p>
            <w:pPr>
              <w:widowControl w:val="0"/>
              <w:spacing w:line="262" w:lineRule="exact"/>
              <w:jc w:val="both"/>
              <w:rPr>
                <w:rFonts w:hint="eastAsia" w:ascii="仿宋_GB2312" w:hAnsi="仿宋_GB2312" w:eastAsia="仿宋_GB2312"/>
                <w:sz w:val="24"/>
              </w:rPr>
            </w:pPr>
          </w:p>
          <w:p>
            <w:pPr>
              <w:widowControl w:val="0"/>
              <w:spacing w:line="262" w:lineRule="exact"/>
              <w:jc w:val="both"/>
              <w:rPr>
                <w:rFonts w:hint="eastAsia" w:ascii="仿宋_GB2312" w:hAnsi="仿宋_GB2312" w:eastAsia="仿宋_GB2312"/>
                <w:sz w:val="24"/>
              </w:rPr>
            </w:pPr>
            <w:r>
              <w:rPr>
                <w:rFonts w:hint="eastAsia" w:ascii="仿宋_GB2312" w:hAnsi="仿宋_GB2312" w:eastAsia="仿宋_GB2312"/>
                <w:sz w:val="24"/>
              </w:rPr>
              <w:t>鼓励新建社区、既有社区和农村社区积极申报国家级和省级低碳社区试点，开展低碳社区建设和改造，实施低碳运营管理，普及低碳文化知识，引导培育低碳行为。</w:t>
            </w:r>
          </w:p>
          <w:p>
            <w:pPr>
              <w:widowControl w:val="0"/>
              <w:spacing w:line="0" w:lineRule="atLeast"/>
              <w:jc w:val="both"/>
              <w:rPr>
                <w:rFonts w:ascii="仿宋_GB2312" w:hAnsi="仿宋_GB2312" w:eastAsia="仿宋_GB2312"/>
                <w:sz w:val="24"/>
              </w:rPr>
            </w:pPr>
          </w:p>
        </w:tc>
        <w:tc>
          <w:tcPr>
            <w:tcW w:w="1721"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271" w:lineRule="exac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spacing w:line="271" w:lineRule="exac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764" w:type="dxa"/>
            <w:vMerge w:val="continue"/>
            <w:vAlign w:val="center"/>
          </w:tcPr>
          <w:p>
            <w:pPr>
              <w:widowControl w:val="0"/>
              <w:jc w:val="center"/>
              <w:rPr>
                <w:rFonts w:hint="eastAsia" w:ascii="仿宋_GB2312" w:hAnsi="仿宋_GB2312" w:eastAsia="仿宋_GB2312"/>
                <w:sz w:val="24"/>
                <w:lang w:val="en-US" w:eastAsia="zh-CN"/>
              </w:rPr>
            </w:pPr>
          </w:p>
        </w:tc>
        <w:tc>
          <w:tcPr>
            <w:tcW w:w="1766" w:type="dxa"/>
            <w:vMerge w:val="continue"/>
            <w:vAlign w:val="center"/>
          </w:tcPr>
          <w:p>
            <w:pPr>
              <w:widowControl w:val="0"/>
              <w:spacing w:line="0" w:lineRule="atLeast"/>
              <w:ind w:left="80"/>
              <w:jc w:val="center"/>
              <w:rPr>
                <w:rFonts w:ascii="仿宋_GB2312" w:hAnsi="仿宋_GB2312" w:eastAsia="仿宋_GB2312"/>
                <w:sz w:val="24"/>
              </w:rPr>
            </w:pPr>
          </w:p>
        </w:tc>
        <w:tc>
          <w:tcPr>
            <w:tcW w:w="5409" w:type="dxa"/>
            <w:vAlign w:val="top"/>
          </w:tcPr>
          <w:p>
            <w:pPr>
              <w:widowControl w:val="0"/>
              <w:spacing w:line="0" w:lineRule="atLeast"/>
              <w:jc w:val="both"/>
              <w:rPr>
                <w:rFonts w:ascii="仿宋_GB2312" w:hAnsi="仿宋_GB2312" w:eastAsia="仿宋_GB2312"/>
                <w:sz w:val="24"/>
              </w:rPr>
            </w:pPr>
          </w:p>
          <w:p>
            <w:pPr>
              <w:widowControl w:val="0"/>
              <w:spacing w:line="0" w:lineRule="atLeast"/>
              <w:jc w:val="both"/>
              <w:rPr>
                <w:rFonts w:ascii="仿宋_GB2312" w:hAnsi="仿宋_GB2312" w:eastAsia="仿宋_GB2312"/>
                <w:sz w:val="24"/>
              </w:rPr>
            </w:pPr>
            <w:r>
              <w:rPr>
                <w:rFonts w:hint="eastAsia" w:ascii="仿宋_GB2312" w:hAnsi="仿宋_GB2312" w:eastAsia="仿宋_GB2312"/>
                <w:sz w:val="24"/>
              </w:rPr>
              <w:t>在我市5A级景区和国家全域旅游示范区开展</w:t>
            </w:r>
            <w:r>
              <w:rPr>
                <w:rFonts w:hint="eastAsia" w:ascii="仿宋_GB2312" w:hAnsi="仿宋_GB2312" w:eastAsia="仿宋_GB2312"/>
                <w:sz w:val="24"/>
                <w:lang w:eastAsia="zh-CN"/>
              </w:rPr>
              <w:t>低碳</w:t>
            </w:r>
            <w:r>
              <w:rPr>
                <w:rFonts w:hint="eastAsia" w:ascii="仿宋_GB2312" w:hAnsi="仿宋_GB2312" w:eastAsia="仿宋_GB2312"/>
                <w:sz w:val="24"/>
              </w:rPr>
              <w:t>旅游试点建设，</w:t>
            </w:r>
            <w:r>
              <w:rPr>
                <w:rFonts w:ascii="仿宋_GB2312" w:hAnsi="仿宋_GB2312" w:eastAsia="仿宋_GB2312"/>
                <w:sz w:val="24"/>
              </w:rPr>
              <w:t>推进旅游基础设施低碳化建设。</w:t>
            </w:r>
          </w:p>
        </w:tc>
        <w:tc>
          <w:tcPr>
            <w:tcW w:w="1721" w:type="dxa"/>
            <w:vAlign w:val="center"/>
          </w:tcPr>
          <w:p>
            <w:pPr>
              <w:widowControl w:val="0"/>
              <w:spacing w:line="0" w:lineRule="atLeast"/>
              <w:jc w:val="center"/>
              <w:rPr>
                <w:rFonts w:hint="eastAsia" w:ascii="仿宋_GB2312" w:hAnsi="仿宋_GB2312" w:eastAsia="仿宋_GB2312"/>
                <w:w w:val="99"/>
                <w:sz w:val="24"/>
              </w:rPr>
            </w:pP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旅发委</w:t>
            </w: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764" w:type="dxa"/>
            <w:vMerge w:val="continue"/>
            <w:vAlign w:val="center"/>
          </w:tcPr>
          <w:p>
            <w:pPr>
              <w:widowControl w:val="0"/>
              <w:spacing w:line="0" w:lineRule="atLeast"/>
              <w:jc w:val="center"/>
              <w:rPr>
                <w:rFonts w:ascii="Times New Roman" w:hAnsi="Times New Roman" w:eastAsia="Times New Roman"/>
                <w:sz w:val="24"/>
              </w:rPr>
            </w:pPr>
          </w:p>
        </w:tc>
        <w:tc>
          <w:tcPr>
            <w:tcW w:w="1766" w:type="dxa"/>
            <w:vMerge w:val="continue"/>
            <w:vAlign w:val="center"/>
          </w:tcPr>
          <w:p>
            <w:pPr>
              <w:widowControl w:val="0"/>
              <w:spacing w:line="0" w:lineRule="atLeast"/>
              <w:ind w:left="80"/>
              <w:jc w:val="both"/>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鼓励具有代表性的商场、宾馆、餐饮等商业机构开展低碳商业试点示范。</w:t>
            </w:r>
          </w:p>
        </w:tc>
        <w:tc>
          <w:tcPr>
            <w:tcW w:w="1721" w:type="dxa"/>
            <w:vAlign w:val="center"/>
          </w:tcPr>
          <w:p>
            <w:pPr>
              <w:widowControl w:val="0"/>
              <w:jc w:val="center"/>
              <w:rPr>
                <w:rFonts w:hint="eastAsia" w:ascii="仿宋_GB2312" w:hAnsi="仿宋_GB2312" w:eastAsia="仿宋_GB2312"/>
                <w:w w:val="99"/>
                <w:sz w:val="24"/>
              </w:rPr>
            </w:pPr>
          </w:p>
          <w:p>
            <w:pPr>
              <w:widowControl w:val="0"/>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商务</w:t>
            </w:r>
            <w:r>
              <w:rPr>
                <w:rFonts w:hint="eastAsia" w:ascii="仿宋_GB2312" w:hAnsi="仿宋_GB2312" w:eastAsia="仿宋_GB2312"/>
                <w:w w:val="99"/>
                <w:sz w:val="24"/>
              </w:rPr>
              <w:t>局</w:t>
            </w:r>
          </w:p>
          <w:p>
            <w:pPr>
              <w:widowControl w:val="0"/>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64" w:type="dxa"/>
            <w:vMerge w:val="restart"/>
            <w:vAlign w:val="center"/>
          </w:tcPr>
          <w:p>
            <w:pPr>
              <w:widowControl w:val="0"/>
              <w:spacing w:line="0" w:lineRule="atLeast"/>
              <w:jc w:val="center"/>
              <w:rPr>
                <w:rFonts w:ascii="Times New Roman" w:hAnsi="Times New Roman" w:eastAsia="Times New Roman"/>
                <w:sz w:val="24"/>
              </w:rPr>
            </w:pPr>
            <w:r>
              <w:rPr>
                <w:rFonts w:ascii="Times New Roman" w:hAnsi="Times New Roman" w:eastAsia="Times New Roman"/>
                <w:sz w:val="24"/>
              </w:rPr>
              <w:t>17</w:t>
            </w:r>
          </w:p>
          <w:p>
            <w:pPr>
              <w:widowControl w:val="0"/>
              <w:spacing w:line="0" w:lineRule="atLeast"/>
              <w:jc w:val="center"/>
              <w:rPr>
                <w:rFonts w:ascii="Times New Roman" w:hAnsi="Times New Roman" w:eastAsia="Times New Roman"/>
                <w:sz w:val="24"/>
              </w:rPr>
            </w:pPr>
          </w:p>
          <w:p>
            <w:pPr>
              <w:widowControl w:val="0"/>
              <w:spacing w:line="0" w:lineRule="atLeast"/>
              <w:jc w:val="center"/>
              <w:rPr>
                <w:rFonts w:ascii="Times New Roman" w:hAnsi="Times New Roman" w:eastAsia="Times New Roman"/>
                <w:sz w:val="24"/>
              </w:rPr>
            </w:pPr>
          </w:p>
          <w:p>
            <w:pPr>
              <w:widowControl w:val="0"/>
              <w:spacing w:line="0" w:lineRule="atLeast"/>
              <w:jc w:val="center"/>
              <w:rPr>
                <w:rFonts w:ascii="Times New Roman" w:hAnsi="Times New Roman" w:eastAsia="Times New Roman"/>
                <w:sz w:val="24"/>
              </w:rPr>
            </w:pPr>
          </w:p>
        </w:tc>
        <w:tc>
          <w:tcPr>
            <w:tcW w:w="1766" w:type="dxa"/>
            <w:vMerge w:val="restart"/>
            <w:vAlign w:val="center"/>
          </w:tcPr>
          <w:p>
            <w:pPr>
              <w:widowControl w:val="0"/>
              <w:spacing w:line="0" w:lineRule="atLeast"/>
              <w:ind w:left="80"/>
              <w:jc w:val="both"/>
              <w:rPr>
                <w:rFonts w:ascii="仿宋_GB2312" w:hAnsi="仿宋_GB2312" w:eastAsia="仿宋_GB2312"/>
                <w:sz w:val="24"/>
              </w:rPr>
            </w:pPr>
            <w:r>
              <w:rPr>
                <w:rFonts w:ascii="仿宋_GB2312" w:hAnsi="仿宋_GB2312" w:eastAsia="仿宋_GB2312"/>
                <w:sz w:val="24"/>
              </w:rPr>
              <w:t>探索贫困地区</w:t>
            </w:r>
          </w:p>
          <w:p>
            <w:pPr>
              <w:widowControl w:val="0"/>
              <w:spacing w:line="0" w:lineRule="atLeast"/>
              <w:ind w:left="80" w:leftChars="0"/>
              <w:jc w:val="center"/>
              <w:rPr>
                <w:rFonts w:ascii="仿宋_GB2312" w:hAnsi="仿宋_GB2312" w:eastAsia="仿宋_GB2312"/>
                <w:sz w:val="24"/>
              </w:rPr>
            </w:pPr>
            <w:r>
              <w:rPr>
                <w:rFonts w:ascii="仿宋_GB2312" w:hAnsi="仿宋_GB2312" w:eastAsia="仿宋_GB2312"/>
                <w:sz w:val="24"/>
              </w:rPr>
              <w:t>低碳发展模式</w:t>
            </w:r>
          </w:p>
          <w:p>
            <w:pPr>
              <w:widowControl w:val="0"/>
              <w:spacing w:line="0" w:lineRule="atLeast"/>
              <w:ind w:left="80" w:leftChars="0"/>
              <w:jc w:val="center"/>
              <w:rPr>
                <w:rFonts w:ascii="仿宋_GB2312" w:hAnsi="仿宋_GB2312" w:eastAsia="仿宋_GB2312"/>
                <w:sz w:val="24"/>
              </w:rPr>
            </w:pPr>
          </w:p>
          <w:p>
            <w:pPr>
              <w:widowControl w:val="0"/>
              <w:spacing w:line="267" w:lineRule="exact"/>
              <w:ind w:left="80" w:leftChars="0"/>
              <w:jc w:val="center"/>
              <w:rPr>
                <w:rFonts w:ascii="仿宋_GB2312" w:hAnsi="仿宋_GB2312" w:eastAsia="仿宋_GB2312"/>
                <w:sz w:val="24"/>
              </w:rPr>
            </w:pPr>
          </w:p>
          <w:p>
            <w:pPr>
              <w:widowControl w:val="0"/>
              <w:spacing w:line="267" w:lineRule="exac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color w:val="000000"/>
                <w:sz w:val="24"/>
              </w:rPr>
              <w:t>结合《山西省主体功能区规划》，按照贫困地区的主体功能定位，突出绿色低碳理念，探索吕梁山、太行山连片特困地区低碳扶贫模式，促进贫困地区可持续发展。</w:t>
            </w:r>
          </w:p>
        </w:tc>
        <w:tc>
          <w:tcPr>
            <w:tcW w:w="1721"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扶贫办</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64" w:type="dxa"/>
            <w:vMerge w:val="continue"/>
            <w:vAlign w:val="center"/>
          </w:tcPr>
          <w:p>
            <w:pPr>
              <w:widowControl w:val="0"/>
              <w:spacing w:line="0" w:lineRule="atLeast"/>
              <w:jc w:val="center"/>
              <w:rPr>
                <w:rFonts w:hint="eastAsia" w:ascii="Times New Roman" w:hAnsi="Times New Roman"/>
                <w:sz w:val="24"/>
              </w:rPr>
            </w:pPr>
          </w:p>
        </w:tc>
        <w:tc>
          <w:tcPr>
            <w:tcW w:w="1766" w:type="dxa"/>
            <w:vMerge w:val="continue"/>
            <w:vAlign w:val="center"/>
          </w:tcPr>
          <w:p>
            <w:pPr>
              <w:widowControl w:val="0"/>
              <w:spacing w:line="0" w:lineRule="atLeas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以光照条件好的国定贫困县为重点，加快推进光伏扶贫。</w:t>
            </w: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扶贫办</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64" w:type="dxa"/>
            <w:vMerge w:val="continue"/>
            <w:vAlign w:val="center"/>
          </w:tcPr>
          <w:p>
            <w:pPr>
              <w:widowControl w:val="0"/>
              <w:spacing w:line="0" w:lineRule="atLeast"/>
              <w:jc w:val="center"/>
              <w:rPr>
                <w:rFonts w:ascii="Times New Roman" w:hAnsi="Times New Roman" w:eastAsia="Times New Roman"/>
                <w:sz w:val="24"/>
              </w:rPr>
            </w:pPr>
          </w:p>
        </w:tc>
        <w:tc>
          <w:tcPr>
            <w:tcW w:w="1766" w:type="dxa"/>
            <w:vMerge w:val="continue"/>
            <w:vAlign w:val="center"/>
          </w:tcPr>
          <w:p>
            <w:pPr>
              <w:widowControl w:val="0"/>
              <w:spacing w:line="267" w:lineRule="exac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以全国乡村旅游扶贫重点村为核心，科学利用原生态乡村环境、特色乡村文化等原生旅游资源，发展低碳旅游。</w:t>
            </w: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扶贫办</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旅发委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764" w:type="dxa"/>
            <w:vMerge w:val="continue"/>
            <w:vAlign w:val="center"/>
          </w:tcPr>
          <w:p>
            <w:pPr>
              <w:widowControl w:val="0"/>
              <w:spacing w:line="0" w:lineRule="atLeast"/>
              <w:jc w:val="center"/>
              <w:rPr>
                <w:rFonts w:ascii="Times New Roman" w:hAnsi="Times New Roman" w:eastAsia="Times New Roman"/>
                <w:sz w:val="24"/>
              </w:rPr>
            </w:pPr>
          </w:p>
        </w:tc>
        <w:tc>
          <w:tcPr>
            <w:tcW w:w="1766" w:type="dxa"/>
            <w:vMerge w:val="continue"/>
            <w:vAlign w:val="center"/>
          </w:tcPr>
          <w:p>
            <w:pPr>
              <w:widowControl w:val="0"/>
              <w:spacing w:line="267" w:lineRule="exac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结合易地扶贫搬迁，统筹规划搬迁新区（村）建设，</w:t>
            </w:r>
          </w:p>
          <w:p>
            <w:pPr>
              <w:widowControl w:val="0"/>
              <w:spacing w:line="0" w:lineRule="atLeast"/>
              <w:jc w:val="both"/>
              <w:rPr>
                <w:rFonts w:ascii="仿宋_GB2312" w:hAnsi="仿宋_GB2312" w:eastAsia="仿宋_GB2312"/>
                <w:sz w:val="24"/>
              </w:rPr>
            </w:pPr>
            <w:r>
              <w:rPr>
                <w:rFonts w:ascii="仿宋_GB2312" w:hAnsi="仿宋_GB2312" w:eastAsia="仿宋_GB2312"/>
                <w:sz w:val="24"/>
              </w:rPr>
              <w:t>注重后续产业发展，避免盲目接收高耗能、高污染产业转移，积极培植具有地方特色的绿色低碳产业体系。</w:t>
            </w: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扶贫办</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经信委</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住建</w:t>
            </w:r>
            <w:r>
              <w:rPr>
                <w:rFonts w:hint="eastAsia" w:ascii="仿宋_GB2312" w:hAnsi="仿宋_GB2312" w:eastAsia="仿宋_GB2312"/>
                <w:w w:val="99"/>
                <w:sz w:val="24"/>
              </w:rPr>
              <w:t>局</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 xml:space="preserve">市 </w:t>
            </w:r>
            <w:r>
              <w:rPr>
                <w:rFonts w:ascii="仿宋_GB2312" w:hAnsi="仿宋_GB2312" w:eastAsia="仿宋_GB2312"/>
                <w:w w:val="99"/>
                <w:sz w:val="24"/>
              </w:rPr>
              <w:t>农</w:t>
            </w:r>
            <w:r>
              <w:rPr>
                <w:rFonts w:hint="eastAsia" w:ascii="仿宋_GB2312" w:hAnsi="仿宋_GB2312" w:eastAsia="仿宋_GB2312"/>
                <w:w w:val="99"/>
                <w:sz w:val="24"/>
              </w:rPr>
              <w:t xml:space="preserve">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764" w:type="dxa"/>
            <w:vMerge w:val="continue"/>
            <w:vAlign w:val="center"/>
          </w:tcPr>
          <w:p>
            <w:pPr>
              <w:widowControl w:val="0"/>
              <w:spacing w:line="0" w:lineRule="atLeast"/>
              <w:jc w:val="center"/>
              <w:rPr>
                <w:rFonts w:ascii="Times New Roman" w:hAnsi="Times New Roman" w:eastAsia="Times New Roman"/>
                <w:sz w:val="24"/>
              </w:rPr>
            </w:pPr>
          </w:p>
        </w:tc>
        <w:tc>
          <w:tcPr>
            <w:tcW w:w="1766" w:type="dxa"/>
            <w:vMerge w:val="continue"/>
            <w:vAlign w:val="center"/>
          </w:tcPr>
          <w:p>
            <w:pPr>
              <w:widowControl w:val="0"/>
              <w:spacing w:line="267" w:lineRule="exact"/>
              <w:ind w:left="80" w:leftChars="0"/>
              <w:jc w:val="center"/>
              <w:rPr>
                <w:rFonts w:ascii="仿宋_GB2312" w:hAnsi="仿宋_GB2312" w:eastAsia="仿宋_GB2312"/>
                <w:sz w:val="24"/>
              </w:rPr>
            </w:pPr>
          </w:p>
        </w:tc>
        <w:tc>
          <w:tcPr>
            <w:tcW w:w="5409"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创新建立低碳发展与扶贫联动的工作机制，推动贫困地区积极与发达地区开展低碳产业和低碳技术合作。</w:t>
            </w:r>
          </w:p>
        </w:tc>
        <w:tc>
          <w:tcPr>
            <w:tcW w:w="1721"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扶贫办</w:t>
            </w:r>
          </w:p>
        </w:tc>
      </w:tr>
    </w:tbl>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tbl>
      <w:tblPr>
        <w:tblStyle w:val="4"/>
        <w:tblpPr w:leftFromText="180" w:rightFromText="180" w:vertAnchor="page" w:horzAnchor="page" w:tblpXSpec="center" w:tblpY="2025"/>
        <w:tblOverlap w:val="never"/>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841"/>
        <w:gridCol w:w="105"/>
        <w:gridCol w:w="5229"/>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6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946" w:type="dxa"/>
            <w:gridSpan w:val="2"/>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229"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21"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660" w:type="dxa"/>
            <w:gridSpan w:val="5"/>
            <w:vAlign w:val="center"/>
          </w:tcPr>
          <w:p>
            <w:pPr>
              <w:widowControl w:val="0"/>
              <w:jc w:val="both"/>
              <w:rPr>
                <w:rFonts w:hint="eastAsia" w:ascii="仿宋_GB2312" w:hAnsi="仿宋_GB2312" w:eastAsia="仿宋_GB2312"/>
                <w:sz w:val="24"/>
                <w:lang w:val="en-US" w:eastAsia="zh-CN"/>
              </w:rPr>
            </w:pPr>
          </w:p>
          <w:p>
            <w:pPr>
              <w:widowControl w:val="0"/>
              <w:spacing w:line="0" w:lineRule="atLeast"/>
              <w:ind w:left="80"/>
              <w:jc w:val="center"/>
              <w:rPr>
                <w:rFonts w:ascii="仿宋_GB2312" w:hAnsi="仿宋_GB2312" w:eastAsia="仿宋_GB2312"/>
                <w:sz w:val="24"/>
              </w:rPr>
            </w:pPr>
            <w:r>
              <w:rPr>
                <w:rFonts w:ascii="仿宋_GB2312" w:hAnsi="仿宋_GB2312" w:eastAsia="仿宋_GB2312"/>
                <w:b/>
                <w:sz w:val="24"/>
              </w:rPr>
              <w:t>积极参与碳排放权交易</w:t>
            </w:r>
          </w:p>
          <w:p>
            <w:pPr>
              <w:widowControl w:val="0"/>
              <w:spacing w:line="251" w:lineRule="exact"/>
              <w:jc w:val="both"/>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764" w:type="dxa"/>
            <w:vAlign w:val="center"/>
          </w:tcPr>
          <w:p>
            <w:pPr>
              <w:widowControl w:val="0"/>
              <w:spacing w:line="0" w:lineRule="atLeast"/>
              <w:jc w:val="center"/>
              <w:rPr>
                <w:rFonts w:hint="eastAsia" w:ascii="仿宋_GB2312" w:hAnsi="仿宋_GB2312" w:eastAsia="仿宋_GB2312"/>
                <w:sz w:val="24"/>
                <w:lang w:val="en-US" w:eastAsia="zh-CN"/>
              </w:rPr>
            </w:pPr>
            <w:r>
              <w:rPr>
                <w:rFonts w:ascii="Times New Roman" w:hAnsi="Times New Roman" w:eastAsia="Times New Roman"/>
                <w:w w:val="99"/>
                <w:sz w:val="24"/>
              </w:rPr>
              <w:t>18</w:t>
            </w:r>
          </w:p>
        </w:tc>
        <w:tc>
          <w:tcPr>
            <w:tcW w:w="1946" w:type="dxa"/>
            <w:gridSpan w:val="2"/>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建立碳排放权</w:t>
            </w:r>
          </w:p>
          <w:p>
            <w:pPr>
              <w:widowControl w:val="0"/>
              <w:spacing w:line="0" w:lineRule="atLeast"/>
              <w:ind w:left="80" w:leftChars="0"/>
              <w:jc w:val="center"/>
              <w:rPr>
                <w:rFonts w:ascii="仿宋_GB2312" w:hAnsi="仿宋_GB2312" w:eastAsia="仿宋_GB2312"/>
                <w:sz w:val="24"/>
              </w:rPr>
            </w:pPr>
            <w:r>
              <w:rPr>
                <w:rFonts w:ascii="仿宋_GB2312" w:hAnsi="仿宋_GB2312" w:eastAsia="仿宋_GB2312"/>
                <w:sz w:val="24"/>
              </w:rPr>
              <w:t>交易机制体制</w:t>
            </w:r>
          </w:p>
        </w:tc>
        <w:tc>
          <w:tcPr>
            <w:tcW w:w="5229" w:type="dxa"/>
            <w:vAlign w:val="center"/>
          </w:tcPr>
          <w:p>
            <w:pPr>
              <w:widowControl w:val="0"/>
              <w:spacing w:line="0" w:lineRule="atLeast"/>
              <w:jc w:val="left"/>
              <w:rPr>
                <w:rFonts w:ascii="仿宋_GB2312" w:hAnsi="仿宋_GB2312" w:eastAsia="仿宋_GB2312"/>
                <w:sz w:val="24"/>
              </w:rPr>
            </w:pPr>
            <w:r>
              <w:rPr>
                <w:rFonts w:ascii="仿宋_GB2312" w:hAnsi="仿宋_GB2312" w:eastAsia="仿宋_GB2312"/>
                <w:sz w:val="24"/>
              </w:rPr>
              <w:t>积极落实国家</w:t>
            </w:r>
            <w:r>
              <w:rPr>
                <w:rFonts w:hint="eastAsia" w:ascii="仿宋_GB2312" w:hAnsi="仿宋_GB2312" w:eastAsia="仿宋_GB2312"/>
                <w:sz w:val="24"/>
              </w:rPr>
              <w:t>、省</w:t>
            </w:r>
            <w:r>
              <w:rPr>
                <w:rFonts w:ascii="仿宋_GB2312" w:hAnsi="仿宋_GB2312" w:eastAsia="仿宋_GB2312"/>
                <w:sz w:val="24"/>
              </w:rPr>
              <w:t>碳排放权交易相关法律法规与管理办法。在山西省应对气候变化及节能减排工作领导小组的统一领导下，</w:t>
            </w:r>
            <w:r>
              <w:rPr>
                <w:rFonts w:hint="eastAsia" w:ascii="仿宋_GB2312" w:hAnsi="仿宋_GB2312" w:eastAsia="仿宋_GB2312"/>
                <w:sz w:val="24"/>
              </w:rPr>
              <w:t>逐步</w:t>
            </w:r>
            <w:r>
              <w:rPr>
                <w:rFonts w:ascii="仿宋_GB2312" w:hAnsi="仿宋_GB2312" w:eastAsia="仿宋_GB2312"/>
                <w:sz w:val="24"/>
              </w:rPr>
              <w:t>建立碳排放权交易领导机构和组织机制。将有关工作责任落实至</w:t>
            </w:r>
            <w:r>
              <w:rPr>
                <w:rFonts w:hint="eastAsia" w:ascii="仿宋_GB2312" w:hAnsi="仿宋_GB2312" w:eastAsia="仿宋_GB2312"/>
                <w:sz w:val="24"/>
              </w:rPr>
              <w:t>各县（市、区）</w:t>
            </w:r>
            <w:r>
              <w:rPr>
                <w:rFonts w:ascii="仿宋_GB2312" w:hAnsi="仿宋_GB2312" w:eastAsia="仿宋_GB2312"/>
                <w:sz w:val="24"/>
              </w:rPr>
              <w:t>人民政府和相关部门，各</w:t>
            </w:r>
            <w:r>
              <w:rPr>
                <w:rFonts w:hint="eastAsia" w:ascii="仿宋_GB2312" w:hAnsi="仿宋_GB2312" w:eastAsia="仿宋_GB2312"/>
                <w:sz w:val="24"/>
              </w:rPr>
              <w:t>县（市、区）、</w:t>
            </w:r>
            <w:r>
              <w:rPr>
                <w:rFonts w:ascii="仿宋_GB2312" w:hAnsi="仿宋_GB2312" w:eastAsia="仿宋_GB2312"/>
                <w:sz w:val="24"/>
              </w:rPr>
              <w:t>相关部门根据职责制定具体的工作实施方案，明确责任目标。</w:t>
            </w:r>
          </w:p>
        </w:tc>
        <w:tc>
          <w:tcPr>
            <w:tcW w:w="1721" w:type="dxa"/>
            <w:vAlign w:val="center"/>
          </w:tcPr>
          <w:p>
            <w:pPr>
              <w:widowControl w:val="0"/>
              <w:spacing w:line="0" w:lineRule="atLeast"/>
              <w:ind w:left="100"/>
              <w:jc w:val="center"/>
              <w:rPr>
                <w:rFonts w:hint="eastAsia" w:ascii="仿宋_GB2312" w:hAnsi="仿宋_GB2312" w:eastAsia="仿宋_GB2312"/>
                <w:sz w:val="24"/>
              </w:rPr>
            </w:pPr>
            <w:r>
              <w:rPr>
                <w:rFonts w:hint="eastAsia" w:ascii="仿宋_GB2312" w:hAnsi="仿宋_GB2312" w:eastAsia="仿宋_GB2312"/>
                <w:sz w:val="24"/>
              </w:rPr>
              <w:t>市发改委</w:t>
            </w:r>
          </w:p>
          <w:p>
            <w:pPr>
              <w:widowControl w:val="0"/>
              <w:spacing w:line="0" w:lineRule="atLeast"/>
              <w:ind w:left="100"/>
              <w:jc w:val="center"/>
              <w:rPr>
                <w:rFonts w:hint="eastAsia" w:ascii="仿宋_GB2312" w:hAnsi="仿宋_GB2312" w:eastAsia="仿宋_GB2312"/>
                <w:sz w:val="24"/>
              </w:rPr>
            </w:pPr>
            <w:r>
              <w:rPr>
                <w:rFonts w:hint="eastAsia" w:ascii="仿宋_GB2312" w:hAnsi="仿宋_GB2312" w:eastAsia="仿宋_GB2312"/>
                <w:sz w:val="24"/>
              </w:rPr>
              <w:t>各县（市、区）</w:t>
            </w:r>
          </w:p>
          <w:p>
            <w:pPr>
              <w:widowControl w:val="0"/>
              <w:spacing w:line="0" w:lineRule="atLeast"/>
              <w:ind w:left="100"/>
              <w:jc w:val="center"/>
              <w:rPr>
                <w:rFonts w:hint="eastAsia" w:ascii="仿宋_GB2312" w:hAnsi="仿宋_GB2312" w:eastAsia="仿宋_GB2312"/>
                <w:sz w:val="24"/>
              </w:rPr>
            </w:pPr>
            <w:r>
              <w:rPr>
                <w:rFonts w:hint="eastAsia" w:ascii="仿宋_GB2312" w:hAnsi="仿宋_GB2312" w:eastAsia="仿宋_GB2312"/>
                <w:sz w:val="24"/>
              </w:rPr>
              <w:t>人民政府</w:t>
            </w:r>
          </w:p>
          <w:p>
            <w:pPr>
              <w:widowControl w:val="0"/>
              <w:spacing w:line="0" w:lineRule="atLeast"/>
              <w:ind w:left="100"/>
              <w:jc w:val="center"/>
              <w:rPr>
                <w:rFonts w:ascii="仿宋_GB2312" w:hAnsi="仿宋_GB2312" w:eastAsia="仿宋_GB2312"/>
                <w:sz w:val="24"/>
              </w:rPr>
            </w:pPr>
            <w:r>
              <w:rPr>
                <w:rFonts w:hint="eastAsia" w:ascii="仿宋_GB2312" w:hAnsi="仿宋_GB2312" w:eastAsia="仿宋_GB2312"/>
                <w:sz w:val="24"/>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764" w:type="dxa"/>
            <w:vAlign w:val="center"/>
          </w:tcPr>
          <w:p>
            <w:pPr>
              <w:widowControl w:val="0"/>
              <w:spacing w:line="0" w:lineRule="atLeast"/>
              <w:jc w:val="center"/>
              <w:rPr>
                <w:rFonts w:hint="eastAsia" w:ascii="仿宋_GB2312" w:hAnsi="仿宋_GB2312" w:eastAsia="仿宋_GB2312"/>
                <w:sz w:val="24"/>
                <w:lang w:val="en-US" w:eastAsia="zh-CN"/>
              </w:rPr>
            </w:pPr>
            <w:r>
              <w:rPr>
                <w:rFonts w:ascii="Times New Roman" w:hAnsi="Times New Roman" w:eastAsia="Times New Roman"/>
                <w:w w:val="99"/>
                <w:sz w:val="24"/>
              </w:rPr>
              <w:t>19</w:t>
            </w:r>
          </w:p>
        </w:tc>
        <w:tc>
          <w:tcPr>
            <w:tcW w:w="1946" w:type="dxa"/>
            <w:gridSpan w:val="2"/>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开展企业碳排</w:t>
            </w:r>
          </w:p>
          <w:p>
            <w:pPr>
              <w:widowControl w:val="0"/>
              <w:spacing w:line="0" w:lineRule="atLeast"/>
              <w:jc w:val="both"/>
              <w:rPr>
                <w:rFonts w:ascii="仿宋_GB2312" w:hAnsi="仿宋_GB2312" w:eastAsia="仿宋_GB2312"/>
                <w:sz w:val="24"/>
              </w:rPr>
            </w:pPr>
            <w:r>
              <w:rPr>
                <w:rFonts w:ascii="仿宋_GB2312" w:hAnsi="仿宋_GB2312" w:eastAsia="仿宋_GB2312"/>
                <w:sz w:val="24"/>
              </w:rPr>
              <w:t>放监测、报告、</w:t>
            </w:r>
          </w:p>
          <w:p>
            <w:pPr>
              <w:widowControl w:val="0"/>
              <w:spacing w:line="0" w:lineRule="atLeast"/>
              <w:jc w:val="both"/>
              <w:rPr>
                <w:rFonts w:ascii="仿宋_GB2312" w:hAnsi="仿宋_GB2312" w:eastAsia="仿宋_GB2312"/>
                <w:sz w:val="24"/>
              </w:rPr>
            </w:pPr>
            <w:r>
              <w:rPr>
                <w:rFonts w:ascii="仿宋_GB2312" w:hAnsi="仿宋_GB2312" w:eastAsia="仿宋_GB2312"/>
                <w:sz w:val="24"/>
              </w:rPr>
              <w:t>核查和配额分配</w:t>
            </w:r>
          </w:p>
        </w:tc>
        <w:tc>
          <w:tcPr>
            <w:tcW w:w="5229" w:type="dxa"/>
            <w:vAlign w:val="center"/>
          </w:tcPr>
          <w:p>
            <w:pPr>
              <w:widowControl w:val="0"/>
              <w:spacing w:line="273" w:lineRule="exact"/>
              <w:jc w:val="both"/>
              <w:rPr>
                <w:rFonts w:ascii="仿宋_GB2312" w:hAnsi="仿宋_GB2312" w:eastAsia="仿宋_GB2312"/>
                <w:sz w:val="24"/>
              </w:rPr>
            </w:pPr>
            <w:r>
              <w:rPr>
                <w:rFonts w:hint="eastAsia" w:ascii="仿宋_GB2312" w:hAnsi="仿宋_GB2312" w:eastAsia="仿宋_GB2312"/>
                <w:sz w:val="24"/>
              </w:rPr>
              <w:t>组织我市参与全国碳排放权交易企业开展碳排放监测、报告与核查，配合省探索开展其他重点行业企业碳排放报告与核查工作。在省碳排放权交易市场配额分配工作统一部署下，积极开展我市配额分配</w:t>
            </w:r>
            <w:r>
              <w:rPr>
                <w:rFonts w:ascii="仿宋_GB2312" w:hAnsi="仿宋_GB2312" w:eastAsia="仿宋_GB2312"/>
                <w:sz w:val="24"/>
              </w:rPr>
              <w:t>工作。</w:t>
            </w:r>
          </w:p>
        </w:tc>
        <w:tc>
          <w:tcPr>
            <w:tcW w:w="1721" w:type="dxa"/>
            <w:vAlign w:val="center"/>
          </w:tcPr>
          <w:p>
            <w:pPr>
              <w:widowControl w:val="0"/>
              <w:spacing w:line="273" w:lineRule="exact"/>
              <w:jc w:val="center"/>
              <w:rPr>
                <w:rFonts w:hint="eastAsia" w:ascii="仿宋_GB2312" w:hAnsi="仿宋_GB2312" w:eastAsia="仿宋_GB2312"/>
                <w:sz w:val="24"/>
              </w:rPr>
            </w:pPr>
          </w:p>
          <w:p>
            <w:pPr>
              <w:widowControl w:val="0"/>
              <w:spacing w:line="273" w:lineRule="exact"/>
              <w:jc w:val="center"/>
              <w:rPr>
                <w:rFonts w:hint="eastAsia" w:ascii="仿宋_GB2312" w:hAnsi="仿宋_GB2312" w:eastAsia="仿宋_GB2312"/>
                <w:sz w:val="24"/>
              </w:rPr>
            </w:pPr>
          </w:p>
          <w:p>
            <w:pPr>
              <w:widowControl w:val="0"/>
              <w:spacing w:line="273" w:lineRule="exact"/>
              <w:jc w:val="center"/>
              <w:rPr>
                <w:rFonts w:hint="eastAsia" w:ascii="仿宋_GB2312" w:hAnsi="仿宋_GB2312" w:eastAsia="仿宋_GB2312"/>
                <w:sz w:val="24"/>
              </w:rPr>
            </w:pPr>
            <w:r>
              <w:rPr>
                <w:rFonts w:hint="eastAsia" w:ascii="仿宋_GB2312" w:hAnsi="仿宋_GB2312" w:eastAsia="仿宋_GB2312"/>
                <w:sz w:val="24"/>
              </w:rPr>
              <w:t>市发改委</w:t>
            </w:r>
          </w:p>
          <w:p>
            <w:pPr>
              <w:widowControl w:val="0"/>
              <w:spacing w:line="273" w:lineRule="exact"/>
              <w:jc w:val="center"/>
              <w:rPr>
                <w:rFonts w:hint="eastAsia" w:ascii="仿宋_GB2312" w:hAnsi="仿宋_GB2312" w:eastAsia="仿宋_GB2312"/>
                <w:sz w:val="24"/>
              </w:rPr>
            </w:pPr>
            <w:r>
              <w:rPr>
                <w:rFonts w:hint="eastAsia" w:ascii="仿宋_GB2312" w:hAnsi="仿宋_GB2312" w:eastAsia="仿宋_GB2312"/>
                <w:sz w:val="24"/>
              </w:rPr>
              <w:t>市统计局</w:t>
            </w:r>
          </w:p>
          <w:p>
            <w:pPr>
              <w:widowControl w:val="0"/>
              <w:spacing w:line="273" w:lineRule="exact"/>
              <w:jc w:val="center"/>
              <w:rPr>
                <w:rFonts w:hint="eastAsia" w:ascii="仿宋_GB2312" w:hAnsi="仿宋_GB2312" w:eastAsia="仿宋_GB2312"/>
                <w:sz w:val="24"/>
              </w:rPr>
            </w:pPr>
          </w:p>
          <w:p>
            <w:pPr>
              <w:widowControl w:val="0"/>
              <w:spacing w:line="0" w:lineRule="atLeast"/>
              <w:jc w:val="center"/>
              <w:rPr>
                <w:rFonts w:ascii="仿宋_GB2312" w:hAns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764" w:type="dxa"/>
            <w:vAlign w:val="center"/>
          </w:tcPr>
          <w:p>
            <w:pPr>
              <w:widowControl w:val="0"/>
              <w:spacing w:line="0" w:lineRule="atLeast"/>
              <w:jc w:val="center"/>
              <w:rPr>
                <w:rFonts w:ascii="Times New Roman" w:hAnsi="Times New Roman" w:eastAsia="Times New Roman"/>
                <w:color w:val="000000"/>
                <w:sz w:val="24"/>
              </w:rPr>
            </w:pPr>
            <w:r>
              <w:rPr>
                <w:rFonts w:ascii="Times New Roman" w:hAnsi="Times New Roman" w:eastAsia="Times New Roman"/>
                <w:color w:val="000000"/>
                <w:w w:val="99"/>
                <w:sz w:val="24"/>
              </w:rPr>
              <w:t>20</w:t>
            </w:r>
          </w:p>
        </w:tc>
        <w:tc>
          <w:tcPr>
            <w:tcW w:w="1946" w:type="dxa"/>
            <w:gridSpan w:val="2"/>
            <w:vAlign w:val="center"/>
          </w:tcPr>
          <w:p>
            <w:pPr>
              <w:widowControl w:val="0"/>
              <w:spacing w:line="0" w:lineRule="atLeast"/>
              <w:jc w:val="center"/>
              <w:rPr>
                <w:rFonts w:ascii="仿宋_GB2312" w:hAnsi="仿宋_GB2312" w:eastAsia="仿宋_GB2312"/>
                <w:color w:val="000000"/>
                <w:sz w:val="24"/>
              </w:rPr>
            </w:pPr>
            <w:r>
              <w:rPr>
                <w:rFonts w:ascii="仿宋_GB2312" w:hAnsi="仿宋_GB2312" w:eastAsia="仿宋_GB2312"/>
                <w:color w:val="000000"/>
                <w:sz w:val="24"/>
              </w:rPr>
              <w:t>加强碳排放权</w:t>
            </w:r>
          </w:p>
          <w:p>
            <w:pPr>
              <w:widowControl w:val="0"/>
              <w:spacing w:line="0" w:lineRule="atLeast"/>
              <w:jc w:val="center"/>
              <w:rPr>
                <w:rFonts w:ascii="仿宋_GB2312" w:hAnsi="仿宋_GB2312" w:eastAsia="仿宋_GB2312"/>
                <w:color w:val="000000"/>
                <w:sz w:val="24"/>
              </w:rPr>
            </w:pPr>
            <w:r>
              <w:rPr>
                <w:rFonts w:ascii="仿宋_GB2312" w:hAnsi="仿宋_GB2312" w:eastAsia="仿宋_GB2312"/>
                <w:color w:val="000000"/>
                <w:sz w:val="24"/>
              </w:rPr>
              <w:t>交易能力建设</w:t>
            </w:r>
          </w:p>
        </w:tc>
        <w:tc>
          <w:tcPr>
            <w:tcW w:w="5229" w:type="dxa"/>
            <w:vAlign w:val="bottom"/>
          </w:tcPr>
          <w:p>
            <w:pPr>
              <w:widowControl w:val="0"/>
              <w:spacing w:line="0" w:lineRule="atLeast"/>
              <w:jc w:val="both"/>
              <w:rPr>
                <w:rFonts w:hint="eastAsia" w:ascii="仿宋_GB2312" w:hAnsi="Helvetica" w:eastAsia="仿宋_GB2312"/>
                <w:color w:val="000000"/>
                <w:sz w:val="24"/>
                <w:szCs w:val="24"/>
              </w:rPr>
            </w:pPr>
          </w:p>
          <w:p>
            <w:pPr>
              <w:widowControl w:val="0"/>
              <w:spacing w:line="0" w:lineRule="atLeast"/>
              <w:ind w:left="100"/>
              <w:jc w:val="both"/>
              <w:rPr>
                <w:rFonts w:hint="eastAsia" w:ascii="仿宋_GB2312" w:hAnsi="Helvetica" w:eastAsia="仿宋_GB2312"/>
                <w:color w:val="000000"/>
                <w:sz w:val="24"/>
                <w:szCs w:val="24"/>
              </w:rPr>
            </w:pPr>
            <w:r>
              <w:rPr>
                <w:rFonts w:hint="eastAsia" w:ascii="仿宋_GB2312" w:hAnsi="Helvetica" w:eastAsia="仿宋_GB2312"/>
                <w:color w:val="000000"/>
                <w:sz w:val="24"/>
                <w:szCs w:val="24"/>
              </w:rPr>
              <w:t>积极开展碳排放权交易基础工作，加大对企业碳放核查力度。针对碳排放权交易主管部门、参与企排业、第三方核查机构、相关技术支撑机构等不同对象,深入开展多层次、针对性强的能力建设培训活动,提高各方对碳排放权交易的认识水平和参与能力。在省统一部署下，积极推进我市碳交易企业加快完善碳排放数据统计,加强企业碳排放管理体系建设,强化企业碳排放管理。开展碳排放权交易相关知识宣传,为碳排放权交易市场运行营造良好的社会氛围。探索开展碳普惠制、碳积分交易等碳交易机制创新和试点示范。</w:t>
            </w:r>
          </w:p>
          <w:p>
            <w:pPr>
              <w:widowControl w:val="0"/>
              <w:spacing w:line="0" w:lineRule="atLeast"/>
              <w:ind w:left="100" w:leftChars="0"/>
              <w:jc w:val="both"/>
              <w:rPr>
                <w:rFonts w:ascii="仿宋_GB2312" w:hAnsi="仿宋_GB2312" w:eastAsia="仿宋_GB2312"/>
                <w:color w:val="000000"/>
                <w:sz w:val="24"/>
              </w:rPr>
            </w:pPr>
          </w:p>
        </w:tc>
        <w:tc>
          <w:tcPr>
            <w:tcW w:w="1721" w:type="dxa"/>
            <w:vAlign w:val="center"/>
          </w:tcPr>
          <w:p>
            <w:pPr>
              <w:widowControl w:val="0"/>
              <w:spacing w:line="273" w:lineRule="exact"/>
              <w:jc w:val="center"/>
              <w:rPr>
                <w:rFonts w:hint="eastAsia" w:ascii="仿宋_GB2312" w:hAnsi="仿宋_GB2312" w:eastAsia="仿宋_GB2312"/>
                <w:sz w:val="24"/>
              </w:rPr>
            </w:pPr>
            <w:r>
              <w:rPr>
                <w:rFonts w:hint="eastAsia" w:ascii="仿宋_GB2312" w:hAnsi="仿宋_GB2312" w:eastAsia="仿宋_GB2312"/>
                <w:sz w:val="24"/>
              </w:rPr>
              <w:t>市发改委</w:t>
            </w:r>
          </w:p>
          <w:p>
            <w:pPr>
              <w:widowControl w:val="0"/>
              <w:spacing w:line="273" w:lineRule="exact"/>
              <w:jc w:val="center"/>
              <w:rPr>
                <w:rFonts w:hint="eastAsia" w:ascii="仿宋_GB2312" w:hAnsi="仿宋_GB2312" w:eastAsia="仿宋_GB2312"/>
                <w:sz w:val="24"/>
              </w:rPr>
            </w:pPr>
            <w:r>
              <w:rPr>
                <w:rFonts w:hint="eastAsia" w:ascii="仿宋_GB2312" w:hAnsi="仿宋_GB2312" w:eastAsia="仿宋_GB2312"/>
                <w:sz w:val="24"/>
              </w:rPr>
              <w:t>市统计局</w:t>
            </w:r>
          </w:p>
          <w:p>
            <w:pPr>
              <w:widowControl w:val="0"/>
              <w:spacing w:line="273" w:lineRule="exact"/>
              <w:jc w:val="center"/>
              <w:rPr>
                <w:rFonts w:hint="eastAsia" w:ascii="仿宋_GB2312" w:hAnsi="仿宋_GB2312" w:eastAsia="仿宋_GB2312"/>
                <w:sz w:val="24"/>
              </w:rPr>
            </w:pPr>
            <w:r>
              <w:rPr>
                <w:rFonts w:hint="eastAsia" w:ascii="仿宋_GB2312" w:hAnsi="仿宋_GB2312" w:eastAsia="仿宋_GB2312"/>
                <w:sz w:val="24"/>
              </w:rPr>
              <w:t>市经信委</w:t>
            </w:r>
          </w:p>
          <w:p>
            <w:pPr>
              <w:widowControl w:val="0"/>
              <w:spacing w:line="0" w:lineRule="atLeast"/>
              <w:jc w:val="center"/>
              <w:rPr>
                <w:rFonts w:ascii="仿宋_GB2312" w:hAns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9660" w:type="dxa"/>
            <w:gridSpan w:val="5"/>
            <w:vAlign w:val="center"/>
          </w:tcPr>
          <w:p>
            <w:pPr>
              <w:widowControl w:val="0"/>
              <w:spacing w:line="0" w:lineRule="atLeast"/>
              <w:jc w:val="center"/>
              <w:rPr>
                <w:rFonts w:ascii="仿宋_GB2312" w:hAnsi="仿宋_GB2312" w:eastAsia="仿宋_GB2312"/>
                <w:sz w:val="24"/>
              </w:rPr>
            </w:pPr>
            <w:r>
              <w:rPr>
                <w:rFonts w:ascii="仿宋_GB2312" w:hAnsi="仿宋_GB2312" w:eastAsia="仿宋_GB2312"/>
                <w:b/>
                <w:sz w:val="24"/>
              </w:rPr>
              <w:t>着力强化基础能力建设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64" w:type="dxa"/>
            <w:vAlign w:val="center"/>
          </w:tcPr>
          <w:p>
            <w:pPr>
              <w:widowControl w:val="0"/>
              <w:spacing w:line="0" w:lineRule="atLeast"/>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21</w:t>
            </w:r>
          </w:p>
        </w:tc>
        <w:tc>
          <w:tcPr>
            <w:tcW w:w="1841" w:type="dxa"/>
            <w:vAlign w:val="center"/>
          </w:tcPr>
          <w:p>
            <w:pPr>
              <w:widowControl w:val="0"/>
              <w:spacing w:line="0" w:lineRule="atLeast"/>
              <w:jc w:val="center"/>
              <w:rPr>
                <w:rFonts w:hint="eastAsia" w:ascii="仿宋_GB2312" w:hAnsi="仿宋_GB2312" w:eastAsia="仿宋_GB2312" w:cs="仿宋_GB2312"/>
                <w:sz w:val="22"/>
                <w:lang w:eastAsia="zh-CN"/>
              </w:rPr>
            </w:pPr>
            <w:r>
              <w:rPr>
                <w:rFonts w:hint="eastAsia" w:ascii="仿宋_GB2312" w:hAnsi="仿宋_GB2312" w:eastAsia="仿宋_GB2312" w:cs="仿宋_GB2312"/>
                <w:sz w:val="22"/>
                <w:lang w:eastAsia="zh-CN"/>
              </w:rPr>
              <w:t>完善低碳发展</w:t>
            </w:r>
          </w:p>
          <w:p>
            <w:pPr>
              <w:widowControl w:val="0"/>
              <w:spacing w:line="0" w:lineRule="atLeast"/>
              <w:jc w:val="center"/>
              <w:rPr>
                <w:rFonts w:hint="eastAsia" w:ascii="仿宋_GB2312" w:hAnsi="仿宋_GB2312" w:eastAsia="仿宋_GB2312"/>
                <w:sz w:val="24"/>
                <w:lang w:eastAsia="zh-CN"/>
              </w:rPr>
            </w:pPr>
            <w:r>
              <w:rPr>
                <w:rFonts w:hint="eastAsia" w:ascii="仿宋_GB2312" w:hAnsi="仿宋_GB2312" w:eastAsia="仿宋_GB2312" w:cs="仿宋_GB2312"/>
                <w:sz w:val="22"/>
                <w:lang w:eastAsia="zh-CN"/>
              </w:rPr>
              <w:t>政策体系</w:t>
            </w:r>
          </w:p>
        </w:tc>
        <w:tc>
          <w:tcPr>
            <w:tcW w:w="5334" w:type="dxa"/>
            <w:gridSpan w:val="2"/>
            <w:vAlign w:val="bottom"/>
          </w:tcPr>
          <w:p>
            <w:pPr>
              <w:widowControl w:val="0"/>
              <w:spacing w:line="262" w:lineRule="exact"/>
              <w:jc w:val="both"/>
              <w:rPr>
                <w:rFonts w:hint="eastAsia" w:ascii="仿宋_GB2312" w:hAnsi="仿宋_GB2312" w:eastAsia="仿宋_GB2312"/>
                <w:sz w:val="24"/>
              </w:rPr>
            </w:pPr>
          </w:p>
          <w:p>
            <w:pPr>
              <w:widowControl w:val="0"/>
              <w:spacing w:line="262" w:lineRule="exact"/>
              <w:jc w:val="both"/>
              <w:rPr>
                <w:rFonts w:ascii="仿宋_GB2312" w:hAnsi="仿宋_GB2312" w:eastAsia="仿宋_GB2312"/>
                <w:sz w:val="24"/>
              </w:rPr>
            </w:pPr>
            <w:r>
              <w:rPr>
                <w:rFonts w:ascii="仿宋_GB2312" w:hAnsi="仿宋_GB2312" w:eastAsia="仿宋_GB2312"/>
                <w:sz w:val="24"/>
              </w:rPr>
              <w:t>充分发挥政府示范引领作用，积极发挥政府采购政策功能，鼓励优先或强制采购节能、环保、低碳等绿色产品。</w:t>
            </w:r>
          </w:p>
          <w:p>
            <w:pPr>
              <w:widowControl w:val="0"/>
              <w:spacing w:line="273" w:lineRule="exact"/>
              <w:jc w:val="both"/>
              <w:rPr>
                <w:rFonts w:ascii="仿宋_GB2312" w:hAnsi="仿宋_GB2312" w:eastAsia="仿宋_GB2312"/>
                <w:sz w:val="24"/>
              </w:rPr>
            </w:pPr>
          </w:p>
        </w:tc>
        <w:tc>
          <w:tcPr>
            <w:tcW w:w="1721" w:type="dxa"/>
            <w:vAlign w:val="center"/>
          </w:tcPr>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财政</w:t>
            </w:r>
            <w:r>
              <w:rPr>
                <w:rFonts w:hint="eastAsia" w:ascii="仿宋_GB2312" w:hAnsi="仿宋_GB2312" w:eastAsia="仿宋_GB2312"/>
                <w:w w:val="99"/>
                <w:sz w:val="24"/>
              </w:rPr>
              <w:t>局</w:t>
            </w:r>
          </w:p>
        </w:tc>
      </w:tr>
    </w:tbl>
    <w:tbl>
      <w:tblPr>
        <w:tblStyle w:val="4"/>
        <w:tblpPr w:leftFromText="180" w:rightFromText="180" w:vertAnchor="page" w:horzAnchor="page" w:tblpXSpec="center" w:tblpY="2158"/>
        <w:tblOverlap w:val="never"/>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973"/>
        <w:gridCol w:w="5246"/>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69"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973"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246"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732"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69" w:type="dxa"/>
            <w:vMerge w:val="restart"/>
            <w:vAlign w:val="center"/>
          </w:tcPr>
          <w:p>
            <w:pPr>
              <w:widowControl w:val="0"/>
              <w:spacing w:line="0" w:lineRule="atLeast"/>
              <w:jc w:val="center"/>
              <w:rPr>
                <w:rFonts w:hint="eastAsia" w:ascii="仿宋_GB2312" w:hAnsi="仿宋_GB2312" w:eastAsia="仿宋_GB2312"/>
                <w:sz w:val="24"/>
                <w:lang w:val="en-US" w:eastAsia="zh-CN"/>
              </w:rPr>
            </w:pPr>
          </w:p>
        </w:tc>
        <w:tc>
          <w:tcPr>
            <w:tcW w:w="1973" w:type="dxa"/>
            <w:vMerge w:val="restart"/>
            <w:vAlign w:val="center"/>
          </w:tcPr>
          <w:p>
            <w:pPr>
              <w:widowControl w:val="0"/>
              <w:spacing w:line="0" w:lineRule="atLeast"/>
              <w:ind w:left="80" w:leftChars="0"/>
              <w:jc w:val="center"/>
              <w:rPr>
                <w:rFonts w:ascii="仿宋_GB2312" w:hAnsi="仿宋_GB2312" w:eastAsia="仿宋_GB2312"/>
                <w:sz w:val="24"/>
              </w:rPr>
            </w:pPr>
          </w:p>
        </w:tc>
        <w:tc>
          <w:tcPr>
            <w:tcW w:w="5246" w:type="dxa"/>
            <w:vAlign w:val="center"/>
          </w:tcPr>
          <w:p>
            <w:pPr>
              <w:widowControl w:val="0"/>
              <w:spacing w:line="0" w:lineRule="atLeast"/>
              <w:jc w:val="left"/>
              <w:rPr>
                <w:rFonts w:ascii="仿宋_GB2312" w:hAnsi="仿宋_GB2312" w:eastAsia="仿宋_GB2312"/>
                <w:sz w:val="24"/>
              </w:rPr>
            </w:pPr>
            <w:r>
              <w:rPr>
                <w:rFonts w:ascii="仿宋_GB2312" w:hAnsi="仿宋_GB2312" w:eastAsia="仿宋_GB2312"/>
                <w:sz w:val="24"/>
              </w:rPr>
              <w:t>推动形成能源价格联动机制，理顺煤炭、煤层气价格变动对电力、热力的关系。</w:t>
            </w:r>
          </w:p>
        </w:tc>
        <w:tc>
          <w:tcPr>
            <w:tcW w:w="1732"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lang w:eastAsia="zh-CN"/>
              </w:rPr>
            </w:pPr>
            <w:r>
              <w:rPr>
                <w:rFonts w:hint="eastAsia" w:ascii="仿宋_GB2312" w:hAnsi="仿宋_GB2312" w:eastAsia="仿宋_GB2312"/>
                <w:w w:val="99"/>
                <w:sz w:val="24"/>
                <w:lang w:eastAsia="zh-CN"/>
              </w:rPr>
              <w:t>忻州供电公司</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市煤炭局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69" w:type="dxa"/>
            <w:vMerge w:val="continue"/>
            <w:vAlign w:val="center"/>
          </w:tcPr>
          <w:p>
            <w:pPr>
              <w:widowControl w:val="0"/>
              <w:spacing w:line="0" w:lineRule="atLeast"/>
              <w:jc w:val="center"/>
              <w:rPr>
                <w:rFonts w:hint="eastAsia" w:ascii="仿宋_GB2312" w:hAnsi="仿宋_GB2312" w:eastAsia="仿宋_GB2312"/>
                <w:sz w:val="24"/>
                <w:lang w:val="en-US" w:eastAsia="zh-CN"/>
              </w:rPr>
            </w:pPr>
          </w:p>
        </w:tc>
        <w:tc>
          <w:tcPr>
            <w:tcW w:w="1973" w:type="dxa"/>
            <w:vMerge w:val="continue"/>
            <w:vAlign w:val="center"/>
          </w:tcPr>
          <w:p>
            <w:pPr>
              <w:widowControl w:val="0"/>
              <w:spacing w:line="0" w:lineRule="atLeast"/>
              <w:jc w:val="both"/>
              <w:rPr>
                <w:rFonts w:ascii="仿宋_GB2312" w:hAnsi="仿宋_GB2312" w:eastAsia="仿宋_GB2312"/>
                <w:sz w:val="24"/>
              </w:rPr>
            </w:pPr>
          </w:p>
        </w:tc>
        <w:tc>
          <w:tcPr>
            <w:tcW w:w="5246" w:type="dxa"/>
            <w:vAlign w:val="center"/>
          </w:tcPr>
          <w:p>
            <w:pPr>
              <w:widowControl w:val="0"/>
              <w:spacing w:line="273" w:lineRule="exact"/>
              <w:jc w:val="both"/>
              <w:rPr>
                <w:rFonts w:ascii="仿宋_GB2312" w:hAnsi="仿宋_GB2312" w:eastAsia="仿宋_GB2312"/>
                <w:sz w:val="24"/>
              </w:rPr>
            </w:pPr>
            <w:r>
              <w:rPr>
                <w:rFonts w:ascii="仿宋_GB2312" w:hAnsi="仿宋_GB2312" w:eastAsia="仿宋_GB2312"/>
                <w:sz w:val="24"/>
              </w:rPr>
              <w:t>建立区域低碳发展协作联动机制，推动各市低碳联动发展。探索建立碳排放控制与大气污染防治协同联动工作机制。</w:t>
            </w:r>
          </w:p>
        </w:tc>
        <w:tc>
          <w:tcPr>
            <w:tcW w:w="1732" w:type="dxa"/>
            <w:vAlign w:val="center"/>
          </w:tcPr>
          <w:p>
            <w:pPr>
              <w:widowControl w:val="0"/>
              <w:spacing w:line="0" w:lineRule="atLeast"/>
              <w:jc w:val="center"/>
              <w:rPr>
                <w:rFonts w:hint="eastAsia" w:ascii="仿宋_GB2312" w:hAnsi="仿宋_GB2312" w:eastAsia="仿宋_GB2312"/>
                <w:w w:val="99"/>
                <w:sz w:val="24"/>
              </w:rPr>
            </w:pP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市环保局</w:t>
            </w:r>
          </w:p>
          <w:p>
            <w:pPr>
              <w:widowControl w:val="0"/>
              <w:spacing w:line="0" w:lineRule="atLeast"/>
              <w:jc w:val="center"/>
              <w:rPr>
                <w:rFonts w:hint="eastAsia" w:ascii="仿宋_GB2312" w:hAnsi="仿宋_GB2312" w:eastAsia="仿宋_GB2312"/>
                <w:w w:val="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769" w:type="dxa"/>
            <w:vAlign w:val="center"/>
          </w:tcPr>
          <w:p>
            <w:pPr>
              <w:widowControl w:val="0"/>
              <w:spacing w:line="0" w:lineRule="atLeast"/>
              <w:jc w:val="center"/>
              <w:rPr>
                <w:rFonts w:hint="eastAsia" w:ascii="Times New Roman" w:hAnsi="Times New Roman" w:eastAsia="宋体"/>
                <w:color w:val="000000"/>
                <w:sz w:val="24"/>
                <w:lang w:val="en-US" w:eastAsia="zh-CN"/>
              </w:rPr>
            </w:pPr>
            <w:r>
              <w:rPr>
                <w:rFonts w:hint="eastAsia" w:ascii="Times New Roman" w:hAnsi="Times New Roman" w:eastAsia="宋体"/>
                <w:color w:val="000000"/>
                <w:sz w:val="24"/>
                <w:lang w:val="en-US" w:eastAsia="zh-CN"/>
              </w:rPr>
              <w:t>22</w:t>
            </w:r>
          </w:p>
        </w:tc>
        <w:tc>
          <w:tcPr>
            <w:tcW w:w="1973" w:type="dxa"/>
            <w:vAlign w:val="center"/>
          </w:tcPr>
          <w:p>
            <w:pPr>
              <w:widowControl w:val="0"/>
              <w:spacing w:line="0" w:lineRule="atLeast"/>
              <w:jc w:val="center"/>
              <w:rPr>
                <w:rFonts w:ascii="仿宋_GB2312" w:hAnsi="仿宋_GB2312" w:eastAsia="仿宋_GB2312"/>
                <w:color w:val="000000"/>
                <w:sz w:val="24"/>
              </w:rPr>
            </w:pPr>
            <w:r>
              <w:rPr>
                <w:rFonts w:ascii="仿宋_GB2312" w:hAnsi="仿宋_GB2312" w:eastAsia="仿宋_GB2312"/>
                <w:sz w:val="24"/>
              </w:rPr>
              <w:t>建立温室气体排放信息披露制度</w:t>
            </w:r>
          </w:p>
        </w:tc>
        <w:tc>
          <w:tcPr>
            <w:tcW w:w="5246" w:type="dxa"/>
            <w:vAlign w:val="center"/>
          </w:tcPr>
          <w:p>
            <w:pPr>
              <w:widowControl w:val="0"/>
              <w:spacing w:line="273" w:lineRule="exact"/>
              <w:jc w:val="both"/>
              <w:rPr>
                <w:rFonts w:ascii="仿宋_GB2312" w:hAnsi="仿宋_GB2312" w:eastAsia="仿宋_GB2312"/>
                <w:color w:val="000000"/>
                <w:sz w:val="24"/>
              </w:rPr>
            </w:pPr>
            <w:r>
              <w:rPr>
                <w:rFonts w:hint="eastAsia" w:ascii="仿宋_GB2312" w:hAnsi="仿宋_GB2312" w:eastAsia="仿宋_GB2312"/>
                <w:sz w:val="24"/>
              </w:rPr>
              <w:t>配合省</w:t>
            </w:r>
            <w:r>
              <w:rPr>
                <w:rFonts w:ascii="仿宋_GB2312" w:hAnsi="仿宋_GB2312" w:eastAsia="仿宋_GB2312"/>
                <w:sz w:val="24"/>
              </w:rPr>
              <w:t>探索建立企业温室气体排放信息披露制度，鼓励我</w:t>
            </w:r>
            <w:r>
              <w:rPr>
                <w:rFonts w:hint="eastAsia" w:ascii="仿宋_GB2312" w:hAnsi="仿宋_GB2312" w:eastAsia="仿宋_GB2312"/>
                <w:sz w:val="24"/>
              </w:rPr>
              <w:t>市</w:t>
            </w:r>
            <w:r>
              <w:rPr>
                <w:rFonts w:ascii="仿宋_GB2312" w:hAnsi="仿宋_GB2312" w:eastAsia="仿宋_GB2312"/>
                <w:sz w:val="24"/>
              </w:rPr>
              <w:t>国有企业、上市公司、纳入碳排放权交易市场的企业率先公开温室气体排放信息和控排行动，鼓励其他企业主动公开温室气体排放信息。</w:t>
            </w:r>
          </w:p>
        </w:tc>
        <w:tc>
          <w:tcPr>
            <w:tcW w:w="1732"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769" w:type="dxa"/>
            <w:vAlign w:val="center"/>
          </w:tcPr>
          <w:p>
            <w:pPr>
              <w:widowControl w:val="0"/>
              <w:spacing w:line="0" w:lineRule="atLeast"/>
              <w:jc w:val="center"/>
              <w:rPr>
                <w:rFonts w:hint="eastAsia" w:ascii="Times New Roman" w:hAnsi="Times New Roman" w:eastAsia="宋体"/>
                <w:sz w:val="24"/>
                <w:lang w:val="en-US" w:eastAsia="zh-CN"/>
              </w:rPr>
            </w:pPr>
            <w:r>
              <w:rPr>
                <w:rFonts w:hint="eastAsia" w:ascii="Times New Roman" w:hAnsi="Times New Roman" w:eastAsia="宋体"/>
                <w:sz w:val="24"/>
                <w:lang w:val="en-US" w:eastAsia="zh-CN"/>
              </w:rPr>
              <w:t>23</w:t>
            </w:r>
          </w:p>
        </w:tc>
        <w:tc>
          <w:tcPr>
            <w:tcW w:w="1973" w:type="dxa"/>
            <w:vAlign w:val="center"/>
          </w:tcPr>
          <w:p>
            <w:pPr>
              <w:widowControl w:val="0"/>
              <w:spacing w:line="263" w:lineRule="exact"/>
              <w:jc w:val="center"/>
              <w:rPr>
                <w:rFonts w:ascii="仿宋_GB2312" w:hAnsi="仿宋_GB2312" w:eastAsia="仿宋_GB2312"/>
                <w:sz w:val="24"/>
              </w:rPr>
            </w:pPr>
            <w:r>
              <w:rPr>
                <w:rFonts w:ascii="仿宋_GB2312" w:hAnsi="仿宋_GB2312" w:eastAsia="仿宋_GB2312"/>
                <w:sz w:val="24"/>
              </w:rPr>
              <w:t>加强温室气体排放统计与核算</w:t>
            </w:r>
          </w:p>
        </w:tc>
        <w:tc>
          <w:tcPr>
            <w:tcW w:w="5246" w:type="dxa"/>
            <w:vAlign w:val="center"/>
          </w:tcPr>
          <w:p>
            <w:pPr>
              <w:widowControl w:val="0"/>
              <w:spacing w:line="0" w:lineRule="atLeast"/>
              <w:jc w:val="left"/>
              <w:rPr>
                <w:rFonts w:ascii="仿宋_GB2312" w:hAnsi="仿宋_GB2312" w:eastAsia="仿宋_GB2312"/>
                <w:sz w:val="24"/>
              </w:rPr>
            </w:pPr>
            <w:r>
              <w:rPr>
                <w:rFonts w:ascii="仿宋_GB2312" w:hAnsi="仿宋_GB2312" w:eastAsia="仿宋_GB2312"/>
                <w:sz w:val="24"/>
              </w:rPr>
              <w:t>进一步加强应对气候变化统计工作，完善应对气候变化统计指标体系，贯彻落实全省能源统计报表制度和应对气候变化部门统计报表制度（试行）规定和要求，强化能耗统计和温室气体统计培训工作，提升基层基础统计工作能力。开展市</w:t>
            </w:r>
            <w:r>
              <w:rPr>
                <w:rFonts w:hint="eastAsia" w:ascii="仿宋_GB2312" w:hAnsi="仿宋_GB2312" w:eastAsia="仿宋_GB2312"/>
                <w:sz w:val="24"/>
                <w:lang w:eastAsia="zh-CN"/>
              </w:rPr>
              <w:t>、</w:t>
            </w:r>
            <w:r>
              <w:rPr>
                <w:rFonts w:hint="eastAsia" w:ascii="仿宋_GB2312" w:hAnsi="仿宋_GB2312" w:eastAsia="仿宋_GB2312"/>
                <w:sz w:val="24"/>
              </w:rPr>
              <w:t>县</w:t>
            </w:r>
            <w:r>
              <w:rPr>
                <w:rFonts w:ascii="仿宋_GB2312" w:hAnsi="仿宋_GB2312" w:eastAsia="仿宋_GB2312"/>
                <w:sz w:val="24"/>
              </w:rPr>
              <w:t>级温室气体清单编制。实行重点企（事）业单位温室气体排放数据报告制度，推动重点工业企业建立健</w:t>
            </w:r>
            <w:r>
              <w:rPr>
                <w:rFonts w:ascii="仿宋_GB2312" w:hAnsi="仿宋_GB2312" w:eastAsia="仿宋_GB2312"/>
                <w:sz w:val="24"/>
                <w:szCs w:val="24"/>
              </w:rPr>
              <w:t>全能源消费和温室气体排放统计台账</w:t>
            </w:r>
            <w:r>
              <w:rPr>
                <w:rFonts w:hint="eastAsia" w:ascii="仿宋_GB2312" w:hAnsi="仿宋_GB2312" w:eastAsia="仿宋_GB2312"/>
                <w:sz w:val="24"/>
                <w:szCs w:val="24"/>
              </w:rPr>
              <w:t>。</w:t>
            </w:r>
            <w:r>
              <w:rPr>
                <w:rFonts w:hint="eastAsia" w:ascii="仿宋_GB2312" w:hAnsi="仿宋_GB2312" w:eastAsia="仿宋_GB2312" w:cs="仿宋_GB2312"/>
                <w:color w:val="333333"/>
                <w:sz w:val="24"/>
                <w:szCs w:val="24"/>
              </w:rPr>
              <w:t>建立完善市级行政区域能源碳排放年度核算方法和报告制度，提高数据质量。推进和完善我市温室气体检测体系建设，提升应对气候变化技术支撑能力。</w:t>
            </w:r>
          </w:p>
        </w:tc>
        <w:tc>
          <w:tcPr>
            <w:tcW w:w="1732"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市统计局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市经信委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市气象局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69" w:type="dxa"/>
            <w:vMerge w:val="restart"/>
            <w:vAlign w:val="center"/>
          </w:tcPr>
          <w:p>
            <w:pPr>
              <w:widowControl w:val="0"/>
              <w:spacing w:line="0" w:lineRule="atLeast"/>
              <w:jc w:val="center"/>
              <w:rPr>
                <w:rFonts w:hint="eastAsia" w:ascii="Times New Roman" w:hAnsi="Times New Roman" w:eastAsia="宋体"/>
                <w:sz w:val="24"/>
                <w:lang w:val="en-US" w:eastAsia="zh-CN"/>
              </w:rPr>
            </w:pPr>
            <w:r>
              <w:rPr>
                <w:rFonts w:ascii="Times New Roman" w:hAnsi="Times New Roman" w:eastAsia="Times New Roman"/>
                <w:w w:val="99"/>
                <w:sz w:val="24"/>
              </w:rPr>
              <w:t>24</w:t>
            </w:r>
          </w:p>
        </w:tc>
        <w:tc>
          <w:tcPr>
            <w:tcW w:w="1973" w:type="dxa"/>
            <w:vMerge w:val="restart"/>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加快低碳科技</w:t>
            </w:r>
          </w:p>
          <w:p>
            <w:pPr>
              <w:widowControl w:val="0"/>
              <w:spacing w:line="0" w:lineRule="atLeast"/>
              <w:jc w:val="center"/>
              <w:rPr>
                <w:rFonts w:hint="eastAsia" w:ascii="仿宋_GB2312" w:hAnsi="仿宋_GB2312" w:eastAsia="仿宋_GB2312" w:cs="仿宋_GB2312"/>
                <w:sz w:val="22"/>
              </w:rPr>
            </w:pPr>
            <w:r>
              <w:rPr>
                <w:rFonts w:ascii="仿宋_GB2312" w:hAnsi="仿宋_GB2312" w:eastAsia="仿宋_GB2312"/>
                <w:sz w:val="24"/>
              </w:rPr>
              <w:t>创新</w:t>
            </w:r>
          </w:p>
        </w:tc>
        <w:tc>
          <w:tcPr>
            <w:tcW w:w="5246" w:type="dxa"/>
            <w:vAlign w:val="top"/>
          </w:tcPr>
          <w:p>
            <w:pPr>
              <w:widowControl w:val="0"/>
              <w:spacing w:line="0" w:lineRule="atLeast"/>
              <w:ind w:left="100"/>
              <w:jc w:val="both"/>
              <w:rPr>
                <w:rFonts w:hint="eastAsia" w:ascii="仿宋_GB2312" w:hAnsi="仿宋_GB2312" w:eastAsia="仿宋_GB2312"/>
                <w:sz w:val="24"/>
              </w:rPr>
            </w:pPr>
          </w:p>
          <w:p>
            <w:pPr>
              <w:widowControl w:val="0"/>
              <w:spacing w:line="0" w:lineRule="atLeast"/>
              <w:jc w:val="both"/>
              <w:rPr>
                <w:rFonts w:ascii="仿宋_GB2312" w:hAnsi="仿宋_GB2312" w:eastAsia="仿宋_GB2312"/>
                <w:sz w:val="24"/>
              </w:rPr>
            </w:pPr>
            <w:r>
              <w:rPr>
                <w:rFonts w:ascii="仿宋_GB2312" w:hAnsi="仿宋_GB2312" w:eastAsia="仿宋_GB2312"/>
                <w:sz w:val="24"/>
              </w:rPr>
              <w:t>实施低碳科技创新，支持重点领域技术研发，加强工业领域和煤基领域碳捕集、利用和封存研究和示</w:t>
            </w:r>
            <w:r>
              <w:rPr>
                <w:rFonts w:ascii="仿宋_GB2312" w:hAnsi="仿宋_GB2312" w:eastAsia="仿宋_GB2312"/>
                <w:color w:val="000000"/>
                <w:sz w:val="24"/>
              </w:rPr>
              <w:t>范。</w:t>
            </w:r>
          </w:p>
        </w:tc>
        <w:tc>
          <w:tcPr>
            <w:tcW w:w="1732"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市科技局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769" w:type="dxa"/>
            <w:vMerge w:val="continue"/>
            <w:vAlign w:val="center"/>
          </w:tcPr>
          <w:p>
            <w:pPr>
              <w:widowControl w:val="0"/>
              <w:spacing w:line="0" w:lineRule="atLeast"/>
              <w:jc w:val="center"/>
              <w:rPr>
                <w:rFonts w:ascii="Times New Roman" w:hAnsi="Times New Roman" w:eastAsia="Times New Roman"/>
                <w:w w:val="99"/>
                <w:sz w:val="24"/>
              </w:rPr>
            </w:pPr>
          </w:p>
        </w:tc>
        <w:tc>
          <w:tcPr>
            <w:tcW w:w="1973" w:type="dxa"/>
            <w:vMerge w:val="continue"/>
            <w:vAlign w:val="center"/>
          </w:tcPr>
          <w:p>
            <w:pPr>
              <w:widowControl w:val="0"/>
              <w:spacing w:line="0" w:lineRule="atLeast"/>
              <w:jc w:val="center"/>
              <w:rPr>
                <w:rFonts w:ascii="仿宋_GB2312" w:hAnsi="仿宋_GB2312" w:eastAsia="仿宋_GB2312"/>
                <w:sz w:val="24"/>
              </w:rPr>
            </w:pPr>
          </w:p>
        </w:tc>
        <w:tc>
          <w:tcPr>
            <w:tcW w:w="5246" w:type="dxa"/>
            <w:vAlign w:val="top"/>
          </w:tcPr>
          <w:p>
            <w:pPr>
              <w:widowControl w:val="0"/>
              <w:spacing w:line="0" w:lineRule="atLeast"/>
              <w:ind w:left="100"/>
              <w:jc w:val="both"/>
              <w:rPr>
                <w:rFonts w:hint="eastAsia" w:ascii="仿宋_GB2312" w:hAnsi="仿宋_GB2312" w:eastAsia="仿宋_GB2312"/>
                <w:w w:val="97"/>
                <w:sz w:val="24"/>
              </w:rPr>
            </w:pPr>
          </w:p>
          <w:p>
            <w:pPr>
              <w:widowControl w:val="0"/>
              <w:spacing w:line="0" w:lineRule="atLeast"/>
              <w:jc w:val="both"/>
              <w:rPr>
                <w:rFonts w:ascii="仿宋_GB2312" w:hAnsi="仿宋_GB2312" w:eastAsia="仿宋_GB2312"/>
                <w:sz w:val="24"/>
              </w:rPr>
            </w:pPr>
            <w:r>
              <w:rPr>
                <w:rFonts w:ascii="仿宋_GB2312" w:hAnsi="仿宋_GB2312" w:eastAsia="仿宋_GB2312"/>
                <w:w w:val="97"/>
                <w:sz w:val="24"/>
              </w:rPr>
              <w:t>依据《国家重点节能低碳技术推广目录》，在煤炭、</w:t>
            </w:r>
            <w:r>
              <w:rPr>
                <w:rFonts w:ascii="仿宋_GB2312" w:hAnsi="仿宋_GB2312" w:eastAsia="仿宋_GB2312"/>
                <w:sz w:val="24"/>
              </w:rPr>
              <w:t>电力、冶金、建材等高能耗、高碳排放行业，加大节能低碳技术推广力度。</w:t>
            </w:r>
          </w:p>
        </w:tc>
        <w:tc>
          <w:tcPr>
            <w:tcW w:w="1732"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市发改委</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市科技局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市经信委</w:t>
            </w:r>
          </w:p>
        </w:tc>
      </w:tr>
    </w:tbl>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p>
      <w:pPr>
        <w:widowControl w:val="0"/>
        <w:jc w:val="both"/>
        <w:rPr>
          <w:rFonts w:ascii="仿宋_GB2312" w:hAnsi="仿宋_GB2312" w:eastAsia="仿宋_GB2312"/>
          <w:sz w:val="24"/>
        </w:rPr>
      </w:pPr>
    </w:p>
    <w:tbl>
      <w:tblPr>
        <w:tblStyle w:val="4"/>
        <w:tblpPr w:leftFromText="180" w:rightFromText="180" w:vertAnchor="page" w:horzAnchor="page" w:tblpXSpec="center" w:tblpY="1765"/>
        <w:tblOverlap w:val="never"/>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28"/>
        <w:gridCol w:w="5504"/>
        <w:gridCol w:w="8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47"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序号</w:t>
            </w:r>
          </w:p>
        </w:tc>
        <w:tc>
          <w:tcPr>
            <w:tcW w:w="1428"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重点任务</w:t>
            </w:r>
          </w:p>
        </w:tc>
        <w:tc>
          <w:tcPr>
            <w:tcW w:w="5504" w:type="dxa"/>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主要内容</w:t>
            </w:r>
          </w:p>
        </w:tc>
        <w:tc>
          <w:tcPr>
            <w:tcW w:w="1941" w:type="dxa"/>
            <w:gridSpan w:val="2"/>
            <w:vAlign w:val="center"/>
          </w:tcPr>
          <w:p>
            <w:pPr>
              <w:widowControl w:val="0"/>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7" w:hRule="atLeast"/>
          <w:jc w:val="center"/>
        </w:trPr>
        <w:tc>
          <w:tcPr>
            <w:tcW w:w="747" w:type="dxa"/>
            <w:vMerge w:val="restart"/>
            <w:vAlign w:val="center"/>
          </w:tcPr>
          <w:p>
            <w:pPr>
              <w:widowControl w:val="0"/>
              <w:jc w:val="center"/>
              <w:rPr>
                <w:rFonts w:hint="eastAsia" w:ascii="仿宋_GB2312" w:hAnsi="仿宋_GB2312" w:eastAsia="仿宋_GB2312"/>
                <w:sz w:val="24"/>
                <w:lang w:val="en-US" w:eastAsia="zh-CN"/>
              </w:rPr>
            </w:pPr>
          </w:p>
        </w:tc>
        <w:tc>
          <w:tcPr>
            <w:tcW w:w="1428" w:type="dxa"/>
            <w:vMerge w:val="restart"/>
            <w:vAlign w:val="center"/>
          </w:tcPr>
          <w:p>
            <w:pPr>
              <w:widowControl w:val="0"/>
              <w:spacing w:line="0" w:lineRule="atLeast"/>
              <w:ind w:left="100"/>
              <w:jc w:val="both"/>
              <w:rPr>
                <w:rFonts w:hint="eastAsia" w:ascii="仿宋_GB2312" w:hAnsi="仿宋_GB2312" w:eastAsia="仿宋_GB2312"/>
                <w:w w:val="97"/>
                <w:sz w:val="24"/>
              </w:rPr>
            </w:pPr>
          </w:p>
        </w:tc>
        <w:tc>
          <w:tcPr>
            <w:tcW w:w="5504" w:type="dxa"/>
            <w:vAlign w:val="center"/>
          </w:tcPr>
          <w:p>
            <w:pPr>
              <w:widowControl w:val="0"/>
              <w:spacing w:line="0" w:lineRule="atLeast"/>
              <w:jc w:val="both"/>
              <w:rPr>
                <w:rFonts w:hint="eastAsia" w:ascii="仿宋_GB2312" w:hAnsi="仿宋_GB2312" w:eastAsia="仿宋_GB2312"/>
                <w:w w:val="97"/>
                <w:sz w:val="24"/>
              </w:rPr>
            </w:pPr>
            <w:r>
              <w:rPr>
                <w:rFonts w:hint="eastAsia" w:ascii="仿宋_GB2312" w:hAnsi="仿宋_GB2312" w:eastAsia="仿宋_GB2312"/>
                <w:w w:val="97"/>
                <w:sz w:val="24"/>
              </w:rPr>
              <w:t>鼓励“产学研用”有效结合，引导企业、高校、科研院所建立低碳技术创新联盟。促进我市开展低碳技术集中示范应用。支持建立低碳技术孵化器，增强大学科技园、企业孵化器、产业基地、高新区对低碳技术产业的支持力度，提高核心技术研发、制造、系统集成和产业化能力。</w:t>
            </w:r>
          </w:p>
        </w:tc>
        <w:tc>
          <w:tcPr>
            <w:tcW w:w="1941" w:type="dxa"/>
            <w:gridSpan w:val="2"/>
            <w:vAlign w:val="center"/>
          </w:tcPr>
          <w:p>
            <w:pPr>
              <w:widowControl w:val="0"/>
              <w:spacing w:line="0" w:lineRule="atLeast"/>
              <w:ind w:left="100"/>
              <w:jc w:val="center"/>
              <w:rPr>
                <w:rFonts w:hint="eastAsia" w:ascii="仿宋_GB2312" w:hAnsi="仿宋_GB2312" w:eastAsia="仿宋_GB2312"/>
                <w:w w:val="97"/>
                <w:sz w:val="24"/>
              </w:rPr>
            </w:pP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市科技局</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市发改委</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市经信委</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市教育局</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市商务局</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相关县（市、区）</w:t>
            </w:r>
          </w:p>
          <w:p>
            <w:pPr>
              <w:widowControl w:val="0"/>
              <w:spacing w:line="0" w:lineRule="atLeast"/>
              <w:jc w:val="center"/>
              <w:rPr>
                <w:rFonts w:hint="eastAsia" w:ascii="仿宋_GB2312" w:hAnsi="仿宋_GB2312" w:eastAsia="仿宋_GB2312"/>
                <w:w w:val="97"/>
                <w:sz w:val="24"/>
              </w:rPr>
            </w:pPr>
            <w:r>
              <w:rPr>
                <w:rFonts w:hint="eastAsia" w:ascii="仿宋_GB2312" w:hAnsi="仿宋_GB2312" w:eastAsia="仿宋_GB2312"/>
                <w:w w:val="97"/>
                <w:sz w:val="24"/>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747" w:type="dxa"/>
            <w:vMerge w:val="continue"/>
            <w:vAlign w:val="center"/>
          </w:tcPr>
          <w:p>
            <w:pPr>
              <w:widowControl w:val="0"/>
              <w:jc w:val="center"/>
              <w:rPr>
                <w:rFonts w:hint="eastAsia" w:ascii="仿宋_GB2312" w:hAnsi="仿宋_GB2312" w:eastAsia="仿宋_GB2312"/>
                <w:sz w:val="24"/>
                <w:lang w:val="en-US" w:eastAsia="zh-CN"/>
              </w:rPr>
            </w:pPr>
          </w:p>
        </w:tc>
        <w:tc>
          <w:tcPr>
            <w:tcW w:w="1428" w:type="dxa"/>
            <w:vMerge w:val="continue"/>
            <w:vAlign w:val="center"/>
          </w:tcPr>
          <w:p>
            <w:pPr>
              <w:widowControl w:val="0"/>
              <w:spacing w:line="0" w:lineRule="atLeast"/>
              <w:ind w:left="100"/>
              <w:jc w:val="both"/>
              <w:rPr>
                <w:rFonts w:hint="eastAsia" w:ascii="仿宋_GB2312" w:hAnsi="仿宋_GB2312" w:eastAsia="仿宋_GB2312"/>
                <w:w w:val="97"/>
                <w:sz w:val="24"/>
              </w:rPr>
            </w:pPr>
          </w:p>
        </w:tc>
        <w:tc>
          <w:tcPr>
            <w:tcW w:w="5504" w:type="dxa"/>
            <w:vAlign w:val="center"/>
          </w:tcPr>
          <w:p>
            <w:pPr>
              <w:widowControl w:val="0"/>
              <w:spacing w:line="0" w:lineRule="atLeast"/>
              <w:jc w:val="both"/>
              <w:rPr>
                <w:rFonts w:hint="eastAsia" w:ascii="仿宋_GB2312" w:hAnsi="仿宋_GB2312" w:eastAsia="仿宋_GB2312"/>
                <w:w w:val="97"/>
                <w:sz w:val="24"/>
              </w:rPr>
            </w:pPr>
            <w:r>
              <w:rPr>
                <w:rFonts w:hint="eastAsia" w:ascii="仿宋_GB2312" w:hAnsi="仿宋_GB2312" w:eastAsia="仿宋_GB2312"/>
                <w:w w:val="97"/>
                <w:sz w:val="24"/>
              </w:rPr>
              <w:t>建立完善我市科技成果转移转化体系和机制，推动低碳技术成果转化</w:t>
            </w:r>
          </w:p>
        </w:tc>
        <w:tc>
          <w:tcPr>
            <w:tcW w:w="1941" w:type="dxa"/>
            <w:gridSpan w:val="2"/>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47" w:type="dxa"/>
            <w:vMerge w:val="restart"/>
            <w:vAlign w:val="center"/>
          </w:tcPr>
          <w:p>
            <w:pPr>
              <w:widowControl w:val="0"/>
              <w:jc w:val="center"/>
              <w:rPr>
                <w:rFonts w:hint="eastAsia" w:ascii="仿宋_GB2312" w:hAnsi="仿宋_GB2312" w:eastAsia="仿宋_GB2312"/>
                <w:sz w:val="24"/>
                <w:lang w:val="en-US" w:eastAsia="zh-CN"/>
              </w:rPr>
            </w:pPr>
            <w:r>
              <w:rPr>
                <w:rFonts w:hint="eastAsia" w:ascii="Times New Roman" w:hAnsi="Times New Roman" w:eastAsia="宋体"/>
                <w:sz w:val="24"/>
                <w:lang w:val="en-US" w:eastAsia="zh-CN"/>
              </w:rPr>
              <w:t>25</w:t>
            </w:r>
          </w:p>
        </w:tc>
        <w:tc>
          <w:tcPr>
            <w:tcW w:w="1428" w:type="dxa"/>
            <w:vMerge w:val="restart"/>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加强机构和人才队伍建设</w:t>
            </w:r>
          </w:p>
        </w:tc>
        <w:tc>
          <w:tcPr>
            <w:tcW w:w="5504" w:type="dxa"/>
            <w:vAlign w:val="bottom"/>
          </w:tcPr>
          <w:p>
            <w:pPr>
              <w:widowControl w:val="0"/>
              <w:spacing w:line="0" w:lineRule="atLeast"/>
              <w:jc w:val="both"/>
              <w:rPr>
                <w:rFonts w:hint="eastAsia" w:ascii="仿宋_GB2312" w:hAnsi="仿宋_GB2312" w:eastAsia="仿宋_GB2312"/>
                <w:w w:val="97"/>
                <w:sz w:val="24"/>
              </w:rPr>
            </w:pPr>
            <w:r>
              <w:rPr>
                <w:rFonts w:hint="eastAsia" w:ascii="仿宋_GB2312" w:hAnsi="仿宋_GB2312" w:eastAsia="仿宋_GB2312"/>
                <w:w w:val="97"/>
                <w:sz w:val="24"/>
              </w:rPr>
              <w:t>强化应对气候变化工作技术支撑机构建设，积极培育第三方服务机构和市场中介组织，鼓励发展低碳产业联盟和社会团体。建立并完善人才培养和激励机制，实施高层次人才培养和引进计划，加快培养应对气候变化领域专业人才。</w:t>
            </w:r>
          </w:p>
        </w:tc>
        <w:tc>
          <w:tcPr>
            <w:tcW w:w="1941" w:type="dxa"/>
            <w:gridSpan w:val="2"/>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市发改委</w:t>
            </w:r>
          </w:p>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市人社局</w:t>
            </w:r>
          </w:p>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市委人才办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747" w:type="dxa"/>
            <w:vMerge w:val="continue"/>
            <w:vAlign w:val="center"/>
          </w:tcPr>
          <w:p>
            <w:pPr>
              <w:widowControl w:val="0"/>
              <w:jc w:val="center"/>
              <w:rPr>
                <w:rFonts w:hint="eastAsia" w:ascii="Times New Roman" w:hAnsi="Times New Roman" w:eastAsia="宋体"/>
                <w:sz w:val="24"/>
                <w:lang w:val="en-US" w:eastAsia="zh-CN"/>
              </w:rPr>
            </w:pPr>
          </w:p>
        </w:tc>
        <w:tc>
          <w:tcPr>
            <w:tcW w:w="1428" w:type="dxa"/>
            <w:vMerge w:val="continue"/>
            <w:vAlign w:val="center"/>
          </w:tcPr>
          <w:p>
            <w:pPr>
              <w:widowControl w:val="0"/>
              <w:spacing w:line="0" w:lineRule="atLeast"/>
              <w:ind w:left="100"/>
              <w:jc w:val="center"/>
              <w:rPr>
                <w:rFonts w:hint="eastAsia" w:ascii="仿宋_GB2312" w:hAnsi="仿宋_GB2312" w:eastAsia="仿宋_GB2312"/>
                <w:w w:val="97"/>
                <w:sz w:val="24"/>
              </w:rPr>
            </w:pPr>
          </w:p>
        </w:tc>
        <w:tc>
          <w:tcPr>
            <w:tcW w:w="5504" w:type="dxa"/>
            <w:vAlign w:val="center"/>
          </w:tcPr>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促进应对气候变化知识与教育教学有机结合，开展“低碳进课堂”活动。</w:t>
            </w:r>
          </w:p>
        </w:tc>
        <w:tc>
          <w:tcPr>
            <w:tcW w:w="1941" w:type="dxa"/>
            <w:gridSpan w:val="2"/>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市教育局</w:t>
            </w:r>
          </w:p>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47" w:type="dxa"/>
            <w:vMerge w:val="continue"/>
            <w:vAlign w:val="center"/>
          </w:tcPr>
          <w:p>
            <w:pPr>
              <w:widowControl w:val="0"/>
              <w:jc w:val="center"/>
              <w:rPr>
                <w:rFonts w:hint="eastAsia" w:ascii="Times New Roman" w:hAnsi="Times New Roman" w:eastAsia="宋体"/>
                <w:sz w:val="24"/>
                <w:lang w:val="en-US" w:eastAsia="zh-CN"/>
              </w:rPr>
            </w:pPr>
          </w:p>
        </w:tc>
        <w:tc>
          <w:tcPr>
            <w:tcW w:w="1428" w:type="dxa"/>
            <w:vMerge w:val="continue"/>
            <w:vAlign w:val="center"/>
          </w:tcPr>
          <w:p>
            <w:pPr>
              <w:widowControl w:val="0"/>
              <w:spacing w:line="0" w:lineRule="atLeast"/>
              <w:ind w:left="100"/>
              <w:jc w:val="center"/>
              <w:rPr>
                <w:rFonts w:hint="eastAsia" w:ascii="仿宋_GB2312" w:hAnsi="仿宋_GB2312" w:eastAsia="仿宋_GB2312"/>
                <w:w w:val="97"/>
                <w:sz w:val="24"/>
              </w:rPr>
            </w:pPr>
          </w:p>
        </w:tc>
        <w:tc>
          <w:tcPr>
            <w:tcW w:w="5504" w:type="dxa"/>
            <w:vAlign w:val="center"/>
          </w:tcPr>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加强对各级领导干部、企业管理者的培训，增强政策制定者和企业家的低碳战略决策能力。</w:t>
            </w:r>
          </w:p>
        </w:tc>
        <w:tc>
          <w:tcPr>
            <w:tcW w:w="1941" w:type="dxa"/>
            <w:gridSpan w:val="2"/>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620" w:type="dxa"/>
            <w:gridSpan w:val="5"/>
            <w:vAlign w:val="center"/>
          </w:tcPr>
          <w:p>
            <w:pPr>
              <w:widowControl w:val="0"/>
              <w:spacing w:line="0" w:lineRule="atLeast"/>
              <w:jc w:val="center"/>
              <w:rPr>
                <w:rFonts w:ascii="仿宋_GB2312" w:hAnsi="仿宋_GB2312" w:eastAsia="仿宋_GB2312"/>
                <w:sz w:val="24"/>
              </w:rPr>
            </w:pPr>
            <w:r>
              <w:rPr>
                <w:rFonts w:ascii="仿宋_GB2312" w:hAnsi="仿宋_GB2312" w:eastAsia="仿宋_GB2312"/>
                <w:b/>
                <w:sz w:val="24"/>
              </w:rPr>
              <w:t>加快构建工作保障体系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atLeast"/>
          <w:jc w:val="center"/>
        </w:trPr>
        <w:tc>
          <w:tcPr>
            <w:tcW w:w="747" w:type="dxa"/>
            <w:vAlign w:val="center"/>
          </w:tcPr>
          <w:p>
            <w:pPr>
              <w:widowControl w:val="0"/>
              <w:jc w:val="center"/>
              <w:rPr>
                <w:rFonts w:hint="eastAsia" w:ascii="仿宋_GB2312" w:hAnsi="仿宋_GB2312" w:eastAsia="仿宋_GB2312"/>
                <w:sz w:val="24"/>
                <w:lang w:val="en-US" w:eastAsia="zh-CN"/>
              </w:rPr>
            </w:pPr>
            <w:r>
              <w:rPr>
                <w:rFonts w:hint="eastAsia" w:ascii="Times New Roman" w:hAnsi="Times New Roman" w:eastAsia="宋体"/>
                <w:sz w:val="24"/>
                <w:lang w:val="en-US" w:eastAsia="zh-CN"/>
              </w:rPr>
              <w:t>26</w:t>
            </w:r>
          </w:p>
        </w:tc>
        <w:tc>
          <w:tcPr>
            <w:tcW w:w="1428" w:type="dxa"/>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加强组织领导</w:t>
            </w:r>
          </w:p>
        </w:tc>
        <w:tc>
          <w:tcPr>
            <w:tcW w:w="5584" w:type="dxa"/>
            <w:gridSpan w:val="2"/>
            <w:vAlign w:val="center"/>
          </w:tcPr>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完善应对气候变化工作协调机制，充分发挥好</w:t>
            </w:r>
            <w:r>
              <w:rPr>
                <w:rFonts w:hint="eastAsia" w:ascii="仿宋_GB2312" w:hAnsi="仿宋_GB2312" w:eastAsia="仿宋_GB2312"/>
                <w:w w:val="97"/>
                <w:sz w:val="24"/>
                <w:lang w:eastAsia="zh-CN"/>
              </w:rPr>
              <w:t>忻州</w:t>
            </w:r>
          </w:p>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lang w:eastAsia="zh-CN"/>
              </w:rPr>
              <w:t>市</w:t>
            </w:r>
            <w:r>
              <w:rPr>
                <w:rFonts w:hint="eastAsia" w:ascii="仿宋_GB2312" w:hAnsi="仿宋_GB2312" w:eastAsia="仿宋_GB2312"/>
                <w:w w:val="97"/>
                <w:sz w:val="24"/>
              </w:rPr>
              <w:t>应对气候变化工作领导小组的统筹协调和监督落</w:t>
            </w:r>
          </w:p>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实职能。各</w:t>
            </w:r>
            <w:r>
              <w:rPr>
                <w:rFonts w:hint="eastAsia" w:ascii="仿宋_GB2312" w:hAnsi="仿宋_GB2312" w:eastAsia="仿宋_GB2312"/>
                <w:w w:val="97"/>
                <w:sz w:val="24"/>
                <w:lang w:eastAsia="zh-CN"/>
              </w:rPr>
              <w:t>县（</w:t>
            </w:r>
            <w:r>
              <w:rPr>
                <w:rFonts w:hint="eastAsia" w:ascii="仿宋_GB2312" w:hAnsi="仿宋_GB2312" w:eastAsia="仿宋_GB2312"/>
                <w:w w:val="97"/>
                <w:sz w:val="24"/>
              </w:rPr>
              <w:t>市</w:t>
            </w:r>
            <w:r>
              <w:rPr>
                <w:rFonts w:hint="eastAsia" w:ascii="仿宋_GB2312" w:hAnsi="仿宋_GB2312" w:eastAsia="仿宋_GB2312"/>
                <w:w w:val="97"/>
                <w:sz w:val="24"/>
                <w:lang w:eastAsia="zh-CN"/>
              </w:rPr>
              <w:t>、区）</w:t>
            </w:r>
            <w:r>
              <w:rPr>
                <w:rFonts w:hint="eastAsia" w:ascii="仿宋_GB2312" w:hAnsi="仿宋_GB2312" w:eastAsia="仿宋_GB2312"/>
                <w:w w:val="97"/>
                <w:sz w:val="24"/>
              </w:rPr>
              <w:t>人民政府要将碳排放强度</w:t>
            </w:r>
          </w:p>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下降目标纳入本地区国民经济社会发展规划、年度</w:t>
            </w:r>
          </w:p>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计划和年度政府工作报告，建立完善工作机制，制</w:t>
            </w:r>
          </w:p>
          <w:p>
            <w:pPr>
              <w:widowControl w:val="0"/>
              <w:spacing w:line="0" w:lineRule="atLeast"/>
              <w:jc w:val="left"/>
              <w:rPr>
                <w:rFonts w:hint="eastAsia" w:ascii="仿宋_GB2312" w:hAnsi="仿宋_GB2312" w:eastAsia="仿宋_GB2312"/>
                <w:w w:val="97"/>
                <w:sz w:val="24"/>
              </w:rPr>
            </w:pPr>
            <w:r>
              <w:rPr>
                <w:rFonts w:hint="eastAsia" w:ascii="仿宋_GB2312" w:hAnsi="仿宋_GB2312" w:eastAsia="仿宋_GB2312"/>
                <w:w w:val="97"/>
                <w:sz w:val="24"/>
              </w:rPr>
              <w:t>定工作实施方案，组织落实具体工作任务。各</w:t>
            </w:r>
            <w:r>
              <w:rPr>
                <w:rFonts w:hint="eastAsia" w:ascii="仿宋_GB2312" w:hAnsi="仿宋_GB2312" w:eastAsia="仿宋_GB2312"/>
                <w:w w:val="97"/>
                <w:sz w:val="24"/>
                <w:lang w:eastAsia="zh-CN"/>
              </w:rPr>
              <w:t>县（</w:t>
            </w:r>
            <w:r>
              <w:rPr>
                <w:rFonts w:hint="eastAsia" w:ascii="仿宋_GB2312" w:hAnsi="仿宋_GB2312" w:eastAsia="仿宋_GB2312"/>
                <w:w w:val="97"/>
                <w:sz w:val="24"/>
              </w:rPr>
              <w:t>市</w:t>
            </w:r>
            <w:r>
              <w:rPr>
                <w:rFonts w:hint="eastAsia" w:ascii="仿宋_GB2312" w:hAnsi="仿宋_GB2312" w:eastAsia="仿宋_GB2312"/>
                <w:w w:val="97"/>
                <w:sz w:val="24"/>
                <w:lang w:eastAsia="zh-CN"/>
              </w:rPr>
              <w:t>、区）</w:t>
            </w:r>
            <w:r>
              <w:rPr>
                <w:rFonts w:hint="eastAsia" w:ascii="仿宋_GB2312" w:hAnsi="仿宋_GB2312" w:eastAsia="仿宋_GB2312"/>
                <w:w w:val="97"/>
                <w:sz w:val="24"/>
              </w:rPr>
              <w:t>各有关部门将相关任务纳入本行业规划和年度计划，确保本方案各项任务有效落实。</w:t>
            </w:r>
          </w:p>
        </w:tc>
        <w:tc>
          <w:tcPr>
            <w:tcW w:w="1861" w:type="dxa"/>
            <w:vAlign w:val="center"/>
          </w:tcPr>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市发改委</w:t>
            </w:r>
          </w:p>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各县（市、区）人民政府</w:t>
            </w:r>
          </w:p>
          <w:p>
            <w:pPr>
              <w:widowControl w:val="0"/>
              <w:spacing w:line="0" w:lineRule="atLeast"/>
              <w:ind w:left="100"/>
              <w:jc w:val="center"/>
              <w:rPr>
                <w:rFonts w:hint="eastAsia" w:ascii="仿宋_GB2312" w:hAnsi="仿宋_GB2312" w:eastAsia="仿宋_GB2312"/>
                <w:w w:val="97"/>
                <w:sz w:val="24"/>
              </w:rPr>
            </w:pPr>
            <w:r>
              <w:rPr>
                <w:rFonts w:hint="eastAsia" w:ascii="仿宋_GB2312" w:hAnsi="仿宋_GB2312" w:eastAsia="仿宋_GB2312"/>
                <w:w w:val="97"/>
                <w:sz w:val="24"/>
              </w:rPr>
              <w:t>市直相关部门</w:t>
            </w:r>
          </w:p>
          <w:p>
            <w:pPr>
              <w:widowControl w:val="0"/>
              <w:spacing w:line="0" w:lineRule="atLeast"/>
              <w:ind w:left="100"/>
              <w:jc w:val="center"/>
              <w:rPr>
                <w:rFonts w:hint="eastAsia" w:ascii="仿宋_GB2312" w:hAnsi="仿宋_GB2312" w:eastAsia="仿宋_GB2312"/>
                <w:w w:val="97"/>
                <w:sz w:val="24"/>
              </w:rPr>
            </w:pPr>
          </w:p>
        </w:tc>
      </w:tr>
    </w:tbl>
    <w:p>
      <w:pPr>
        <w:widowControl w:val="0"/>
        <w:jc w:val="both"/>
        <w:rPr>
          <w:rFonts w:ascii="仿宋_GB2312" w:hAnsi="仿宋_GB2312" w:eastAsia="仿宋_GB2312"/>
          <w:sz w:val="24"/>
        </w:rPr>
      </w:pPr>
    </w:p>
    <w:tbl>
      <w:tblPr>
        <w:tblStyle w:val="4"/>
        <w:tblpPr w:leftFromText="180" w:rightFromText="180" w:vertAnchor="page" w:horzAnchor="page" w:tblpXSpec="center" w:tblpY="1856"/>
        <w:tblOverlap w:val="neve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76"/>
        <w:gridCol w:w="523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53" w:type="dxa"/>
            <w:vAlign w:val="center"/>
          </w:tcPr>
          <w:p>
            <w:pPr>
              <w:widowControl w:val="0"/>
              <w:spacing w:line="0" w:lineRule="atLeas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76" w:type="dxa"/>
            <w:vAlign w:val="center"/>
          </w:tcPr>
          <w:p>
            <w:pPr>
              <w:widowControl w:val="0"/>
              <w:spacing w:line="0" w:lineRule="atLeas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重点任务</w:t>
            </w:r>
          </w:p>
        </w:tc>
        <w:tc>
          <w:tcPr>
            <w:tcW w:w="5236" w:type="dxa"/>
            <w:vAlign w:val="center"/>
          </w:tcPr>
          <w:p>
            <w:pPr>
              <w:widowControl w:val="0"/>
              <w:spacing w:line="0" w:lineRule="atLeas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主要内容</w:t>
            </w:r>
          </w:p>
        </w:tc>
        <w:tc>
          <w:tcPr>
            <w:tcW w:w="1755" w:type="dxa"/>
            <w:vAlign w:val="center"/>
          </w:tcPr>
          <w:p>
            <w:pPr>
              <w:widowControl w:val="0"/>
              <w:spacing w:line="0" w:lineRule="atLeas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753" w:type="dxa"/>
            <w:vAlign w:val="center"/>
          </w:tcPr>
          <w:p>
            <w:pPr>
              <w:widowControl w:val="0"/>
              <w:jc w:val="center"/>
              <w:rPr>
                <w:rFonts w:ascii="仿宋_GB2312" w:hAnsi="仿宋_GB2312" w:eastAsia="仿宋_GB2312"/>
                <w:sz w:val="24"/>
              </w:rPr>
            </w:pPr>
            <w:r>
              <w:rPr>
                <w:rFonts w:hint="eastAsia" w:ascii="仿宋_GB2312" w:hAnsi="仿宋_GB2312" w:eastAsia="仿宋_GB2312"/>
                <w:sz w:val="24"/>
              </w:rPr>
              <w:t>27</w:t>
            </w:r>
          </w:p>
        </w:tc>
        <w:tc>
          <w:tcPr>
            <w:tcW w:w="1776" w:type="dxa"/>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强化目标责任</w:t>
            </w:r>
          </w:p>
        </w:tc>
        <w:tc>
          <w:tcPr>
            <w:tcW w:w="5236"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建立</w:t>
            </w:r>
            <w:r>
              <w:rPr>
                <w:rFonts w:hint="eastAsia" w:ascii="仿宋_GB2312" w:hAnsi="仿宋_GB2312" w:eastAsia="仿宋_GB2312"/>
                <w:sz w:val="24"/>
              </w:rPr>
              <w:t>县（市、区）</w:t>
            </w:r>
            <w:r>
              <w:rPr>
                <w:rFonts w:ascii="仿宋_GB2312" w:hAnsi="仿宋_GB2312" w:eastAsia="仿宋_GB2312"/>
                <w:sz w:val="24"/>
              </w:rPr>
              <w:t>级人民政府碳排放强度降低目标责任考核评估制度，加强对</w:t>
            </w:r>
            <w:r>
              <w:rPr>
                <w:rFonts w:hint="eastAsia" w:ascii="仿宋_GB2312" w:hAnsi="仿宋_GB2312" w:eastAsia="仿宋_GB2312"/>
                <w:sz w:val="24"/>
              </w:rPr>
              <w:t>县（市、区）</w:t>
            </w:r>
            <w:r>
              <w:rPr>
                <w:rFonts w:hint="eastAsia" w:ascii="仿宋_GB2312" w:hAnsi="仿宋_GB2312" w:eastAsia="仿宋_GB2312"/>
                <w:sz w:val="24"/>
                <w:lang w:eastAsia="zh-CN"/>
              </w:rPr>
              <w:t>级</w:t>
            </w:r>
            <w:r>
              <w:rPr>
                <w:rFonts w:ascii="仿宋_GB2312" w:hAnsi="仿宋_GB2312" w:eastAsia="仿宋_GB2312"/>
                <w:sz w:val="24"/>
              </w:rPr>
              <w:t>人民政府控制温室气体排放目标完成情况的评估、考核，实施责任追究制度。</w:t>
            </w:r>
            <w:r>
              <w:rPr>
                <w:rFonts w:hint="eastAsia" w:ascii="仿宋_GB2312" w:hAnsi="仿宋_GB2312" w:eastAsia="仿宋_GB2312"/>
                <w:sz w:val="24"/>
              </w:rPr>
              <w:t>市级各有关部门要建立年度控制温室气体排放工作任务完成情况跟踪评估机制，公开考核结果，接受社会监督，</w:t>
            </w:r>
            <w:r>
              <w:rPr>
                <w:rFonts w:ascii="仿宋_GB2312" w:hAnsi="仿宋_GB2312" w:eastAsia="仿宋_GB2312"/>
                <w:sz w:val="24"/>
              </w:rPr>
              <w:t>促进应对气候变化工作任务落实。</w:t>
            </w:r>
          </w:p>
        </w:tc>
        <w:tc>
          <w:tcPr>
            <w:tcW w:w="1755"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ascii="仿宋_GB2312" w:hAnsi="仿宋_GB2312" w:eastAsia="仿宋_GB2312"/>
                <w:w w:val="99"/>
                <w:sz w:val="24"/>
              </w:rPr>
            </w:pPr>
            <w:r>
              <w:rPr>
                <w:rFonts w:ascii="仿宋_GB2312" w:hAnsi="仿宋_GB2312" w:eastAsia="仿宋_GB2312"/>
                <w:w w:val="99"/>
                <w:sz w:val="24"/>
              </w:rPr>
              <w:t>各</w:t>
            </w:r>
            <w:r>
              <w:rPr>
                <w:rFonts w:hint="eastAsia" w:ascii="仿宋_GB2312" w:hAnsi="仿宋_GB2312" w:eastAsia="仿宋_GB2312"/>
                <w:w w:val="99"/>
                <w:sz w:val="24"/>
              </w:rPr>
              <w:t>县（</w:t>
            </w:r>
            <w:r>
              <w:rPr>
                <w:rFonts w:ascii="仿宋_GB2312" w:hAnsi="仿宋_GB2312" w:eastAsia="仿宋_GB2312"/>
                <w:w w:val="99"/>
                <w:sz w:val="24"/>
              </w:rPr>
              <w:t>市</w:t>
            </w:r>
            <w:r>
              <w:rPr>
                <w:rFonts w:hint="eastAsia" w:ascii="仿宋_GB2312" w:hAnsi="仿宋_GB2312" w:eastAsia="仿宋_GB2312"/>
                <w:w w:val="99"/>
                <w:sz w:val="24"/>
              </w:rPr>
              <w:t>、区）</w:t>
            </w:r>
            <w:r>
              <w:rPr>
                <w:rFonts w:ascii="仿宋_GB2312" w:hAnsi="仿宋_GB2312" w:eastAsia="仿宋_GB2312"/>
                <w:w w:val="99"/>
                <w:sz w:val="24"/>
              </w:rPr>
              <w:t>人民政府</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w:t>
            </w:r>
            <w:r>
              <w:rPr>
                <w:rFonts w:ascii="仿宋_GB2312" w:hAnsi="仿宋_GB2312" w:eastAsia="仿宋_GB2312"/>
                <w:w w:val="99"/>
                <w:sz w:val="24"/>
              </w:rPr>
              <w:t>直相关部门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1" w:hRule="atLeast"/>
          <w:jc w:val="center"/>
        </w:trPr>
        <w:tc>
          <w:tcPr>
            <w:tcW w:w="753" w:type="dxa"/>
            <w:vAlign w:val="center"/>
          </w:tcPr>
          <w:p>
            <w:pPr>
              <w:widowControl w:val="0"/>
              <w:jc w:val="center"/>
              <w:rPr>
                <w:rFonts w:ascii="仿宋_GB2312" w:hAnsi="仿宋_GB2312" w:eastAsia="仿宋_GB2312"/>
                <w:sz w:val="24"/>
              </w:rPr>
            </w:pPr>
            <w:r>
              <w:rPr>
                <w:rFonts w:hint="eastAsia" w:ascii="仿宋_GB2312" w:hAnsi="仿宋_GB2312" w:eastAsia="仿宋_GB2312"/>
                <w:sz w:val="24"/>
              </w:rPr>
              <w:t>28</w:t>
            </w:r>
          </w:p>
        </w:tc>
        <w:tc>
          <w:tcPr>
            <w:tcW w:w="1776" w:type="dxa"/>
            <w:vAlign w:val="center"/>
          </w:tcPr>
          <w:p>
            <w:pPr>
              <w:widowControl w:val="0"/>
              <w:spacing w:line="0" w:lineRule="atLeast"/>
              <w:jc w:val="center"/>
              <w:rPr>
                <w:rFonts w:ascii="Times New Roman" w:hAnsi="Times New Roman" w:eastAsia="Times New Roman"/>
                <w:sz w:val="13"/>
              </w:rPr>
            </w:pPr>
            <w:r>
              <w:rPr>
                <w:rFonts w:ascii="仿宋_GB2312" w:hAnsi="仿宋_GB2312" w:eastAsia="仿宋_GB2312"/>
                <w:sz w:val="24"/>
              </w:rPr>
              <w:t>加大资金投入</w:t>
            </w:r>
          </w:p>
        </w:tc>
        <w:tc>
          <w:tcPr>
            <w:tcW w:w="5236" w:type="dxa"/>
            <w:vAlign w:val="center"/>
          </w:tcPr>
          <w:p>
            <w:pPr>
              <w:widowControl w:val="0"/>
              <w:spacing w:line="0" w:lineRule="atLeast"/>
              <w:jc w:val="both"/>
              <w:rPr>
                <w:rFonts w:ascii="仿宋_GB2312" w:hAnsi="仿宋_GB2312" w:eastAsia="仿宋_GB2312"/>
                <w:sz w:val="24"/>
              </w:rPr>
            </w:pPr>
            <w:r>
              <w:rPr>
                <w:rFonts w:ascii="仿宋_GB2312" w:hAnsi="仿宋_GB2312" w:eastAsia="仿宋_GB2312"/>
                <w:sz w:val="24"/>
              </w:rPr>
              <w:t>统筹利用现有资金，加大对低碳发展的财政资金支持力度。拓宽资金来源渠道，利用中国清洁发展机制基金、</w:t>
            </w:r>
            <w:r>
              <w:rPr>
                <w:rFonts w:ascii="Times New Roman" w:hAnsi="Times New Roman" w:eastAsia="Times New Roman"/>
                <w:sz w:val="24"/>
              </w:rPr>
              <w:t>PPP</w:t>
            </w:r>
            <w:r>
              <w:rPr>
                <w:rFonts w:ascii="仿宋_GB2312" w:hAnsi="仿宋_GB2312" w:eastAsia="仿宋_GB2312"/>
                <w:sz w:val="24"/>
              </w:rPr>
              <w:t xml:space="preserve"> 项目模式、合同能源管理等多种途径强化低碳发展资金保障。引导开展绿色投融资，鼓励发展绿色金融，推动建立绿色信贷机制，实施“有扶有控”的差别化信贷政策。创新应对气候变化投融资机制，统筹各类现有基金，合理引导现有资金向绿色低碳领域倾斜。</w:t>
            </w:r>
          </w:p>
        </w:tc>
        <w:tc>
          <w:tcPr>
            <w:tcW w:w="1755" w:type="dxa"/>
            <w:vAlign w:val="center"/>
          </w:tcPr>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市财政局</w:t>
            </w:r>
          </w:p>
          <w:p>
            <w:pPr>
              <w:widowControl w:val="0"/>
              <w:spacing w:line="0" w:lineRule="atLeast"/>
              <w:jc w:val="center"/>
              <w:rPr>
                <w:rFonts w:hint="eastAsia" w:ascii="仿宋_GB2312" w:hAnsi="仿宋_GB2312" w:eastAsia="仿宋_GB2312"/>
                <w:w w:val="99"/>
                <w:sz w:val="24"/>
              </w:rPr>
            </w:pPr>
            <w:r>
              <w:rPr>
                <w:rFonts w:hint="eastAsia" w:ascii="仿宋_GB2312" w:hAnsi="仿宋_GB2312" w:eastAsia="仿宋_GB2312"/>
                <w:w w:val="99"/>
                <w:sz w:val="24"/>
              </w:rPr>
              <w:t>市金融办</w:t>
            </w:r>
          </w:p>
          <w:p>
            <w:pPr>
              <w:widowControl w:val="0"/>
              <w:spacing w:line="0" w:lineRule="atLeast"/>
              <w:jc w:val="center"/>
              <w:rPr>
                <w:rFonts w:ascii="仿宋_GB2312" w:hAnsi="仿宋_GB2312" w:eastAsia="仿宋_GB2312"/>
                <w:sz w:val="24"/>
              </w:rPr>
            </w:pPr>
            <w:r>
              <w:rPr>
                <w:rFonts w:hint="eastAsia" w:ascii="仿宋_GB2312" w:hAnsi="仿宋_GB2312" w:eastAsia="仿宋_GB2312"/>
                <w:w w:val="99"/>
                <w:sz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jc w:val="center"/>
        </w:trPr>
        <w:tc>
          <w:tcPr>
            <w:tcW w:w="753" w:type="dxa"/>
            <w:vAlign w:val="center"/>
          </w:tcPr>
          <w:p>
            <w:pPr>
              <w:widowControl w:val="0"/>
              <w:jc w:val="center"/>
              <w:rPr>
                <w:rFonts w:ascii="仿宋_GB2312" w:hAnsi="仿宋_GB2312" w:eastAsia="仿宋_GB2312"/>
                <w:sz w:val="24"/>
              </w:rPr>
            </w:pPr>
            <w:r>
              <w:rPr>
                <w:rFonts w:ascii="Times New Roman" w:hAnsi="Times New Roman" w:eastAsia="Times New Roman"/>
                <w:w w:val="99"/>
                <w:sz w:val="24"/>
              </w:rPr>
              <w:t>29</w:t>
            </w:r>
          </w:p>
        </w:tc>
        <w:tc>
          <w:tcPr>
            <w:tcW w:w="1776" w:type="dxa"/>
            <w:vAlign w:val="center"/>
          </w:tcPr>
          <w:p>
            <w:pPr>
              <w:widowControl w:val="0"/>
              <w:spacing w:line="0" w:lineRule="atLeast"/>
              <w:ind w:left="80"/>
              <w:jc w:val="center"/>
              <w:rPr>
                <w:rFonts w:ascii="仿宋_GB2312" w:hAnsi="仿宋_GB2312" w:eastAsia="仿宋_GB2312"/>
                <w:sz w:val="24"/>
              </w:rPr>
            </w:pPr>
            <w:r>
              <w:rPr>
                <w:rFonts w:ascii="仿宋_GB2312" w:hAnsi="仿宋_GB2312" w:eastAsia="仿宋_GB2312"/>
                <w:sz w:val="24"/>
              </w:rPr>
              <w:t>开展交流合作</w:t>
            </w:r>
          </w:p>
        </w:tc>
        <w:tc>
          <w:tcPr>
            <w:tcW w:w="5236" w:type="dxa"/>
            <w:vAlign w:val="center"/>
          </w:tcPr>
          <w:p>
            <w:pPr>
              <w:widowControl w:val="0"/>
              <w:jc w:val="both"/>
              <w:rPr>
                <w:rFonts w:ascii="仿宋_GB2312" w:hAnsi="仿宋_GB2312" w:eastAsia="仿宋_GB2312"/>
                <w:sz w:val="24"/>
              </w:rPr>
            </w:pPr>
            <w:r>
              <w:rPr>
                <w:rFonts w:hint="eastAsia" w:ascii="仿宋_GB2312" w:hAnsi="仿宋_GB2312" w:eastAsia="仿宋_GB2312"/>
                <w:sz w:val="24"/>
              </w:rPr>
              <w:t>注重经验交流，借鉴兄弟市和试点先行地区在低碳发展方面的先进经验。利用相关资金和先进技术支持我市开展煤炭清洁高效利用、新能源开发利用、传统产业低碳化改造、碳捕集封存利用等工作。结合国家“一带一路”</w:t>
            </w:r>
            <w:r>
              <w:rPr>
                <w:rFonts w:hint="eastAsia" w:ascii="仿宋_GB2312" w:hAnsi="仿宋_GB2312" w:eastAsia="仿宋_GB2312"/>
                <w:sz w:val="24"/>
                <w:lang w:eastAsia="zh-CN"/>
              </w:rPr>
              <w:t>倡议</w:t>
            </w:r>
            <w:r>
              <w:rPr>
                <w:rFonts w:hint="eastAsia" w:ascii="仿宋_GB2312" w:hAnsi="仿宋_GB2312" w:eastAsia="仿宋_GB2312"/>
                <w:sz w:val="24"/>
              </w:rPr>
              <w:t>，促进我市与相关国家开展低碳项目合作。积极参与南南合作，努力寻求与发展中国家（地区）开展低碳项目、低碳产品、低碳技术及能力建设等方面的合作。建立低碳发展合作机制，鼓励</w:t>
            </w:r>
            <w:bookmarkStart w:id="0" w:name="_GoBack"/>
            <w:bookmarkEnd w:id="0"/>
            <w:r>
              <w:rPr>
                <w:rFonts w:hint="eastAsia" w:ascii="仿宋_GB2312" w:hAnsi="仿宋_GB2312" w:eastAsia="仿宋_GB2312"/>
                <w:sz w:val="24"/>
              </w:rPr>
              <w:t>和引导各级政府、高校、科研机构、行业协会、企业等多渠道开展应对气候变化能力建设、技术研发等领域的国际合作交流。</w:t>
            </w:r>
          </w:p>
        </w:tc>
        <w:tc>
          <w:tcPr>
            <w:tcW w:w="1755" w:type="dxa"/>
            <w:vAlign w:val="center"/>
          </w:tcPr>
          <w:p>
            <w:pPr>
              <w:widowControl w:val="0"/>
              <w:spacing w:line="0" w:lineRule="atLeast"/>
              <w:jc w:val="center"/>
              <w:rPr>
                <w:rFonts w:ascii="仿宋_GB2312" w:hAnsi="仿宋_GB2312" w:eastAsia="仿宋_GB2312"/>
                <w:color w:val="000000"/>
                <w:w w:val="99"/>
                <w:sz w:val="24"/>
              </w:rPr>
            </w:pPr>
            <w:r>
              <w:rPr>
                <w:rFonts w:hint="eastAsia" w:ascii="仿宋_GB2312" w:hAnsi="仿宋_GB2312" w:eastAsia="仿宋_GB2312"/>
                <w:color w:val="000000"/>
                <w:w w:val="99"/>
                <w:sz w:val="24"/>
              </w:rPr>
              <w:t>市</w:t>
            </w:r>
            <w:r>
              <w:rPr>
                <w:rFonts w:ascii="仿宋_GB2312" w:hAnsi="仿宋_GB2312" w:eastAsia="仿宋_GB2312"/>
                <w:color w:val="000000"/>
                <w:w w:val="99"/>
                <w:sz w:val="24"/>
              </w:rPr>
              <w:t>发改委</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color w:val="000000"/>
                <w:w w:val="99"/>
                <w:sz w:val="24"/>
              </w:rPr>
              <w:t>市</w:t>
            </w:r>
            <w:r>
              <w:rPr>
                <w:rFonts w:hint="eastAsia" w:ascii="仿宋_GB2312" w:hAnsi="仿宋_GB2312" w:eastAsia="仿宋_GB2312"/>
                <w:color w:val="000000"/>
                <w:w w:val="99"/>
                <w:sz w:val="24"/>
                <w:lang w:eastAsia="zh-CN"/>
              </w:rPr>
              <w:t>旅发委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753" w:type="dxa"/>
            <w:vAlign w:val="center"/>
          </w:tcPr>
          <w:p>
            <w:pPr>
              <w:widowControl w:val="0"/>
              <w:jc w:val="center"/>
              <w:rPr>
                <w:rFonts w:ascii="仿宋_GB2312" w:hAnsi="仿宋_GB2312" w:eastAsia="仿宋_GB2312"/>
                <w:sz w:val="24"/>
              </w:rPr>
            </w:pPr>
            <w:r>
              <w:rPr>
                <w:rFonts w:ascii="Times New Roman" w:hAnsi="Times New Roman" w:eastAsia="Times New Roman"/>
                <w:w w:val="99"/>
                <w:sz w:val="24"/>
              </w:rPr>
              <w:t>30</w:t>
            </w:r>
          </w:p>
        </w:tc>
        <w:tc>
          <w:tcPr>
            <w:tcW w:w="1776" w:type="dxa"/>
            <w:vAlign w:val="center"/>
          </w:tcPr>
          <w:p>
            <w:pPr>
              <w:widowControl w:val="0"/>
              <w:spacing w:line="0" w:lineRule="atLeast"/>
              <w:jc w:val="center"/>
              <w:rPr>
                <w:rFonts w:ascii="Times New Roman" w:hAnsi="Times New Roman" w:eastAsia="Times New Roman"/>
                <w:sz w:val="10"/>
              </w:rPr>
            </w:pPr>
            <w:r>
              <w:rPr>
                <w:rFonts w:ascii="仿宋_GB2312" w:hAnsi="仿宋_GB2312" w:eastAsia="仿宋_GB2312"/>
                <w:sz w:val="24"/>
              </w:rPr>
              <w:t>做好宣传引导</w:t>
            </w:r>
          </w:p>
        </w:tc>
        <w:tc>
          <w:tcPr>
            <w:tcW w:w="5236" w:type="dxa"/>
            <w:vAlign w:val="center"/>
          </w:tcPr>
          <w:p>
            <w:pPr>
              <w:widowControl w:val="0"/>
              <w:jc w:val="both"/>
              <w:rPr>
                <w:rFonts w:ascii="仿宋_GB2312" w:hAnsi="仿宋_GB2312" w:eastAsia="仿宋_GB2312"/>
                <w:sz w:val="24"/>
              </w:rPr>
            </w:pPr>
            <w:r>
              <w:rPr>
                <w:rFonts w:hint="eastAsia" w:ascii="仿宋_GB2312" w:hAnsi="仿宋_GB2312" w:eastAsia="仿宋_GB2312"/>
                <w:sz w:val="24"/>
              </w:rPr>
              <w:t>充分利用全国低碳日、节能宣传周、世界环境日、</w:t>
            </w:r>
          </w:p>
          <w:p>
            <w:pPr>
              <w:widowControl w:val="0"/>
              <w:jc w:val="both"/>
              <w:rPr>
                <w:rFonts w:ascii="仿宋_GB2312" w:hAnsi="仿宋_GB2312" w:eastAsia="仿宋_GB2312"/>
                <w:sz w:val="24"/>
              </w:rPr>
            </w:pPr>
            <w:r>
              <w:rPr>
                <w:rFonts w:hint="eastAsia" w:ascii="仿宋_GB2312" w:hAnsi="仿宋_GB2312" w:eastAsia="仿宋_GB2312"/>
                <w:sz w:val="24"/>
              </w:rPr>
              <w:t>中国水周等节日及太原能源低碳发展论坛、农博会、晋商大会、文博会等活动平台和新媒体，全方位、多层次进行宣传引导，提升全民低碳意识，树立绿色低碳消费观。建立应对气候变化公众参与机制，鼓励社会公众积极参与低碳政策制定、重大低碳项目决策等工作，营造积极应对气候变化的良好社会氛围。</w:t>
            </w:r>
          </w:p>
        </w:tc>
        <w:tc>
          <w:tcPr>
            <w:tcW w:w="1755" w:type="dxa"/>
            <w:vAlign w:val="center"/>
          </w:tcPr>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发改委</w:t>
            </w:r>
          </w:p>
          <w:p>
            <w:pPr>
              <w:widowControl w:val="0"/>
              <w:spacing w:line="0" w:lineRule="atLeast"/>
              <w:jc w:val="center"/>
              <w:rPr>
                <w:rFonts w:ascii="仿宋_GB2312" w:hAnsi="仿宋_GB2312" w:eastAsia="仿宋_GB2312"/>
                <w:w w:val="99"/>
                <w:sz w:val="24"/>
              </w:rPr>
            </w:pPr>
            <w:r>
              <w:rPr>
                <w:rFonts w:hint="eastAsia" w:ascii="仿宋_GB2312" w:hAnsi="仿宋_GB2312" w:eastAsia="仿宋_GB2312"/>
                <w:w w:val="99"/>
                <w:sz w:val="24"/>
              </w:rPr>
              <w:t>市</w:t>
            </w:r>
            <w:r>
              <w:rPr>
                <w:rFonts w:ascii="仿宋_GB2312" w:hAnsi="仿宋_GB2312" w:eastAsia="仿宋_GB2312"/>
                <w:w w:val="99"/>
                <w:sz w:val="24"/>
              </w:rPr>
              <w:t>委宣传部</w:t>
            </w:r>
          </w:p>
        </w:tc>
      </w:tr>
    </w:tbl>
    <w:p>
      <w:pPr>
        <w:tabs>
          <w:tab w:val="left" w:pos="681"/>
        </w:tabs>
        <w:jc w:val="left"/>
        <w:rPr>
          <w:lang w:val="en-US" w:eastAsia="zh-CN"/>
        </w:rPr>
      </w:pPr>
    </w:p>
    <w:sectPr>
      <w:footerReference r:id="rId3" w:type="default"/>
      <w:pgSz w:w="11906" w:h="16838"/>
      <w:pgMar w:top="1440" w:right="1020" w:bottom="1247" w:left="1020" w:header="851" w:footer="1247" w:gutter="0"/>
      <w:paperSrc/>
      <w:pgNumType w:fmt="numberInDash" w:start="16"/>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8" w:usb3="00000000" w:csb0="0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sz w:val="18"/>
        <w:szCs w:val="22"/>
        <w:lang w:val="en-US" w:eastAsia="zh-CN" w:bidi="ar-SA"/>
      </w:rPr>
      <w:pict>
        <v:rect id="文本框 3" o:spid="_x0000_s2049" o:spt="1"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t>- 16 -</w:t>
                </w:r>
                <w:r>
                  <w:rPr>
                    <w:rFonts w:hint="eastAsia" w:ascii="宋体" w:hAnsi="宋体" w:eastAsia="宋体" w:cs="宋体"/>
                    <w:sz w:val="24"/>
                    <w:szCs w:val="24"/>
                    <w:lang w:eastAsia="zh-CN"/>
                  </w:rPr>
                  <w:fldChar w:fldCharType="end"/>
                </w:r>
              </w:p>
            </w:txbxContent>
          </v:textbox>
        </v:rect>
      </w:pict>
    </w:r>
    <w:r>
      <w:rPr>
        <w:rFonts w:ascii="Calibri" w:hAnsi="Calibri" w:eastAsia="宋体" w:cs="黑体"/>
        <w:sz w:val="18"/>
        <w:szCs w:val="22"/>
        <w:lang w:val="en-US" w:eastAsia="zh-CN" w:bidi="ar-SA"/>
      </w:rPr>
      <w:pict>
        <v:rect id="文本框 1" o:spid="_x0000_s2050"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eastAsia="宋体"/>
                    <w:lang w:val="en-US" w:eastAsia="zh-CN"/>
                  </w:rPr>
                </w:pP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6155A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黑体"/>
      <w:sz w:val="21"/>
      <w:szCs w:val="22"/>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勿忘初衷ღ</cp:lastModifiedBy>
  <cp:lastPrinted>2018-06-08T10:04:00Z</cp:lastPrinted>
  <dcterms:modified xsi:type="dcterms:W3CDTF">2022-01-05T07:08:46Z</dcterms:modified>
  <dc:title>“十三五”控制温室气体排放实施方案任务分工表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2E1422E90A6246619713FC3DE956DE40</vt:lpwstr>
  </property>
</Properties>
</file>