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BC" w:rsidRDefault="0055023D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DC69BC" w:rsidRDefault="0055023D">
      <w:pPr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市应急管理局抽查检查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家尾矿库名单</w:t>
      </w:r>
    </w:p>
    <w:p w:rsidR="00DC69BC" w:rsidRDefault="00DC69BC">
      <w:pPr>
        <w:rPr>
          <w:rFonts w:ascii="仿宋_GB2312" w:eastAsia="仿宋_GB2312" w:hAnsi="仿宋_GB2312" w:cs="仿宋_GB2312"/>
          <w:sz w:val="32"/>
          <w:szCs w:val="32"/>
        </w:rPr>
      </w:pP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太钢集团公司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口铁矿牛圈沟第一尾矿库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代县双立选厂黑石沟尾矿库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忻州市通源矿业有限责任公司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西窖沟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代县大红才矿业有限公司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车间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涓沟曲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代县龙华矿业有限责任公司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1#</w:t>
      </w:r>
      <w:r>
        <w:rPr>
          <w:rFonts w:ascii="仿宋_GB2312" w:eastAsia="仿宋_GB2312" w:hAnsi="仿宋_GB2312" w:cs="仿宋_GB2312" w:hint="eastAsia"/>
          <w:sz w:val="32"/>
          <w:szCs w:val="32"/>
        </w:rPr>
        <w:t>掌家沟尾矿库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代县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选矿厂尾矿库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山西文溪矿业有限公司唿哨沟尾矿库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繁峙县兴隆矿业有限责任公司尾矿库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繁峙县昇通磁选厂尾矿库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繁峙县虎威铁选厂尾矿库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繁峙县圣兴矿产品加工有限公司尾矿库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繁峙县永平矿业有限公司尾矿库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中电投山西铝业有限责任公司上木章赤泥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原平钢铁有限公司皇家庄铁矿尾矿库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原平市隆盛矿业有限公司尾矿库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原平市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源矿业有限公司尾矿库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五台县铺上铁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矿尾矿二库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五台县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星选矿有限公司尾矿库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五台县宏远矿业有限公司东坡尾矿库</w:t>
      </w:r>
    </w:p>
    <w:p w:rsidR="00DC69BC" w:rsidRDefault="0055023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五台县瑞琪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矿业有限公司尾矿库</w:t>
      </w:r>
    </w:p>
    <w:p w:rsidR="00DC69BC" w:rsidRDefault="00DC69BC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DC69BC" w:rsidRDefault="0055023D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DC69BC" w:rsidRDefault="0055023D">
      <w:pPr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汛期尾矿库专项督查检查表</w:t>
      </w:r>
    </w:p>
    <w:p w:rsidR="00DC69BC" w:rsidRDefault="0055023D">
      <w:pPr>
        <w:spacing w:line="6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企业名称：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  <w:r>
        <w:rPr>
          <w:rFonts w:hint="eastAsia"/>
          <w:sz w:val="24"/>
          <w:szCs w:val="24"/>
        </w:rPr>
        <w:t>生产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基建□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停产□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DC69BC" w:rsidRDefault="0055023D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检查人员：</w:t>
      </w:r>
      <w:r>
        <w:rPr>
          <w:rFonts w:hint="eastAsia"/>
          <w:sz w:val="24"/>
          <w:szCs w:val="24"/>
          <w:u w:val="single"/>
        </w:rPr>
        <w:t xml:space="preserve">                                          </w:t>
      </w:r>
      <w:r>
        <w:rPr>
          <w:rFonts w:hint="eastAsia"/>
          <w:sz w:val="24"/>
          <w:szCs w:val="24"/>
        </w:rPr>
        <w:t xml:space="preserve">  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904"/>
        <w:gridCol w:w="5528"/>
        <w:gridCol w:w="1138"/>
        <w:gridCol w:w="472"/>
      </w:tblGrid>
      <w:tr w:rsidR="00DC69B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384" w:type="dxa"/>
            <w:gridSpan w:val="2"/>
            <w:vAlign w:val="center"/>
          </w:tcPr>
          <w:p w:rsidR="00DC69BC" w:rsidRDefault="0055023D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专项督查检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查内容</w:t>
            </w:r>
            <w:proofErr w:type="gramEnd"/>
          </w:p>
        </w:tc>
        <w:tc>
          <w:tcPr>
            <w:tcW w:w="1610" w:type="dxa"/>
            <w:gridSpan w:val="2"/>
            <w:vAlign w:val="center"/>
          </w:tcPr>
          <w:p w:rsidR="00DC69BC" w:rsidRDefault="0055023D">
            <w:pPr>
              <w:spacing w:line="5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检查结果</w:t>
            </w: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0" w:type="dxa"/>
            <w:vMerge w:val="restart"/>
            <w:vAlign w:val="center"/>
          </w:tcPr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  <w:vMerge w:val="restart"/>
            <w:vAlign w:val="center"/>
          </w:tcPr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部门监管责任落实</w:t>
            </w: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各县级安全监管部门是否安排部署汛期非煤矿山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尾矿库督查检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查工作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是否明确了专项检查重点内容及责任分工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是否成立汛期非煤矿山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尾矿库全覆盖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检查领导组织机构</w:t>
            </w:r>
          </w:p>
        </w:tc>
        <w:tc>
          <w:tcPr>
            <w:tcW w:w="1138" w:type="dxa"/>
            <w:vMerge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0" w:type="dxa"/>
            <w:vMerge w:val="restart"/>
            <w:vAlign w:val="center"/>
          </w:tcPr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  <w:vMerge w:val="restart"/>
            <w:vAlign w:val="center"/>
          </w:tcPr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企业主体责任落实</w:t>
            </w: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企业负责人是否安排部署汛期非煤矿山尾矿库安全隐患排查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是否成立汛期防汛工作领导机构，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24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小时安排有专人值班值守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是否组织尾矿库汛期前排洪系统专项检查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领导干部是否执行尾矿库巡查制度，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强降雨期间停止放矿作业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是否储备应急物资，数量明确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各种记录、台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账是否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健全完善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尾矿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库现场</w:t>
            </w:r>
            <w:proofErr w:type="gramEnd"/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排洪设施是否畅通完好，系统是否运行正常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库内是否设置清晰醒目的水位标尺，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并标明正常水位、警戒水位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浸润线埋深</w:t>
            </w:r>
            <w:r>
              <w:rPr>
                <w:rFonts w:ascii="仿宋_GB2312" w:eastAsia="仿宋_GB2312" w:hAnsi="仿宋" w:cs="仿宋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干滩长度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Cs w:val="21"/>
              </w:rPr>
              <w:t>安全超高符合设计要求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汛期到来之前是否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降低了库内水位，调洪库容是否满足设计要求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0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DC69BC" w:rsidRDefault="00DC6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C69BC" w:rsidRDefault="0055023D">
            <w:pPr>
              <w:spacing w:line="240" w:lineRule="atLeas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坝体稳定性、外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破坡比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排渗设施是否符合设计和安全要求</w:t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:rsidR="00DC69BC" w:rsidRDefault="00DC69B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69BC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384" w:type="dxa"/>
            <w:gridSpan w:val="2"/>
            <w:vAlign w:val="center"/>
          </w:tcPr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存在</w:t>
            </w:r>
          </w:p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问题</w:t>
            </w:r>
          </w:p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</w:t>
            </w:r>
          </w:p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</w:t>
            </w:r>
          </w:p>
          <w:p w:rsidR="00DC69BC" w:rsidRDefault="00550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38" w:type="dxa"/>
            <w:gridSpan w:val="3"/>
            <w:vAlign w:val="center"/>
          </w:tcPr>
          <w:p w:rsidR="00DC69BC" w:rsidRDefault="00DC69BC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C69BC" w:rsidRDefault="00DC69BC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C69BC" w:rsidRDefault="00DC69BC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DC69BC" w:rsidRDefault="00DC69BC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DC69BC" w:rsidRDefault="0055023D">
            <w:pPr>
              <w:adjustRightInd w:val="0"/>
              <w:snapToGrid w:val="0"/>
              <w:ind w:firstLineChars="1372" w:firstLine="3306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DC69BC" w:rsidRDefault="00DC69BC">
      <w:pPr>
        <w:rPr>
          <w:sz w:val="24"/>
          <w:szCs w:val="24"/>
          <w:u w:val="single"/>
        </w:rPr>
      </w:pPr>
    </w:p>
    <w:sectPr w:rsidR="00DC69BC" w:rsidSect="00DC69BC">
      <w:pgSz w:w="11906" w:h="16838"/>
      <w:pgMar w:top="1440" w:right="1800" w:bottom="170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3D" w:rsidRDefault="0055023D" w:rsidP="002C7CD6">
      <w:r>
        <w:separator/>
      </w:r>
    </w:p>
  </w:endnote>
  <w:endnote w:type="continuationSeparator" w:id="0">
    <w:p w:rsidR="0055023D" w:rsidRDefault="0055023D" w:rsidP="002C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3D" w:rsidRDefault="0055023D" w:rsidP="002C7CD6">
      <w:r>
        <w:separator/>
      </w:r>
    </w:p>
  </w:footnote>
  <w:footnote w:type="continuationSeparator" w:id="0">
    <w:p w:rsidR="0055023D" w:rsidRDefault="0055023D" w:rsidP="002C7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BC"/>
    <w:rsid w:val="002C7CD6"/>
    <w:rsid w:val="0055023D"/>
    <w:rsid w:val="00DC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C6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DC69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6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非煤矿山民爆物品专项督查检查表</dc:title>
  <dc:creator>ajj</dc:creator>
  <cp:lastModifiedBy>ajj</cp:lastModifiedBy>
  <cp:revision>2</cp:revision>
  <cp:lastPrinted>2019-06-03T00:54:00Z</cp:lastPrinted>
  <dcterms:created xsi:type="dcterms:W3CDTF">2019-06-03T02:14:00Z</dcterms:created>
  <dcterms:modified xsi:type="dcterms:W3CDTF">2019-06-03T02:14:00Z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