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0" w:leftChars="200" w:right="560" w:rightChars="200" w:firstLine="0" w:firstLineChars="0"/>
        <w:jc w:val="center"/>
        <w:rPr>
          <w:sz w:val="52"/>
          <w:szCs w:val="52"/>
        </w:rPr>
      </w:pPr>
      <w:bookmarkStart w:id="100" w:name="_GoBack"/>
      <w:bookmarkEnd w:id="100"/>
    </w:p>
    <w:p>
      <w:pPr>
        <w:ind w:left="560" w:leftChars="200" w:right="560" w:rightChars="200" w:firstLine="0" w:firstLineChars="0"/>
        <w:jc w:val="center"/>
        <w:rPr>
          <w:sz w:val="52"/>
          <w:szCs w:val="52"/>
        </w:rPr>
      </w:pPr>
    </w:p>
    <w:p>
      <w:pPr>
        <w:ind w:left="560" w:leftChars="200" w:right="560" w:rightChars="200" w:firstLine="0" w:firstLineChars="0"/>
        <w:jc w:val="center"/>
        <w:rPr>
          <w:sz w:val="52"/>
          <w:szCs w:val="52"/>
        </w:rPr>
      </w:pPr>
    </w:p>
    <w:p>
      <w:pPr>
        <w:overflowPunct w:val="0"/>
        <w:autoSpaceDE w:val="0"/>
        <w:autoSpaceDN w:val="0"/>
        <w:ind w:firstLine="0" w:firstLineChars="0"/>
        <w:jc w:val="center"/>
        <w:rPr>
          <w:rFonts w:ascii="仿宋" w:hAnsi="仿宋"/>
          <w:b/>
          <w:sz w:val="52"/>
          <w:szCs w:val="52"/>
        </w:rPr>
      </w:pPr>
      <w:r>
        <w:rPr>
          <w:rFonts w:hint="eastAsia" w:ascii="仿宋" w:hAnsi="仿宋"/>
          <w:b/>
          <w:sz w:val="52"/>
          <w:szCs w:val="52"/>
        </w:rPr>
        <w:t>忻州市矿山地质环境保护与治理</w:t>
      </w:r>
    </w:p>
    <w:p>
      <w:pPr>
        <w:overflowPunct w:val="0"/>
        <w:autoSpaceDE w:val="0"/>
        <w:autoSpaceDN w:val="0"/>
        <w:ind w:firstLine="0" w:firstLineChars="0"/>
        <w:jc w:val="center"/>
        <w:rPr>
          <w:rFonts w:ascii="仿宋" w:hAnsi="仿宋"/>
          <w:b/>
          <w:sz w:val="52"/>
          <w:szCs w:val="52"/>
        </w:rPr>
      </w:pPr>
      <w:r>
        <w:rPr>
          <w:rFonts w:hint="eastAsia" w:ascii="仿宋" w:hAnsi="仿宋"/>
          <w:b/>
          <w:sz w:val="52"/>
          <w:szCs w:val="52"/>
        </w:rPr>
        <w:t>规划（</w:t>
      </w:r>
      <w:r>
        <w:rPr>
          <w:b/>
          <w:sz w:val="52"/>
          <w:szCs w:val="52"/>
        </w:rPr>
        <w:t>2021-2025</w:t>
      </w:r>
      <w:r>
        <w:rPr>
          <w:rFonts w:hint="eastAsia" w:ascii="仿宋" w:hAnsi="仿宋"/>
          <w:b/>
          <w:sz w:val="52"/>
          <w:szCs w:val="52"/>
        </w:rPr>
        <w:t>年）</w:t>
      </w:r>
    </w:p>
    <w:p>
      <w:pPr>
        <w:ind w:left="560" w:leftChars="200" w:right="560" w:rightChars="200" w:firstLine="0" w:firstLineChars="0"/>
        <w:rPr>
          <w:rFonts w:eastAsia="宋体"/>
          <w:b/>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firstLine="0" w:firstLineChars="0"/>
        <w:rPr>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left="560" w:leftChars="200" w:right="560" w:rightChars="200" w:firstLine="0" w:firstLineChars="0"/>
        <w:rPr>
          <w:szCs w:val="28"/>
        </w:rPr>
      </w:pPr>
    </w:p>
    <w:p>
      <w:pPr>
        <w:ind w:left="560" w:leftChars="200" w:right="560" w:rightChars="200" w:firstLine="0" w:firstLineChars="0"/>
        <w:jc w:val="center"/>
        <w:rPr>
          <w:rFonts w:ascii="宋体" w:hAnsi="宋体" w:eastAsia="宋体"/>
          <w:b/>
          <w:sz w:val="32"/>
          <w:szCs w:val="32"/>
        </w:rPr>
      </w:pPr>
    </w:p>
    <w:p>
      <w:pPr>
        <w:ind w:firstLine="0" w:firstLineChars="0"/>
        <w:jc w:val="center"/>
        <w:rPr>
          <w:rFonts w:ascii="仿宋" w:hAnsi="仿宋"/>
          <w:b/>
          <w:sz w:val="32"/>
          <w:szCs w:val="32"/>
        </w:rPr>
      </w:pPr>
      <w:r>
        <w:rPr>
          <w:rFonts w:hint="eastAsia" w:ascii="仿宋" w:hAnsi="仿宋"/>
          <w:b/>
          <w:sz w:val="32"/>
          <w:szCs w:val="32"/>
        </w:rPr>
        <w:t>忻州市人民政府</w:t>
      </w:r>
    </w:p>
    <w:p>
      <w:pPr>
        <w:ind w:firstLine="0" w:firstLineChars="0"/>
        <w:jc w:val="center"/>
        <w:rPr>
          <w:rFonts w:ascii="宋体" w:hAnsi="宋体" w:eastAsia="宋体"/>
          <w:b/>
          <w:sz w:val="32"/>
          <w:szCs w:val="32"/>
        </w:rPr>
      </w:pPr>
      <w:r>
        <w:rPr>
          <w:rFonts w:hint="eastAsia" w:ascii="仿宋" w:hAnsi="仿宋"/>
          <w:b/>
          <w:sz w:val="32"/>
          <w:szCs w:val="32"/>
        </w:rPr>
        <w:t>二〇二〇年十一月</w:t>
      </w:r>
    </w:p>
    <w:p>
      <w:pPr>
        <w:ind w:left="560" w:leftChars="200" w:right="560" w:rightChars="200" w:firstLine="2875" w:firstLineChars="895"/>
        <w:rPr>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ind w:firstLine="0" w:firstLineChars="0"/>
        <w:jc w:val="center"/>
        <w:rPr>
          <w:rFonts w:ascii="仿宋" w:hAnsi="仿宋"/>
          <w:b/>
          <w:bCs/>
          <w:sz w:val="30"/>
          <w:szCs w:val="30"/>
        </w:rPr>
      </w:pPr>
      <w:r>
        <w:rPr>
          <w:rFonts w:ascii="仿宋" w:hAnsi="仿宋"/>
          <w:b/>
          <w:bCs/>
          <w:sz w:val="30"/>
          <w:szCs w:val="30"/>
        </w:rPr>
        <w:t>目</w:t>
      </w:r>
      <w:r>
        <w:rPr>
          <w:rFonts w:hint="eastAsia" w:ascii="仿宋" w:hAnsi="仿宋"/>
          <w:b/>
          <w:bCs/>
          <w:sz w:val="30"/>
          <w:szCs w:val="30"/>
        </w:rPr>
        <w:t xml:space="preserve"> </w:t>
      </w:r>
      <w:r>
        <w:rPr>
          <w:rFonts w:ascii="仿宋" w:hAnsi="仿宋"/>
          <w:b/>
          <w:bCs/>
          <w:sz w:val="30"/>
          <w:szCs w:val="30"/>
        </w:rPr>
        <w:t>录</w:t>
      </w:r>
    </w:p>
    <w:p>
      <w:pPr>
        <w:pStyle w:val="16"/>
        <w:tabs>
          <w:tab w:val="right" w:leader="dot" w:pos="8617"/>
        </w:tabs>
        <w:ind w:firstLine="0" w:firstLineChars="0"/>
        <w:rPr>
          <w:sz w:val="24"/>
        </w:rPr>
      </w:pPr>
      <w:r>
        <w:rPr>
          <w:rFonts w:eastAsia="宋体"/>
          <w:sz w:val="24"/>
          <w:lang w:val="zh-CN"/>
        </w:rPr>
        <w:fldChar w:fldCharType="begin"/>
      </w:r>
      <w:r>
        <w:rPr>
          <w:rFonts w:eastAsia="宋体"/>
          <w:sz w:val="24"/>
          <w:lang w:val="zh-CN"/>
        </w:rPr>
        <w:instrText xml:space="preserve"> TOC \o "1-3" \h \z \u </w:instrText>
      </w:r>
      <w:r>
        <w:rPr>
          <w:rFonts w:eastAsia="宋体"/>
          <w:sz w:val="24"/>
          <w:lang w:val="zh-CN"/>
        </w:rPr>
        <w:fldChar w:fldCharType="separate"/>
      </w:r>
      <w:r>
        <w:fldChar w:fldCharType="begin"/>
      </w:r>
      <w:r>
        <w:instrText xml:space="preserve"> HYPERLINK \l "_Toc1359" </w:instrText>
      </w:r>
      <w:r>
        <w:fldChar w:fldCharType="separate"/>
      </w:r>
      <w:r>
        <w:rPr>
          <w:rFonts w:hint="eastAsia"/>
          <w:sz w:val="24"/>
        </w:rPr>
        <w:t>总 则</w:t>
      </w:r>
      <w:r>
        <w:rPr>
          <w:sz w:val="24"/>
        </w:rPr>
        <w:tab/>
      </w:r>
      <w:r>
        <w:rPr>
          <w:sz w:val="24"/>
        </w:rPr>
        <w:fldChar w:fldCharType="begin"/>
      </w:r>
      <w:r>
        <w:rPr>
          <w:sz w:val="24"/>
        </w:rPr>
        <w:instrText xml:space="preserve"> PAGEREF _Toc1359 </w:instrText>
      </w:r>
      <w:r>
        <w:rPr>
          <w:sz w:val="24"/>
        </w:rPr>
        <w:fldChar w:fldCharType="separate"/>
      </w:r>
      <w:r>
        <w:rPr>
          <w:sz w:val="24"/>
        </w:rPr>
        <w:t>1</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"_Toc6202" </w:instrText>
      </w:r>
      <w:r>
        <w:fldChar w:fldCharType="separate"/>
      </w:r>
      <w:r>
        <w:rPr>
          <w:rFonts w:hint="eastAsia"/>
          <w:sz w:val="24"/>
        </w:rPr>
        <w:t>第一章 现状与形势</w:t>
      </w:r>
      <w:r>
        <w:rPr>
          <w:sz w:val="24"/>
        </w:rPr>
        <w:tab/>
      </w:r>
      <w:r>
        <w:rPr>
          <w:sz w:val="24"/>
        </w:rPr>
        <w:fldChar w:fldCharType="begin"/>
      </w:r>
      <w:r>
        <w:rPr>
          <w:sz w:val="24"/>
        </w:rPr>
        <w:instrText xml:space="preserve"> PAGEREF _Toc6202 </w:instrText>
      </w:r>
      <w:r>
        <w:rPr>
          <w:sz w:val="24"/>
        </w:rPr>
        <w:fldChar w:fldCharType="separate"/>
      </w:r>
      <w:r>
        <w:rPr>
          <w:sz w:val="24"/>
        </w:rPr>
        <w:t>2</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"_Toc19" </w:instrText>
      </w:r>
      <w:r>
        <w:fldChar w:fldCharType="separate"/>
      </w:r>
      <w:r>
        <w:rPr>
          <w:rFonts w:hint="eastAsia"/>
          <w:sz w:val="24"/>
        </w:rPr>
        <w:t>第一节 矿山地质环境现状</w:t>
      </w:r>
      <w:r>
        <w:rPr>
          <w:sz w:val="24"/>
        </w:rPr>
        <w:tab/>
      </w:r>
      <w:r>
        <w:rPr>
          <w:sz w:val="24"/>
        </w:rPr>
        <w:fldChar w:fldCharType="begin"/>
      </w:r>
      <w:r>
        <w:rPr>
          <w:sz w:val="24"/>
        </w:rPr>
        <w:instrText xml:space="preserve"> PAGEREF _Toc19 </w:instrText>
      </w:r>
      <w:r>
        <w:rPr>
          <w:sz w:val="24"/>
        </w:rPr>
        <w:fldChar w:fldCharType="separate"/>
      </w:r>
      <w:r>
        <w:rPr>
          <w:sz w:val="24"/>
        </w:rPr>
        <w:t>2</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"_Toc2090" </w:instrText>
      </w:r>
      <w:r>
        <w:fldChar w:fldCharType="separate"/>
      </w:r>
      <w:r>
        <w:rPr>
          <w:rFonts w:hint="eastAsia"/>
          <w:sz w:val="24"/>
        </w:rPr>
        <w:t>一、矿产资源开发利用现状</w:t>
      </w:r>
      <w:r>
        <w:rPr>
          <w:sz w:val="24"/>
        </w:rPr>
        <w:tab/>
      </w:r>
      <w:r>
        <w:rPr>
          <w:sz w:val="24"/>
        </w:rPr>
        <w:fldChar w:fldCharType="begin"/>
      </w:r>
      <w:r>
        <w:rPr>
          <w:sz w:val="24"/>
        </w:rPr>
        <w:instrText xml:space="preserve"> PAGEREF _Toc2090 </w:instrText>
      </w:r>
      <w:r>
        <w:rPr>
          <w:sz w:val="24"/>
        </w:rPr>
        <w:fldChar w:fldCharType="separate"/>
      </w:r>
      <w:r>
        <w:rPr>
          <w:sz w:val="24"/>
        </w:rPr>
        <w:t>2</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"_Toc3243" </w:instrText>
      </w:r>
      <w:r>
        <w:fldChar w:fldCharType="separate"/>
      </w:r>
      <w:r>
        <w:rPr>
          <w:rFonts w:hint="eastAsia"/>
          <w:sz w:val="24"/>
        </w:rPr>
        <w:t>二、主要矿山地质环境问题</w:t>
      </w:r>
      <w:r>
        <w:rPr>
          <w:sz w:val="24"/>
        </w:rPr>
        <w:tab/>
      </w:r>
      <w:r>
        <w:rPr>
          <w:sz w:val="24"/>
        </w:rPr>
        <w:fldChar w:fldCharType="begin"/>
      </w:r>
      <w:r>
        <w:rPr>
          <w:sz w:val="24"/>
        </w:rPr>
        <w:instrText xml:space="preserve"> PAGEREF _Toc3243 </w:instrText>
      </w:r>
      <w:r>
        <w:rPr>
          <w:sz w:val="24"/>
        </w:rPr>
        <w:fldChar w:fldCharType="separate"/>
      </w:r>
      <w:r>
        <w:rPr>
          <w:sz w:val="24"/>
        </w:rPr>
        <w:t>2</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"_Toc21957" </w:instrText>
      </w:r>
      <w:r>
        <w:fldChar w:fldCharType="separate"/>
      </w:r>
      <w:r>
        <w:rPr>
          <w:rFonts w:hint="eastAsia"/>
          <w:sz w:val="24"/>
        </w:rPr>
        <w:t>第二节 矿山地质环境恢复治理成效</w:t>
      </w:r>
      <w:r>
        <w:rPr>
          <w:sz w:val="24"/>
        </w:rPr>
        <w:tab/>
      </w:r>
      <w:r>
        <w:rPr>
          <w:sz w:val="24"/>
        </w:rPr>
        <w:fldChar w:fldCharType="begin"/>
      </w:r>
      <w:r>
        <w:rPr>
          <w:sz w:val="24"/>
        </w:rPr>
        <w:instrText xml:space="preserve"> PAGEREF _Toc21957 </w:instrText>
      </w:r>
      <w:r>
        <w:rPr>
          <w:sz w:val="24"/>
        </w:rPr>
        <w:fldChar w:fldCharType="separate"/>
      </w:r>
      <w:r>
        <w:rPr>
          <w:sz w:val="24"/>
        </w:rPr>
        <w:t>4</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"_Toc12243" </w:instrText>
      </w:r>
      <w:r>
        <w:fldChar w:fldCharType="separate"/>
      </w:r>
      <w:r>
        <w:rPr>
          <w:rFonts w:hint="eastAsia"/>
          <w:sz w:val="24"/>
        </w:rPr>
        <w:t>一、政策法规制度进一步落实</w:t>
      </w:r>
      <w:r>
        <w:rPr>
          <w:sz w:val="24"/>
        </w:rPr>
        <w:tab/>
      </w:r>
      <w:r>
        <w:rPr>
          <w:sz w:val="24"/>
        </w:rPr>
        <w:fldChar w:fldCharType="begin"/>
      </w:r>
      <w:r>
        <w:rPr>
          <w:sz w:val="24"/>
        </w:rPr>
        <w:instrText xml:space="preserve"> PAGEREF _Toc12243 </w:instrText>
      </w:r>
      <w:r>
        <w:rPr>
          <w:sz w:val="24"/>
        </w:rPr>
        <w:fldChar w:fldCharType="separate"/>
      </w:r>
      <w:r>
        <w:rPr>
          <w:sz w:val="24"/>
        </w:rPr>
        <w:t>4</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"_Toc5642" </w:instrText>
      </w:r>
      <w:r>
        <w:fldChar w:fldCharType="separate"/>
      </w:r>
      <w:r>
        <w:rPr>
          <w:rFonts w:hint="eastAsia"/>
          <w:sz w:val="24"/>
        </w:rPr>
        <w:t>二、初步摸清了全市矿山地质环境问题现状</w:t>
      </w:r>
      <w:r>
        <w:rPr>
          <w:sz w:val="24"/>
        </w:rPr>
        <w:tab/>
      </w:r>
      <w:r>
        <w:rPr>
          <w:sz w:val="24"/>
        </w:rPr>
        <w:fldChar w:fldCharType="begin"/>
      </w:r>
      <w:r>
        <w:rPr>
          <w:sz w:val="24"/>
        </w:rPr>
        <w:instrText xml:space="preserve"> PAGEREF _Toc5642 </w:instrText>
      </w:r>
      <w:r>
        <w:rPr>
          <w:sz w:val="24"/>
        </w:rPr>
        <w:fldChar w:fldCharType="separate"/>
      </w:r>
      <w:r>
        <w:rPr>
          <w:sz w:val="24"/>
        </w:rPr>
        <w:t>5</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"_Toc2290" </w:instrText>
      </w:r>
      <w:r>
        <w:fldChar w:fldCharType="separate"/>
      </w:r>
      <w:r>
        <w:rPr>
          <w:rFonts w:hint="eastAsia"/>
          <w:sz w:val="24"/>
        </w:rPr>
        <w:t>三、矿山地质环境恢复治理力度进一步加大</w:t>
      </w:r>
      <w:r>
        <w:rPr>
          <w:sz w:val="24"/>
        </w:rPr>
        <w:tab/>
      </w:r>
      <w:r>
        <w:rPr>
          <w:sz w:val="24"/>
        </w:rPr>
        <w:fldChar w:fldCharType="begin"/>
      </w:r>
      <w:r>
        <w:rPr>
          <w:sz w:val="24"/>
        </w:rPr>
        <w:instrText xml:space="preserve"> PAGEREF _Toc2290 </w:instrText>
      </w:r>
      <w:r>
        <w:rPr>
          <w:sz w:val="24"/>
        </w:rPr>
        <w:fldChar w:fldCharType="separate"/>
      </w:r>
      <w:r>
        <w:rPr>
          <w:sz w:val="24"/>
        </w:rPr>
        <w:t>5</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"_Toc30595" </w:instrText>
      </w:r>
      <w:r>
        <w:fldChar w:fldCharType="separate"/>
      </w:r>
      <w:r>
        <w:rPr>
          <w:rFonts w:hint="eastAsia"/>
          <w:sz w:val="24"/>
        </w:rPr>
        <w:t>四、绿色矿山建设成效显著</w:t>
      </w:r>
      <w:r>
        <w:rPr>
          <w:sz w:val="24"/>
        </w:rPr>
        <w:tab/>
      </w:r>
      <w:r>
        <w:rPr>
          <w:sz w:val="24"/>
        </w:rPr>
        <w:fldChar w:fldCharType="begin"/>
      </w:r>
      <w:r>
        <w:rPr>
          <w:sz w:val="24"/>
        </w:rPr>
        <w:instrText xml:space="preserve"> PAGEREF _Toc30595 </w:instrText>
      </w:r>
      <w:r>
        <w:rPr>
          <w:sz w:val="24"/>
        </w:rPr>
        <w:fldChar w:fldCharType="separate"/>
      </w:r>
      <w:r>
        <w:rPr>
          <w:sz w:val="24"/>
        </w:rPr>
        <w:t>5</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"_Toc28199" </w:instrText>
      </w:r>
      <w:r>
        <w:fldChar w:fldCharType="separate"/>
      </w:r>
      <w:r>
        <w:rPr>
          <w:rFonts w:hint="eastAsia"/>
          <w:sz w:val="24"/>
        </w:rPr>
        <w:t>第三节 矿山地质环境治理面临形势及存在问题</w:t>
      </w:r>
      <w:r>
        <w:rPr>
          <w:sz w:val="24"/>
        </w:rPr>
        <w:tab/>
      </w:r>
      <w:r>
        <w:rPr>
          <w:sz w:val="24"/>
        </w:rPr>
        <w:fldChar w:fldCharType="begin"/>
      </w:r>
      <w:r>
        <w:rPr>
          <w:sz w:val="24"/>
        </w:rPr>
        <w:instrText xml:space="preserve"> PAGEREF _Toc28199 </w:instrText>
      </w:r>
      <w:r>
        <w:rPr>
          <w:sz w:val="24"/>
        </w:rPr>
        <w:fldChar w:fldCharType="separate"/>
      </w:r>
      <w:r>
        <w:rPr>
          <w:sz w:val="24"/>
        </w:rPr>
        <w:t>6</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"_Toc15014" </w:instrText>
      </w:r>
      <w:r>
        <w:fldChar w:fldCharType="separate"/>
      </w:r>
      <w:r>
        <w:rPr>
          <w:rFonts w:hint="eastAsia"/>
          <w:sz w:val="24"/>
        </w:rPr>
        <w:t>一、新时代生态文明建设迫切要求加快推进矿山地质环境恢复治理</w:t>
      </w:r>
      <w:r>
        <w:rPr>
          <w:sz w:val="24"/>
        </w:rPr>
        <w:tab/>
      </w:r>
      <w:r>
        <w:rPr>
          <w:sz w:val="24"/>
        </w:rPr>
        <w:fldChar w:fldCharType="begin"/>
      </w:r>
      <w:r>
        <w:rPr>
          <w:sz w:val="24"/>
        </w:rPr>
        <w:instrText xml:space="preserve"> PAGEREF _Toc15014 </w:instrText>
      </w:r>
      <w:r>
        <w:rPr>
          <w:sz w:val="24"/>
        </w:rPr>
        <w:fldChar w:fldCharType="separate"/>
      </w:r>
      <w:r>
        <w:rPr>
          <w:sz w:val="24"/>
        </w:rPr>
        <w:t>6</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"_Toc7577" </w:instrText>
      </w:r>
      <w:r>
        <w:fldChar w:fldCharType="separate"/>
      </w:r>
      <w:r>
        <w:rPr>
          <w:rFonts w:hint="eastAsia"/>
          <w:sz w:val="24"/>
        </w:rPr>
        <w:t>二、矿产资源开发利用不断优化，矿山地质环境问题有所控制</w:t>
      </w:r>
      <w:r>
        <w:rPr>
          <w:sz w:val="24"/>
        </w:rPr>
        <w:tab/>
      </w:r>
      <w:r>
        <w:rPr>
          <w:sz w:val="24"/>
        </w:rPr>
        <w:fldChar w:fldCharType="begin"/>
      </w:r>
      <w:r>
        <w:rPr>
          <w:sz w:val="24"/>
        </w:rPr>
        <w:instrText xml:space="preserve"> PAGEREF _Toc7577 </w:instrText>
      </w:r>
      <w:r>
        <w:rPr>
          <w:sz w:val="24"/>
        </w:rPr>
        <w:fldChar w:fldCharType="separate"/>
      </w:r>
      <w:r>
        <w:rPr>
          <w:sz w:val="24"/>
        </w:rPr>
        <w:t>6</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"_Toc20064" </w:instrText>
      </w:r>
      <w:r>
        <w:fldChar w:fldCharType="separate"/>
      </w:r>
      <w:r>
        <w:rPr>
          <w:rFonts w:hint="eastAsia"/>
          <w:sz w:val="24"/>
        </w:rPr>
        <w:t>三、历史遗留的矿山地质环境治理任务依然繁重</w:t>
      </w:r>
      <w:r>
        <w:rPr>
          <w:sz w:val="24"/>
        </w:rPr>
        <w:tab/>
      </w:r>
      <w:r>
        <w:rPr>
          <w:sz w:val="24"/>
        </w:rPr>
        <w:fldChar w:fldCharType="begin"/>
      </w:r>
      <w:r>
        <w:rPr>
          <w:sz w:val="24"/>
        </w:rPr>
        <w:instrText xml:space="preserve"> PAGEREF _Toc20064 </w:instrText>
      </w:r>
      <w:r>
        <w:rPr>
          <w:sz w:val="24"/>
        </w:rPr>
        <w:fldChar w:fldCharType="separate"/>
      </w:r>
      <w:r>
        <w:rPr>
          <w:sz w:val="24"/>
        </w:rPr>
        <w:t>6</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"_Toc22106" </w:instrText>
      </w:r>
      <w:r>
        <w:fldChar w:fldCharType="separate"/>
      </w:r>
      <w:r>
        <w:rPr>
          <w:rFonts w:hint="eastAsia"/>
          <w:sz w:val="24"/>
        </w:rPr>
        <w:t>四、矿业权人自觉履行矿山地质环境治理义务的主动性有待提高</w:t>
      </w:r>
      <w:r>
        <w:rPr>
          <w:sz w:val="24"/>
        </w:rPr>
        <w:tab/>
      </w:r>
      <w:r>
        <w:rPr>
          <w:sz w:val="24"/>
        </w:rPr>
        <w:fldChar w:fldCharType="begin"/>
      </w:r>
      <w:r>
        <w:rPr>
          <w:sz w:val="24"/>
        </w:rPr>
        <w:instrText xml:space="preserve"> PAGEREF _Toc22106 </w:instrText>
      </w:r>
      <w:r>
        <w:rPr>
          <w:sz w:val="24"/>
        </w:rPr>
        <w:fldChar w:fldCharType="separate"/>
      </w:r>
      <w:r>
        <w:rPr>
          <w:sz w:val="24"/>
        </w:rPr>
        <w:t>7</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"_Toc14828" </w:instrText>
      </w:r>
      <w:r>
        <w:fldChar w:fldCharType="separate"/>
      </w:r>
      <w:r>
        <w:rPr>
          <w:rFonts w:hint="eastAsia"/>
          <w:sz w:val="24"/>
        </w:rPr>
        <w:t>五、矿山地质环境问题“不欠新账”仍有压力</w:t>
      </w:r>
      <w:r>
        <w:rPr>
          <w:sz w:val="24"/>
        </w:rPr>
        <w:tab/>
      </w:r>
      <w:r>
        <w:rPr>
          <w:sz w:val="24"/>
        </w:rPr>
        <w:fldChar w:fldCharType="begin"/>
      </w:r>
      <w:r>
        <w:rPr>
          <w:sz w:val="24"/>
        </w:rPr>
        <w:instrText xml:space="preserve"> PAGEREF _Toc14828 </w:instrText>
      </w:r>
      <w:r>
        <w:rPr>
          <w:sz w:val="24"/>
        </w:rPr>
        <w:fldChar w:fldCharType="separate"/>
      </w:r>
      <w:r>
        <w:rPr>
          <w:sz w:val="24"/>
        </w:rPr>
        <w:t>7</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"_Toc32101" </w:instrText>
      </w:r>
      <w:r>
        <w:fldChar w:fldCharType="separate"/>
      </w:r>
      <w:r>
        <w:rPr>
          <w:rFonts w:hint="eastAsia"/>
          <w:sz w:val="24"/>
        </w:rPr>
        <w:t>第二章 指导思想、基本原则与规划目标</w:t>
      </w:r>
      <w:r>
        <w:rPr>
          <w:sz w:val="24"/>
        </w:rPr>
        <w:tab/>
      </w:r>
      <w:r>
        <w:rPr>
          <w:sz w:val="24"/>
        </w:rPr>
        <w:fldChar w:fldCharType="begin"/>
      </w:r>
      <w:r>
        <w:rPr>
          <w:sz w:val="24"/>
        </w:rPr>
        <w:instrText xml:space="preserve"> PAGEREF _Toc32101 </w:instrText>
      </w:r>
      <w:r>
        <w:rPr>
          <w:sz w:val="24"/>
        </w:rPr>
        <w:fldChar w:fldCharType="separate"/>
      </w:r>
      <w:r>
        <w:rPr>
          <w:sz w:val="24"/>
        </w:rPr>
        <w:t>8</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"_Toc1630" </w:instrText>
      </w:r>
      <w:r>
        <w:fldChar w:fldCharType="separate"/>
      </w:r>
      <w:r>
        <w:rPr>
          <w:rFonts w:hint="eastAsia"/>
          <w:sz w:val="24"/>
        </w:rPr>
        <w:t>第一节 指导思想</w:t>
      </w:r>
      <w:r>
        <w:rPr>
          <w:sz w:val="24"/>
        </w:rPr>
        <w:tab/>
      </w:r>
      <w:r>
        <w:rPr>
          <w:sz w:val="24"/>
        </w:rPr>
        <w:fldChar w:fldCharType="begin"/>
      </w:r>
      <w:r>
        <w:rPr>
          <w:sz w:val="24"/>
        </w:rPr>
        <w:instrText xml:space="preserve"> PAGEREF _Toc1630 </w:instrText>
      </w:r>
      <w:r>
        <w:rPr>
          <w:sz w:val="24"/>
        </w:rPr>
        <w:fldChar w:fldCharType="separate"/>
      </w:r>
      <w:r>
        <w:rPr>
          <w:sz w:val="24"/>
        </w:rPr>
        <w:t>8</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"_Toc22392" </w:instrText>
      </w:r>
      <w:r>
        <w:fldChar w:fldCharType="separate"/>
      </w:r>
      <w:r>
        <w:rPr>
          <w:rFonts w:hint="eastAsia"/>
          <w:sz w:val="24"/>
        </w:rPr>
        <w:t>第二节 基本原则</w:t>
      </w:r>
      <w:r>
        <w:rPr>
          <w:sz w:val="24"/>
        </w:rPr>
        <w:tab/>
      </w:r>
      <w:r>
        <w:rPr>
          <w:sz w:val="24"/>
        </w:rPr>
        <w:fldChar w:fldCharType="begin"/>
      </w:r>
      <w:r>
        <w:rPr>
          <w:sz w:val="24"/>
        </w:rPr>
        <w:instrText xml:space="preserve"> PAGEREF _Toc22392 </w:instrText>
      </w:r>
      <w:r>
        <w:rPr>
          <w:sz w:val="24"/>
        </w:rPr>
        <w:fldChar w:fldCharType="separate"/>
      </w:r>
      <w:r>
        <w:rPr>
          <w:sz w:val="24"/>
        </w:rPr>
        <w:t>8</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"_Toc11658" </w:instrText>
      </w:r>
      <w:r>
        <w:fldChar w:fldCharType="separate"/>
      </w:r>
      <w:r>
        <w:rPr>
          <w:rFonts w:hint="eastAsia"/>
          <w:sz w:val="24"/>
        </w:rPr>
        <w:t>一、以人为本，把握重点</w:t>
      </w:r>
      <w:r>
        <w:rPr>
          <w:sz w:val="24"/>
        </w:rPr>
        <w:tab/>
      </w:r>
      <w:r>
        <w:rPr>
          <w:sz w:val="24"/>
        </w:rPr>
        <w:fldChar w:fldCharType="begin"/>
      </w:r>
      <w:r>
        <w:rPr>
          <w:sz w:val="24"/>
        </w:rPr>
        <w:instrText xml:space="preserve"> PAGEREF _Toc11658 </w:instrText>
      </w:r>
      <w:r>
        <w:rPr>
          <w:sz w:val="24"/>
        </w:rPr>
        <w:fldChar w:fldCharType="separate"/>
      </w:r>
      <w:r>
        <w:rPr>
          <w:sz w:val="24"/>
        </w:rPr>
        <w:t>8</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"_Toc26334" </w:instrText>
      </w:r>
      <w:r>
        <w:fldChar w:fldCharType="separate"/>
      </w:r>
      <w:r>
        <w:rPr>
          <w:rFonts w:hint="eastAsia"/>
          <w:sz w:val="24"/>
        </w:rPr>
        <w:t>二、源头预防，规划管控</w:t>
      </w:r>
      <w:r>
        <w:rPr>
          <w:sz w:val="24"/>
        </w:rPr>
        <w:tab/>
      </w:r>
      <w:r>
        <w:rPr>
          <w:sz w:val="24"/>
        </w:rPr>
        <w:fldChar w:fldCharType="begin"/>
      </w:r>
      <w:r>
        <w:rPr>
          <w:sz w:val="24"/>
        </w:rPr>
        <w:instrText xml:space="preserve"> PAGEREF _Toc26334 </w:instrText>
      </w:r>
      <w:r>
        <w:rPr>
          <w:sz w:val="24"/>
        </w:rPr>
        <w:fldChar w:fldCharType="separate"/>
      </w:r>
      <w:r>
        <w:rPr>
          <w:sz w:val="24"/>
        </w:rPr>
        <w:t>9</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"_Toc311" </w:instrText>
      </w:r>
      <w:r>
        <w:fldChar w:fldCharType="separate"/>
      </w:r>
      <w:r>
        <w:rPr>
          <w:rFonts w:hint="eastAsia"/>
          <w:sz w:val="24"/>
        </w:rPr>
        <w:t>三、合理开发，注重保护</w:t>
      </w:r>
      <w:r>
        <w:rPr>
          <w:sz w:val="24"/>
        </w:rPr>
        <w:tab/>
      </w:r>
      <w:r>
        <w:rPr>
          <w:sz w:val="24"/>
        </w:rPr>
        <w:fldChar w:fldCharType="begin"/>
      </w:r>
      <w:r>
        <w:rPr>
          <w:sz w:val="24"/>
        </w:rPr>
        <w:instrText xml:space="preserve"> PAGEREF _Toc311 </w:instrText>
      </w:r>
      <w:r>
        <w:rPr>
          <w:sz w:val="24"/>
        </w:rPr>
        <w:fldChar w:fldCharType="separate"/>
      </w:r>
      <w:r>
        <w:rPr>
          <w:sz w:val="24"/>
        </w:rPr>
        <w:t>9</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"_Toc13409" </w:instrText>
      </w:r>
      <w:r>
        <w:fldChar w:fldCharType="separate"/>
      </w:r>
      <w:r>
        <w:rPr>
          <w:rFonts w:hint="eastAsia"/>
          <w:sz w:val="24"/>
        </w:rPr>
        <w:t>四、不欠新账，快还旧账</w:t>
      </w:r>
      <w:r>
        <w:rPr>
          <w:sz w:val="24"/>
        </w:rPr>
        <w:tab/>
      </w:r>
      <w:r>
        <w:rPr>
          <w:sz w:val="24"/>
        </w:rPr>
        <w:fldChar w:fldCharType="begin"/>
      </w:r>
      <w:r>
        <w:rPr>
          <w:sz w:val="24"/>
        </w:rPr>
        <w:instrText xml:space="preserve"> PAGEREF _Toc13409 </w:instrText>
      </w:r>
      <w:r>
        <w:rPr>
          <w:sz w:val="24"/>
        </w:rPr>
        <w:fldChar w:fldCharType="separate"/>
      </w:r>
      <w:r>
        <w:rPr>
          <w:sz w:val="24"/>
        </w:rPr>
        <w:t>9</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"_Toc21682" </w:instrText>
      </w:r>
      <w:r>
        <w:fldChar w:fldCharType="separate"/>
      </w:r>
      <w:r>
        <w:rPr>
          <w:rFonts w:hint="eastAsia"/>
          <w:sz w:val="24"/>
        </w:rPr>
        <w:t>五、明确责任，科学部署</w:t>
      </w:r>
      <w:r>
        <w:rPr>
          <w:sz w:val="24"/>
        </w:rPr>
        <w:tab/>
      </w:r>
      <w:r>
        <w:rPr>
          <w:sz w:val="24"/>
        </w:rPr>
        <w:fldChar w:fldCharType="begin"/>
      </w:r>
      <w:r>
        <w:rPr>
          <w:sz w:val="24"/>
        </w:rPr>
        <w:instrText xml:space="preserve"> PAGEREF _Toc21682 </w:instrText>
      </w:r>
      <w:r>
        <w:rPr>
          <w:sz w:val="24"/>
        </w:rPr>
        <w:fldChar w:fldCharType="separate"/>
      </w:r>
      <w:r>
        <w:rPr>
          <w:sz w:val="24"/>
        </w:rPr>
        <w:t>10</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"_Toc17665" </w:instrText>
      </w:r>
      <w:r>
        <w:fldChar w:fldCharType="separate"/>
      </w:r>
      <w:r>
        <w:rPr>
          <w:rFonts w:hint="eastAsia"/>
          <w:sz w:val="24"/>
        </w:rPr>
        <w:t>第三节 规划目标</w:t>
      </w:r>
      <w:r>
        <w:rPr>
          <w:sz w:val="24"/>
        </w:rPr>
        <w:tab/>
      </w:r>
      <w:r>
        <w:rPr>
          <w:sz w:val="24"/>
        </w:rPr>
        <w:fldChar w:fldCharType="begin"/>
      </w:r>
      <w:r>
        <w:rPr>
          <w:sz w:val="24"/>
        </w:rPr>
        <w:instrText xml:space="preserve"> PAGEREF _Toc17665 </w:instrText>
      </w:r>
      <w:r>
        <w:rPr>
          <w:sz w:val="24"/>
        </w:rPr>
        <w:fldChar w:fldCharType="separate"/>
      </w:r>
      <w:r>
        <w:rPr>
          <w:sz w:val="24"/>
        </w:rPr>
        <w:t>10</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"_Toc17476" </w:instrText>
      </w:r>
      <w:r>
        <w:fldChar w:fldCharType="separate"/>
      </w:r>
      <w:r>
        <w:rPr>
          <w:rFonts w:hint="eastAsia"/>
          <w:sz w:val="24"/>
        </w:rPr>
        <w:t>一、近期目标（</w:t>
      </w:r>
      <w:r>
        <w:rPr>
          <w:sz w:val="24"/>
        </w:rPr>
        <w:t>2021</w:t>
      </w:r>
      <w:r>
        <w:rPr>
          <w:rFonts w:hint="eastAsia"/>
          <w:sz w:val="24"/>
        </w:rPr>
        <w:t>年—202</w:t>
      </w:r>
      <w:r>
        <w:rPr>
          <w:sz w:val="24"/>
        </w:rPr>
        <w:t>2</w:t>
      </w:r>
      <w:r>
        <w:rPr>
          <w:rFonts w:hint="eastAsia"/>
          <w:sz w:val="24"/>
        </w:rPr>
        <w:t>年）</w:t>
      </w:r>
      <w:r>
        <w:rPr>
          <w:sz w:val="24"/>
        </w:rPr>
        <w:tab/>
      </w:r>
      <w:r>
        <w:rPr>
          <w:sz w:val="24"/>
        </w:rPr>
        <w:fldChar w:fldCharType="begin"/>
      </w:r>
      <w:r>
        <w:rPr>
          <w:sz w:val="24"/>
        </w:rPr>
        <w:instrText xml:space="preserve"> PAGEREF _Toc17476 </w:instrText>
      </w:r>
      <w:r>
        <w:rPr>
          <w:sz w:val="24"/>
        </w:rPr>
        <w:fldChar w:fldCharType="separate"/>
      </w:r>
      <w:r>
        <w:rPr>
          <w:sz w:val="24"/>
        </w:rPr>
        <w:t>10</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"_Toc18973" </w:instrText>
      </w:r>
      <w:r>
        <w:fldChar w:fldCharType="separate"/>
      </w:r>
      <w:r>
        <w:rPr>
          <w:rFonts w:hint="eastAsia"/>
          <w:sz w:val="24"/>
        </w:rPr>
        <w:t>二、中远期目标（202</w:t>
      </w:r>
      <w:r>
        <w:rPr>
          <w:sz w:val="24"/>
        </w:rPr>
        <w:t>3</w:t>
      </w:r>
      <w:r>
        <w:rPr>
          <w:rFonts w:hint="eastAsia"/>
          <w:sz w:val="24"/>
        </w:rPr>
        <w:t>年—2025年）</w:t>
      </w:r>
      <w:r>
        <w:rPr>
          <w:sz w:val="24"/>
        </w:rPr>
        <w:tab/>
      </w:r>
      <w:r>
        <w:rPr>
          <w:sz w:val="24"/>
        </w:rPr>
        <w:fldChar w:fldCharType="begin"/>
      </w:r>
      <w:r>
        <w:rPr>
          <w:sz w:val="24"/>
        </w:rPr>
        <w:instrText xml:space="preserve"> PAGEREF _Toc18973 </w:instrText>
      </w:r>
      <w:r>
        <w:rPr>
          <w:sz w:val="24"/>
        </w:rPr>
        <w:fldChar w:fldCharType="separate"/>
      </w:r>
      <w:r>
        <w:rPr>
          <w:sz w:val="24"/>
        </w:rPr>
        <w:t>11</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"_Toc4378" </w:instrText>
      </w:r>
      <w:r>
        <w:fldChar w:fldCharType="separate"/>
      </w:r>
      <w:r>
        <w:rPr>
          <w:rFonts w:hint="eastAsia"/>
          <w:sz w:val="24"/>
        </w:rPr>
        <w:t>第三章 主要任务与重大工程</w:t>
      </w:r>
      <w:r>
        <w:rPr>
          <w:sz w:val="24"/>
        </w:rPr>
        <w:tab/>
      </w:r>
      <w:r>
        <w:rPr>
          <w:sz w:val="24"/>
        </w:rPr>
        <w:fldChar w:fldCharType="begin"/>
      </w:r>
      <w:r>
        <w:rPr>
          <w:sz w:val="24"/>
        </w:rPr>
        <w:instrText xml:space="preserve"> PAGEREF _Toc4378 </w:instrText>
      </w:r>
      <w:r>
        <w:rPr>
          <w:sz w:val="24"/>
        </w:rPr>
        <w:fldChar w:fldCharType="separate"/>
      </w:r>
      <w:r>
        <w:rPr>
          <w:sz w:val="24"/>
        </w:rPr>
        <w:t>12</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"_Toc18485" </w:instrText>
      </w:r>
      <w:r>
        <w:fldChar w:fldCharType="separate"/>
      </w:r>
      <w:r>
        <w:rPr>
          <w:rFonts w:hint="eastAsia"/>
          <w:sz w:val="24"/>
        </w:rPr>
        <w:t>一、矿山地质环境调查</w:t>
      </w:r>
      <w:r>
        <w:rPr>
          <w:sz w:val="24"/>
        </w:rPr>
        <w:tab/>
      </w:r>
      <w:r>
        <w:rPr>
          <w:sz w:val="24"/>
        </w:rPr>
        <w:fldChar w:fldCharType="begin"/>
      </w:r>
      <w:r>
        <w:rPr>
          <w:sz w:val="24"/>
        </w:rPr>
        <w:instrText xml:space="preserve"> PAGEREF _Toc18485 </w:instrText>
      </w:r>
      <w:r>
        <w:rPr>
          <w:sz w:val="24"/>
        </w:rPr>
        <w:fldChar w:fldCharType="separate"/>
      </w:r>
      <w:r>
        <w:rPr>
          <w:sz w:val="24"/>
        </w:rPr>
        <w:t>12</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"_Toc32157" </w:instrText>
      </w:r>
      <w:r>
        <w:fldChar w:fldCharType="separate"/>
      </w:r>
      <w:r>
        <w:rPr>
          <w:rFonts w:hint="eastAsia"/>
          <w:sz w:val="24"/>
        </w:rPr>
        <w:t>二、矿山地质环境监测</w:t>
      </w:r>
      <w:r>
        <w:rPr>
          <w:sz w:val="24"/>
        </w:rPr>
        <w:tab/>
      </w:r>
      <w:r>
        <w:rPr>
          <w:sz w:val="24"/>
        </w:rPr>
        <w:fldChar w:fldCharType="begin"/>
      </w:r>
      <w:r>
        <w:rPr>
          <w:sz w:val="24"/>
        </w:rPr>
        <w:instrText xml:space="preserve"> PAGEREF _Toc32157 </w:instrText>
      </w:r>
      <w:r>
        <w:rPr>
          <w:sz w:val="24"/>
        </w:rPr>
        <w:fldChar w:fldCharType="separate"/>
      </w:r>
      <w:r>
        <w:rPr>
          <w:sz w:val="24"/>
        </w:rPr>
        <w:t>12</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"_Toc4207" </w:instrText>
      </w:r>
      <w:r>
        <w:fldChar w:fldCharType="separate"/>
      </w:r>
      <w:r>
        <w:rPr>
          <w:rFonts w:hint="eastAsia"/>
          <w:sz w:val="24"/>
        </w:rPr>
        <w:t>三、矿山地质环境治理</w:t>
      </w:r>
      <w:r>
        <w:rPr>
          <w:sz w:val="24"/>
        </w:rPr>
        <w:tab/>
      </w:r>
      <w:r>
        <w:rPr>
          <w:sz w:val="24"/>
        </w:rPr>
        <w:fldChar w:fldCharType="begin"/>
      </w:r>
      <w:r>
        <w:rPr>
          <w:sz w:val="24"/>
        </w:rPr>
        <w:instrText xml:space="preserve"> PAGEREF _Toc4207 </w:instrText>
      </w:r>
      <w:r>
        <w:rPr>
          <w:sz w:val="24"/>
        </w:rPr>
        <w:fldChar w:fldCharType="separate"/>
      </w:r>
      <w:r>
        <w:rPr>
          <w:sz w:val="24"/>
        </w:rPr>
        <w:t>13</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"_Toc13640" </w:instrText>
      </w:r>
      <w:r>
        <w:fldChar w:fldCharType="separate"/>
      </w:r>
      <w:r>
        <w:rPr>
          <w:rFonts w:hint="eastAsia"/>
          <w:sz w:val="24"/>
        </w:rPr>
        <w:t>四、矿山地质环境保护</w:t>
      </w:r>
      <w:r>
        <w:rPr>
          <w:sz w:val="24"/>
        </w:rPr>
        <w:tab/>
      </w:r>
      <w:r>
        <w:rPr>
          <w:sz w:val="24"/>
        </w:rPr>
        <w:fldChar w:fldCharType="begin"/>
      </w:r>
      <w:r>
        <w:rPr>
          <w:sz w:val="24"/>
        </w:rPr>
        <w:instrText xml:space="preserve"> PAGEREF _Toc13640 </w:instrText>
      </w:r>
      <w:r>
        <w:rPr>
          <w:sz w:val="24"/>
        </w:rPr>
        <w:fldChar w:fldCharType="separate"/>
      </w:r>
      <w:r>
        <w:rPr>
          <w:sz w:val="24"/>
        </w:rPr>
        <w:t>14</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"_Toc2944" </w:instrText>
      </w:r>
      <w:r>
        <w:fldChar w:fldCharType="separate"/>
      </w:r>
      <w:r>
        <w:rPr>
          <w:rFonts w:hint="eastAsia"/>
          <w:sz w:val="24"/>
        </w:rPr>
        <w:t>五、绿色矿山建设</w:t>
      </w:r>
      <w:r>
        <w:rPr>
          <w:sz w:val="24"/>
        </w:rPr>
        <w:tab/>
      </w:r>
      <w:r>
        <w:rPr>
          <w:sz w:val="24"/>
        </w:rPr>
        <w:fldChar w:fldCharType="begin"/>
      </w:r>
      <w:r>
        <w:rPr>
          <w:sz w:val="24"/>
        </w:rPr>
        <w:instrText xml:space="preserve"> PAGEREF _Toc2944 </w:instrText>
      </w:r>
      <w:r>
        <w:rPr>
          <w:sz w:val="24"/>
        </w:rPr>
        <w:fldChar w:fldCharType="separate"/>
      </w:r>
      <w:r>
        <w:rPr>
          <w:sz w:val="24"/>
        </w:rPr>
        <w:t>14</w:t>
      </w:r>
      <w:r>
        <w:rPr>
          <w:sz w:val="24"/>
        </w:rPr>
        <w:fldChar w:fldCharType="end"/>
      </w:r>
      <w:r>
        <w:rPr>
          <w:sz w:val="24"/>
        </w:rPr>
        <w:fldChar w:fldCharType="end"/>
      </w:r>
    </w:p>
    <w:p>
      <w:pPr>
        <w:pStyle w:val="10"/>
        <w:tabs>
          <w:tab w:val="right" w:leader="dot" w:pos="8617"/>
        </w:tabs>
        <w:ind w:left="1120" w:firstLine="0" w:firstLineChars="0"/>
        <w:rPr>
          <w:sz w:val="24"/>
        </w:rPr>
      </w:pPr>
      <w:r>
        <w:fldChar w:fldCharType="begin"/>
      </w:r>
      <w:r>
        <w:instrText xml:space="preserve"> HYPERLINK \l "_Toc25730" </w:instrText>
      </w:r>
      <w:r>
        <w:fldChar w:fldCharType="separate"/>
      </w:r>
      <w:r>
        <w:rPr>
          <w:rFonts w:hint="eastAsia"/>
          <w:sz w:val="24"/>
        </w:rPr>
        <w:t>六、投资估算</w:t>
      </w:r>
      <w:r>
        <w:rPr>
          <w:sz w:val="24"/>
        </w:rPr>
        <w:tab/>
      </w:r>
      <w:r>
        <w:rPr>
          <w:sz w:val="24"/>
        </w:rPr>
        <w:fldChar w:fldCharType="begin"/>
      </w:r>
      <w:r>
        <w:rPr>
          <w:sz w:val="24"/>
        </w:rPr>
        <w:instrText xml:space="preserve"> PAGEREF _Toc25730 </w:instrText>
      </w:r>
      <w:r>
        <w:rPr>
          <w:sz w:val="24"/>
        </w:rPr>
        <w:fldChar w:fldCharType="separate"/>
      </w:r>
      <w:r>
        <w:rPr>
          <w:sz w:val="24"/>
        </w:rPr>
        <w:t>15</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"_Toc2221" </w:instrText>
      </w:r>
      <w:r>
        <w:fldChar w:fldCharType="separate"/>
      </w:r>
      <w:r>
        <w:rPr>
          <w:rFonts w:hint="eastAsia"/>
          <w:sz w:val="24"/>
        </w:rPr>
        <w:t>第</w:t>
      </w:r>
      <w:r>
        <w:rPr>
          <w:rFonts w:hint="eastAsia"/>
          <w:sz w:val="24"/>
          <w:lang w:val="en-US" w:eastAsia="zh-CN"/>
        </w:rPr>
        <w:t>四</w:t>
      </w:r>
      <w:r>
        <w:rPr>
          <w:rFonts w:hint="eastAsia"/>
          <w:sz w:val="24"/>
        </w:rPr>
        <w:t>章 规划实施与管理</w:t>
      </w:r>
      <w:r>
        <w:rPr>
          <w:sz w:val="24"/>
        </w:rPr>
        <w:tab/>
      </w:r>
      <w:r>
        <w:rPr>
          <w:sz w:val="24"/>
        </w:rPr>
        <w:fldChar w:fldCharType="begin"/>
      </w:r>
      <w:r>
        <w:rPr>
          <w:sz w:val="24"/>
        </w:rPr>
        <w:instrText xml:space="preserve"> PAGEREF _Toc2221 </w:instrText>
      </w:r>
      <w:r>
        <w:rPr>
          <w:sz w:val="24"/>
        </w:rPr>
        <w:fldChar w:fldCharType="separate"/>
      </w:r>
      <w:r>
        <w:rPr>
          <w:sz w:val="24"/>
        </w:rPr>
        <w:t>16</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"_Toc2060" </w:instrText>
      </w:r>
      <w:r>
        <w:fldChar w:fldCharType="separate"/>
      </w:r>
      <w:r>
        <w:rPr>
          <w:rFonts w:hint="eastAsia"/>
          <w:sz w:val="24"/>
        </w:rPr>
        <w:t>第一节 加强组织领导，明晰目标责任</w:t>
      </w:r>
      <w:r>
        <w:rPr>
          <w:sz w:val="24"/>
        </w:rPr>
        <w:tab/>
      </w:r>
      <w:r>
        <w:rPr>
          <w:sz w:val="24"/>
        </w:rPr>
        <w:fldChar w:fldCharType="begin"/>
      </w:r>
      <w:r>
        <w:rPr>
          <w:sz w:val="24"/>
        </w:rPr>
        <w:instrText xml:space="preserve"> PAGEREF _Toc2060 </w:instrText>
      </w:r>
      <w:r>
        <w:rPr>
          <w:sz w:val="24"/>
        </w:rPr>
        <w:fldChar w:fldCharType="separate"/>
      </w:r>
      <w:r>
        <w:rPr>
          <w:sz w:val="24"/>
        </w:rPr>
        <w:t>16</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"_Toc6651" </w:instrText>
      </w:r>
      <w:r>
        <w:fldChar w:fldCharType="separate"/>
      </w:r>
      <w:r>
        <w:rPr>
          <w:rFonts w:hint="eastAsia"/>
          <w:sz w:val="24"/>
        </w:rPr>
        <w:t>第二节 推动部门联动，强化规划协调</w:t>
      </w:r>
      <w:r>
        <w:rPr>
          <w:sz w:val="24"/>
        </w:rPr>
        <w:tab/>
      </w:r>
      <w:r>
        <w:rPr>
          <w:sz w:val="24"/>
        </w:rPr>
        <w:fldChar w:fldCharType="begin"/>
      </w:r>
      <w:r>
        <w:rPr>
          <w:sz w:val="24"/>
        </w:rPr>
        <w:instrText xml:space="preserve"> PAGEREF _Toc6651 </w:instrText>
      </w:r>
      <w:r>
        <w:rPr>
          <w:sz w:val="24"/>
        </w:rPr>
        <w:fldChar w:fldCharType="separate"/>
      </w:r>
      <w:r>
        <w:rPr>
          <w:sz w:val="24"/>
        </w:rPr>
        <w:t>16</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"_Toc30969" </w:instrText>
      </w:r>
      <w:r>
        <w:fldChar w:fldCharType="separate"/>
      </w:r>
      <w:r>
        <w:rPr>
          <w:rFonts w:hint="eastAsia"/>
          <w:sz w:val="24"/>
        </w:rPr>
        <w:t>第三节 贯彻法规制度，创新体制机制</w:t>
      </w:r>
      <w:r>
        <w:rPr>
          <w:sz w:val="24"/>
        </w:rPr>
        <w:tab/>
      </w:r>
      <w:r>
        <w:rPr>
          <w:sz w:val="24"/>
        </w:rPr>
        <w:fldChar w:fldCharType="begin"/>
      </w:r>
      <w:r>
        <w:rPr>
          <w:sz w:val="24"/>
        </w:rPr>
        <w:instrText xml:space="preserve"> PAGEREF _Toc30969 </w:instrText>
      </w:r>
      <w:r>
        <w:rPr>
          <w:sz w:val="24"/>
        </w:rPr>
        <w:fldChar w:fldCharType="separate"/>
      </w:r>
      <w:r>
        <w:rPr>
          <w:sz w:val="24"/>
        </w:rPr>
        <w:t>17</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"_Toc3790" </w:instrText>
      </w:r>
      <w:r>
        <w:fldChar w:fldCharType="separate"/>
      </w:r>
      <w:r>
        <w:rPr>
          <w:rFonts w:hint="eastAsia"/>
          <w:sz w:val="24"/>
        </w:rPr>
        <w:t>第四节 严格监督管理，落实重大工程</w:t>
      </w:r>
      <w:r>
        <w:rPr>
          <w:sz w:val="24"/>
        </w:rPr>
        <w:tab/>
      </w:r>
      <w:r>
        <w:rPr>
          <w:sz w:val="24"/>
        </w:rPr>
        <w:fldChar w:fldCharType="begin"/>
      </w:r>
      <w:r>
        <w:rPr>
          <w:sz w:val="24"/>
        </w:rPr>
        <w:instrText xml:space="preserve"> PAGEREF _Toc3790 </w:instrText>
      </w:r>
      <w:r>
        <w:rPr>
          <w:sz w:val="24"/>
        </w:rPr>
        <w:fldChar w:fldCharType="separate"/>
      </w:r>
      <w:r>
        <w:rPr>
          <w:sz w:val="24"/>
        </w:rPr>
        <w:t>17</w:t>
      </w:r>
      <w:r>
        <w:rPr>
          <w:sz w:val="24"/>
        </w:rPr>
        <w:fldChar w:fldCharType="end"/>
      </w:r>
      <w:r>
        <w:rPr>
          <w:sz w:val="24"/>
        </w:rPr>
        <w:fldChar w:fldCharType="end"/>
      </w:r>
    </w:p>
    <w:p>
      <w:pPr>
        <w:pStyle w:val="18"/>
        <w:tabs>
          <w:tab w:val="right" w:leader="dot" w:pos="8617"/>
        </w:tabs>
        <w:ind w:left="560" w:firstLine="0" w:firstLineChars="0"/>
        <w:rPr>
          <w:sz w:val="24"/>
        </w:rPr>
      </w:pPr>
      <w:r>
        <w:fldChar w:fldCharType="begin"/>
      </w:r>
      <w:r>
        <w:instrText xml:space="preserve"> HYPERLINK \l "_Toc8526" </w:instrText>
      </w:r>
      <w:r>
        <w:fldChar w:fldCharType="separate"/>
      </w:r>
      <w:r>
        <w:rPr>
          <w:rFonts w:hint="eastAsia"/>
          <w:sz w:val="24"/>
        </w:rPr>
        <w:t>第五节 强化跟踪评估，加强公众参与</w:t>
      </w:r>
      <w:r>
        <w:rPr>
          <w:sz w:val="24"/>
        </w:rPr>
        <w:tab/>
      </w:r>
      <w:r>
        <w:rPr>
          <w:sz w:val="24"/>
        </w:rPr>
        <w:fldChar w:fldCharType="begin"/>
      </w:r>
      <w:r>
        <w:rPr>
          <w:sz w:val="24"/>
        </w:rPr>
        <w:instrText xml:space="preserve"> PAGEREF _Toc8526 </w:instrText>
      </w:r>
      <w:r>
        <w:rPr>
          <w:sz w:val="24"/>
        </w:rPr>
        <w:fldChar w:fldCharType="separate"/>
      </w:r>
      <w:r>
        <w:rPr>
          <w:sz w:val="24"/>
        </w:rPr>
        <w:t>18</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"_Toc26755" </w:instrText>
      </w:r>
      <w:r>
        <w:fldChar w:fldCharType="separate"/>
      </w:r>
      <w:r>
        <w:rPr>
          <w:rFonts w:hint="eastAsia"/>
          <w:sz w:val="24"/>
        </w:rPr>
        <w:t xml:space="preserve">附表一 </w:t>
      </w:r>
      <w:r>
        <w:rPr>
          <w:sz w:val="24"/>
        </w:rPr>
        <w:t xml:space="preserve"> </w:t>
      </w:r>
      <w:r>
        <w:rPr>
          <w:rFonts w:hint="eastAsia"/>
          <w:sz w:val="24"/>
        </w:rPr>
        <w:t>忻州市矿山地质环境治理工程表</w:t>
      </w:r>
      <w:r>
        <w:rPr>
          <w:sz w:val="24"/>
        </w:rPr>
        <w:tab/>
      </w:r>
      <w:r>
        <w:rPr>
          <w:sz w:val="24"/>
        </w:rPr>
        <w:fldChar w:fldCharType="begin"/>
      </w:r>
      <w:r>
        <w:rPr>
          <w:sz w:val="24"/>
        </w:rPr>
        <w:instrText xml:space="preserve"> PAGEREF _Toc26755 </w:instrText>
      </w:r>
      <w:r>
        <w:rPr>
          <w:sz w:val="24"/>
        </w:rPr>
        <w:fldChar w:fldCharType="separate"/>
      </w:r>
      <w:r>
        <w:rPr>
          <w:sz w:val="24"/>
        </w:rPr>
        <w:t>19</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"_Toc26297" </w:instrText>
      </w:r>
      <w:r>
        <w:fldChar w:fldCharType="separate"/>
      </w:r>
      <w:r>
        <w:rPr>
          <w:rFonts w:hint="eastAsia"/>
          <w:sz w:val="24"/>
        </w:rPr>
        <w:t xml:space="preserve">附表二 </w:t>
      </w:r>
      <w:r>
        <w:rPr>
          <w:sz w:val="24"/>
        </w:rPr>
        <w:t xml:space="preserve"> </w:t>
      </w:r>
      <w:r>
        <w:rPr>
          <w:rFonts w:hint="eastAsia"/>
          <w:sz w:val="24"/>
        </w:rPr>
        <w:t>忻州市矿山地质环境近期重点治理工程表</w:t>
      </w:r>
      <w:r>
        <w:rPr>
          <w:sz w:val="24"/>
        </w:rPr>
        <w:tab/>
      </w:r>
      <w:r>
        <w:rPr>
          <w:sz w:val="24"/>
        </w:rPr>
        <w:fldChar w:fldCharType="begin"/>
      </w:r>
      <w:r>
        <w:rPr>
          <w:sz w:val="24"/>
        </w:rPr>
        <w:instrText xml:space="preserve"> PAGEREF _Toc26297 </w:instrText>
      </w:r>
      <w:r>
        <w:rPr>
          <w:sz w:val="24"/>
        </w:rPr>
        <w:fldChar w:fldCharType="separate"/>
      </w:r>
      <w:r>
        <w:rPr>
          <w:sz w:val="24"/>
        </w:rPr>
        <w:t>20</w:t>
      </w:r>
      <w:r>
        <w:rPr>
          <w:sz w:val="24"/>
        </w:rPr>
        <w:fldChar w:fldCharType="end"/>
      </w:r>
      <w:r>
        <w:rPr>
          <w:sz w:val="24"/>
        </w:rPr>
        <w:fldChar w:fldCharType="end"/>
      </w:r>
    </w:p>
    <w:p>
      <w:pPr>
        <w:pStyle w:val="16"/>
        <w:tabs>
          <w:tab w:val="right" w:leader="dot" w:pos="8617"/>
        </w:tabs>
        <w:ind w:firstLine="0" w:firstLineChars="0"/>
        <w:rPr>
          <w:sz w:val="24"/>
        </w:rPr>
      </w:pPr>
      <w:r>
        <w:fldChar w:fldCharType="begin"/>
      </w:r>
      <w:r>
        <w:instrText xml:space="preserve"> HYPERLINK \l "_Toc16581" </w:instrText>
      </w:r>
      <w:r>
        <w:fldChar w:fldCharType="separate"/>
      </w:r>
      <w:r>
        <w:rPr>
          <w:rFonts w:hint="eastAsia"/>
          <w:sz w:val="24"/>
        </w:rPr>
        <w:t>附表三  忻州市矿山地质环境中远期重点治理工程表</w:t>
      </w:r>
      <w:r>
        <w:rPr>
          <w:sz w:val="24"/>
        </w:rPr>
        <w:tab/>
      </w:r>
      <w:r>
        <w:rPr>
          <w:sz w:val="24"/>
        </w:rPr>
        <w:fldChar w:fldCharType="begin"/>
      </w:r>
      <w:r>
        <w:rPr>
          <w:sz w:val="24"/>
        </w:rPr>
        <w:instrText xml:space="preserve"> PAGEREF _Toc16581 </w:instrText>
      </w:r>
      <w:r>
        <w:rPr>
          <w:sz w:val="24"/>
        </w:rPr>
        <w:fldChar w:fldCharType="separate"/>
      </w:r>
      <w:r>
        <w:rPr>
          <w:sz w:val="24"/>
        </w:rPr>
        <w:t>22</w:t>
      </w:r>
      <w:r>
        <w:rPr>
          <w:sz w:val="24"/>
        </w:rPr>
        <w:fldChar w:fldCharType="end"/>
      </w:r>
      <w:r>
        <w:rPr>
          <w:sz w:val="24"/>
        </w:rPr>
        <w:fldChar w:fldCharType="end"/>
      </w:r>
    </w:p>
    <w:p>
      <w:pPr>
        <w:ind w:firstLine="0" w:firstLineChars="0"/>
        <w:rPr>
          <w:lang w:val="zh-CN"/>
        </w:rPr>
      </w:pPr>
      <w:r>
        <w:rPr>
          <w:rFonts w:eastAsia="宋体"/>
          <w:sz w:val="24"/>
          <w:lang w:val="zh-CN"/>
        </w:rPr>
        <w:fldChar w:fldCharType="end"/>
      </w:r>
    </w:p>
    <w:p>
      <w:pPr>
        <w:ind w:firstLine="0" w:firstLineChars="0"/>
        <w:jc w:val="center"/>
        <w:rPr>
          <w:rFonts w:ascii="仿宋" w:hAnsi="仿宋"/>
          <w:b/>
          <w:bCs/>
          <w:szCs w:val="28"/>
          <w:lang w:val="zh-CN"/>
        </w:rPr>
      </w:pPr>
      <w:r>
        <w:rPr>
          <w:rFonts w:hint="eastAsia" w:ascii="仿宋" w:hAnsi="仿宋"/>
          <w:b/>
          <w:bCs/>
          <w:szCs w:val="28"/>
          <w:lang w:val="zh-CN"/>
        </w:rPr>
        <w:t>附表</w:t>
      </w:r>
    </w:p>
    <w:p>
      <w:pPr>
        <w:ind w:firstLine="560"/>
        <w:rPr>
          <w:rFonts w:ascii="仿宋" w:hAnsi="仿宋"/>
          <w:szCs w:val="28"/>
          <w:lang w:val="zh-CN"/>
        </w:rPr>
      </w:pPr>
      <w:r>
        <w:rPr>
          <w:rFonts w:hint="eastAsia" w:ascii="仿宋" w:hAnsi="仿宋"/>
          <w:szCs w:val="28"/>
          <w:lang w:val="zh-CN"/>
        </w:rPr>
        <w:t xml:space="preserve">附表一 </w:t>
      </w:r>
      <w:r>
        <w:rPr>
          <w:rFonts w:ascii="仿宋" w:hAnsi="仿宋"/>
          <w:szCs w:val="28"/>
          <w:lang w:val="zh-CN"/>
        </w:rPr>
        <w:t xml:space="preserve"> </w:t>
      </w:r>
      <w:r>
        <w:rPr>
          <w:rFonts w:hint="eastAsia" w:ascii="仿宋" w:hAnsi="仿宋"/>
          <w:szCs w:val="28"/>
          <w:lang w:val="zh-CN"/>
        </w:rPr>
        <w:t>忻州市矿山地质环境治理工程表</w:t>
      </w:r>
    </w:p>
    <w:p>
      <w:pPr>
        <w:ind w:firstLine="560"/>
        <w:rPr>
          <w:rFonts w:ascii="仿宋" w:hAnsi="仿宋"/>
          <w:szCs w:val="28"/>
          <w:lang w:val="zh-CN"/>
        </w:rPr>
      </w:pPr>
      <w:r>
        <w:rPr>
          <w:rFonts w:hint="eastAsia" w:ascii="仿宋" w:hAnsi="仿宋"/>
          <w:szCs w:val="28"/>
          <w:lang w:val="zh-CN"/>
        </w:rPr>
        <w:t xml:space="preserve">附表二 </w:t>
      </w:r>
      <w:r>
        <w:rPr>
          <w:rFonts w:ascii="仿宋" w:hAnsi="仿宋"/>
          <w:szCs w:val="28"/>
          <w:lang w:val="zh-CN"/>
        </w:rPr>
        <w:t xml:space="preserve"> </w:t>
      </w:r>
      <w:r>
        <w:rPr>
          <w:rFonts w:hint="eastAsia" w:ascii="仿宋" w:hAnsi="仿宋"/>
          <w:szCs w:val="28"/>
          <w:lang w:val="zh-CN"/>
        </w:rPr>
        <w:t>忻州市矿山地质环境近期重点治理工程表</w:t>
      </w:r>
    </w:p>
    <w:p>
      <w:pPr>
        <w:ind w:firstLine="560"/>
        <w:rPr>
          <w:rFonts w:ascii="仿宋" w:hAnsi="仿宋"/>
          <w:szCs w:val="28"/>
          <w:lang w:val="zh-CN"/>
        </w:rPr>
      </w:pPr>
      <w:r>
        <w:rPr>
          <w:rFonts w:hint="eastAsia" w:ascii="仿宋" w:hAnsi="仿宋"/>
          <w:szCs w:val="28"/>
          <w:lang w:val="zh-CN"/>
        </w:rPr>
        <w:t xml:space="preserve">附表三 </w:t>
      </w:r>
      <w:r>
        <w:rPr>
          <w:rFonts w:ascii="仿宋" w:hAnsi="仿宋"/>
          <w:szCs w:val="28"/>
          <w:lang w:val="zh-CN"/>
        </w:rPr>
        <w:t xml:space="preserve"> </w:t>
      </w:r>
      <w:r>
        <w:rPr>
          <w:rFonts w:hint="eastAsia" w:ascii="仿宋" w:hAnsi="仿宋"/>
          <w:szCs w:val="28"/>
          <w:lang w:val="zh-CN"/>
        </w:rPr>
        <w:t>忻州市矿山地质环境中远期重点治理工程表</w:t>
      </w:r>
    </w:p>
    <w:p>
      <w:pPr>
        <w:ind w:firstLine="0" w:firstLineChars="0"/>
        <w:jc w:val="center"/>
        <w:rPr>
          <w:rFonts w:ascii="仿宋" w:hAnsi="仿宋"/>
          <w:b/>
          <w:bCs/>
          <w:szCs w:val="28"/>
          <w:lang w:val="zh-CN"/>
        </w:rPr>
      </w:pPr>
      <w:r>
        <w:rPr>
          <w:rFonts w:hint="eastAsia" w:ascii="仿宋" w:hAnsi="仿宋"/>
          <w:b/>
          <w:bCs/>
          <w:szCs w:val="28"/>
          <w:lang w:val="zh-CN"/>
        </w:rPr>
        <w:t>附图</w:t>
      </w:r>
    </w:p>
    <w:p>
      <w:pPr>
        <w:ind w:firstLine="560"/>
        <w:rPr>
          <w:rFonts w:ascii="仿宋" w:hAnsi="仿宋"/>
          <w:szCs w:val="28"/>
          <w:lang w:val="zh-CN"/>
        </w:rPr>
      </w:pPr>
      <w:r>
        <w:rPr>
          <w:szCs w:val="28"/>
          <w:lang w:val="zh-CN"/>
        </w:rPr>
        <w:t>1、</w:t>
      </w:r>
      <w:r>
        <w:rPr>
          <w:rFonts w:hint="eastAsia" w:ascii="仿宋" w:hAnsi="仿宋"/>
          <w:szCs w:val="28"/>
          <w:lang w:val="zh-CN"/>
        </w:rPr>
        <w:t>忻州市矿山地质环境问题图</w:t>
      </w:r>
    </w:p>
    <w:p>
      <w:pPr>
        <w:ind w:firstLine="560"/>
        <w:rPr>
          <w:rFonts w:ascii="仿宋" w:hAnsi="仿宋"/>
          <w:szCs w:val="28"/>
          <w:lang w:val="zh-CN"/>
        </w:rPr>
      </w:pPr>
      <w:r>
        <w:rPr>
          <w:szCs w:val="28"/>
          <w:lang w:val="zh-CN"/>
        </w:rPr>
        <w:t>2、</w:t>
      </w:r>
      <w:r>
        <w:rPr>
          <w:rFonts w:hint="eastAsia" w:ascii="仿宋" w:hAnsi="仿宋"/>
          <w:szCs w:val="28"/>
          <w:lang w:val="zh-CN"/>
        </w:rPr>
        <w:t>忻州市矿山地质环境保护与治理部署图</w:t>
      </w:r>
    </w:p>
    <w:p>
      <w:pPr>
        <w:ind w:firstLine="480"/>
        <w:rPr>
          <w:rFonts w:eastAsia="宋体"/>
          <w:sz w:val="24"/>
          <w:lang w:val="zh-CN"/>
        </w:rPr>
      </w:pPr>
    </w:p>
    <w:p>
      <w:pPr>
        <w:ind w:firstLine="480"/>
        <w:rPr>
          <w:rFonts w:eastAsia="宋体"/>
          <w:sz w:val="24"/>
          <w:lang w:val="zh-CN"/>
        </w:rPr>
        <w:sectPr>
          <w:pgSz w:w="11906" w:h="16838"/>
          <w:pgMar w:top="1588" w:right="1588" w:bottom="1588" w:left="1701" w:header="851" w:footer="851" w:gutter="0"/>
          <w:pgNumType w:start="1"/>
          <w:cols w:space="720" w:num="1"/>
          <w:docGrid w:type="lines" w:linePitch="312" w:charSpace="0"/>
        </w:sectPr>
      </w:pPr>
    </w:p>
    <w:p>
      <w:pPr>
        <w:pStyle w:val="2"/>
        <w:spacing w:after="0" w:afterLines="0"/>
      </w:pPr>
      <w:bookmarkStart w:id="0" w:name="_Toc1359"/>
      <w:r>
        <w:rPr>
          <w:rFonts w:hint="eastAsia"/>
        </w:rPr>
        <w:t>总 则</w:t>
      </w:r>
      <w:bookmarkEnd w:id="0"/>
    </w:p>
    <w:p>
      <w:pPr>
        <w:ind w:firstLine="560"/>
      </w:pPr>
      <w:r>
        <w:rPr>
          <w:rFonts w:hint="eastAsia"/>
        </w:rPr>
        <w:t>忻州市地处山西省中北部，矿产资源储量丰富，开采历史悠久，开发强度较大。铁、铝土矿、金、煤、金红石、白云岩、高岭岩、水泥灰岩等是忻州市优势矿产，其中金、铁、钼、金红石</w:t>
      </w:r>
      <w:r>
        <w:rPr>
          <w:rFonts w:hint="eastAsia"/>
          <w:lang w:val="en-US" w:eastAsia="zh-CN"/>
        </w:rPr>
        <w:t>储量</w:t>
      </w:r>
      <w:r>
        <w:rPr>
          <w:rFonts w:hint="eastAsia"/>
        </w:rPr>
        <w:t>名列全省首位。矿产资源开发在保障经济社会发展的同时，</w:t>
      </w:r>
      <w:r>
        <w:rPr>
          <w:rFonts w:hint="eastAsia"/>
          <w:lang w:val="en-US" w:eastAsia="zh-CN"/>
        </w:rPr>
        <w:t>亦</w:t>
      </w:r>
      <w:r>
        <w:rPr>
          <w:rFonts w:hint="eastAsia"/>
        </w:rPr>
        <w:t>破坏了矿区生态环境，影响了经济社会的可持续发展及人民群众正常的生产生活。为加快矿山地质环境恢复治理、加快</w:t>
      </w:r>
      <w:r>
        <w:rPr>
          <w:rFonts w:hint="eastAsia"/>
          <w:lang w:eastAsia="zh-CN"/>
        </w:rPr>
        <w:t>“</w:t>
      </w:r>
      <w:r>
        <w:rPr>
          <w:rFonts w:hint="eastAsia"/>
        </w:rPr>
        <w:t>生态忻州</w:t>
      </w:r>
      <w:r>
        <w:rPr>
          <w:rFonts w:hint="eastAsia"/>
          <w:lang w:val="en-US" w:eastAsia="zh-CN"/>
        </w:rPr>
        <w:t>·</w:t>
      </w:r>
      <w:r>
        <w:rPr>
          <w:rFonts w:hint="eastAsia"/>
        </w:rPr>
        <w:t>美丽忻州</w:t>
      </w:r>
      <w:r>
        <w:rPr>
          <w:rFonts w:hint="eastAsia"/>
          <w:lang w:eastAsia="zh-CN"/>
        </w:rPr>
        <w:t>”</w:t>
      </w:r>
      <w:r>
        <w:rPr>
          <w:rFonts w:hint="eastAsia"/>
        </w:rPr>
        <w:t>建设，有序开展规划期内矿山地质环境保护和治理工作，以习近平新时代中国特色社会主义思想为指导，遵循“创新、协调、绿色、开放、共享”的发展理念，坚持“节约优先、保护优先、自然恢复为主”的方针，根据国土资源部、财政部等五部局《关于加强矿山地质环境恢复和综合治理的指导意见》（国土资发〔2016〕63号）、《山西省矿山地质环境保护与治理规划（2018-2025年）》、《忻州市矿产资源总体规划（2016年-2020年）》、《矿山地质环境保护规定》等相关要求</w:t>
      </w:r>
      <w:bookmarkStart w:id="1" w:name="_Hlk57731155"/>
      <w:r>
        <w:rPr>
          <w:rFonts w:hint="eastAsia"/>
        </w:rPr>
        <w:t>和全市矿山地质环境详细调查成果</w:t>
      </w:r>
      <w:bookmarkEnd w:id="1"/>
      <w:r>
        <w:rPr>
          <w:rFonts w:hint="eastAsia"/>
        </w:rPr>
        <w:t>，编制《忻州市矿山地质环境保护与治理规划（20</w:t>
      </w:r>
      <w:r>
        <w:t>21</w:t>
      </w:r>
      <w:r>
        <w:rPr>
          <w:rFonts w:hint="eastAsia"/>
        </w:rPr>
        <w:t>-2025年）》（以下简称《规划》）。</w:t>
      </w:r>
    </w:p>
    <w:p>
      <w:pPr>
        <w:ind w:firstLine="560"/>
        <w:sectPr>
          <w:footerReference r:id="rId9" w:type="default"/>
          <w:pgSz w:w="11906" w:h="16838"/>
          <w:pgMar w:top="1588" w:right="1588" w:bottom="1588" w:left="1701" w:header="851" w:footer="851" w:gutter="0"/>
          <w:pgNumType w:start="1"/>
          <w:cols w:space="720" w:num="1"/>
          <w:docGrid w:type="lines" w:linePitch="312" w:charSpace="0"/>
        </w:sectPr>
      </w:pPr>
      <w:r>
        <w:rPr>
          <w:rFonts w:hint="eastAsia"/>
        </w:rPr>
        <w:t>《规划》以201</w:t>
      </w:r>
      <w:r>
        <w:t>9</w:t>
      </w:r>
      <w:r>
        <w:rPr>
          <w:rFonts w:hint="eastAsia"/>
        </w:rPr>
        <w:t>年为基准年，规划期为20</w:t>
      </w:r>
      <w:r>
        <w:t>21</w:t>
      </w:r>
      <w:r>
        <w:rPr>
          <w:rFonts w:hint="eastAsia"/>
        </w:rPr>
        <w:t>—2025年，近期为20</w:t>
      </w:r>
      <w:r>
        <w:t>21</w:t>
      </w:r>
      <w:r>
        <w:rPr>
          <w:rFonts w:hint="eastAsia"/>
        </w:rPr>
        <w:t>—202</w:t>
      </w:r>
      <w:r>
        <w:t>2</w:t>
      </w:r>
      <w:r>
        <w:rPr>
          <w:rFonts w:hint="eastAsia"/>
        </w:rPr>
        <w:t>年，中远期为20</w:t>
      </w:r>
      <w:r>
        <w:t>23</w:t>
      </w:r>
      <w:r>
        <w:rPr>
          <w:rFonts w:hint="eastAsia"/>
        </w:rPr>
        <w:t>—2025年。</w:t>
      </w:r>
    </w:p>
    <w:p>
      <w:pPr>
        <w:pStyle w:val="2"/>
        <w:spacing w:after="156"/>
      </w:pPr>
      <w:bookmarkStart w:id="2" w:name="_Toc6202"/>
      <w:r>
        <w:rPr>
          <w:rFonts w:hint="eastAsia"/>
        </w:rPr>
        <w:t>第一章 现状与形势</w:t>
      </w:r>
      <w:bookmarkEnd w:id="2"/>
    </w:p>
    <w:p>
      <w:pPr>
        <w:pStyle w:val="3"/>
      </w:pPr>
      <w:bookmarkStart w:id="3" w:name="_Toc19"/>
      <w:r>
        <w:rPr>
          <w:rFonts w:hint="eastAsia"/>
        </w:rPr>
        <w:t>第一节 矿山地质环境现状</w:t>
      </w:r>
      <w:bookmarkEnd w:id="3"/>
    </w:p>
    <w:p>
      <w:pPr>
        <w:pStyle w:val="4"/>
      </w:pPr>
      <w:bookmarkStart w:id="4" w:name="_Toc2090"/>
      <w:r>
        <w:rPr>
          <w:rFonts w:hint="eastAsia"/>
        </w:rPr>
        <w:t>一、矿产资源开发利用现状</w:t>
      </w:r>
      <w:bookmarkEnd w:id="4"/>
    </w:p>
    <w:p>
      <w:pPr>
        <w:ind w:firstLine="560"/>
      </w:pPr>
      <w:bookmarkStart w:id="5" w:name="_Hlk55289769"/>
      <w:r>
        <w:rPr>
          <w:rFonts w:hint="eastAsia"/>
        </w:rPr>
        <w:t>忻州市矿产资源丰富，目前已知矿产50多种</w:t>
      </w:r>
      <w:bookmarkEnd w:id="5"/>
      <w:r>
        <w:rPr>
          <w:rFonts w:hint="eastAsia"/>
        </w:rPr>
        <w:t>，已查明资源储量矿种33种，其中铁、铝土矿、金、煤、金红石、白云岩、高岭岩、水泥灰岩等是我市优势矿产，在我市经济发展中占有重要地位，储量名列全省前列的有铁、钼、金、铝土矿、金红石、铁矾土、白云岩7种矿产，其中金、铁、钼、金红石</w:t>
      </w:r>
      <w:r>
        <w:rPr>
          <w:rFonts w:hint="eastAsia"/>
          <w:lang w:val="en-US" w:eastAsia="zh-CN"/>
        </w:rPr>
        <w:t>储量</w:t>
      </w:r>
      <w:r>
        <w:rPr>
          <w:rFonts w:hint="eastAsia"/>
        </w:rPr>
        <w:t>名列全省首位。到2020年，全市原煤产量控制在7000万吨，煤层气产量到15亿立方米/年，铁矿石产量控制在2000万吨/年，铝土矿产量控制在480万吨/年，钼矿产量到达30万吨/年，金矿石量产量达到30万吨/年。</w:t>
      </w:r>
    </w:p>
    <w:p>
      <w:pPr>
        <w:ind w:firstLine="560"/>
      </w:pPr>
      <w:bookmarkStart w:id="6" w:name="_Hlk55378392"/>
      <w:r>
        <w:rPr>
          <w:rFonts w:hint="eastAsia"/>
        </w:rPr>
        <w:t>全市共有持证矿山4</w:t>
      </w:r>
      <w:r>
        <w:t>36</w:t>
      </w:r>
      <w:r>
        <w:rPr>
          <w:rFonts w:hint="eastAsia"/>
        </w:rPr>
        <w:t>座，部省发证矿山1</w:t>
      </w:r>
      <w:r>
        <w:t>71</w:t>
      </w:r>
      <w:r>
        <w:rPr>
          <w:rFonts w:hint="eastAsia"/>
        </w:rPr>
        <w:t>座，市县发证矿山2</w:t>
      </w:r>
      <w:r>
        <w:t>65</w:t>
      </w:r>
      <w:r>
        <w:rPr>
          <w:rFonts w:hint="eastAsia"/>
        </w:rPr>
        <w:t>座。其中包括贵金属矿山12座，黑色金属矿山96座，建材及其它非金属矿山</w:t>
      </w:r>
      <w:r>
        <w:t>208</w:t>
      </w:r>
      <w:r>
        <w:rPr>
          <w:rFonts w:hint="eastAsia"/>
        </w:rPr>
        <w:t>座，能源矿山</w:t>
      </w:r>
      <w:r>
        <w:t>65</w:t>
      </w:r>
      <w:r>
        <w:rPr>
          <w:rFonts w:hint="eastAsia"/>
        </w:rPr>
        <w:t>座，冶金辅助原料非金属矿山44座，有色金属矿山11座。</w:t>
      </w:r>
      <w:bookmarkEnd w:id="6"/>
    </w:p>
    <w:p>
      <w:pPr>
        <w:ind w:firstLine="560"/>
      </w:pPr>
      <w:r>
        <w:rPr>
          <w:rFonts w:hint="eastAsia"/>
        </w:rPr>
        <w:t>采空区面积共191.13平方公里，其中煤矿采空区</w:t>
      </w:r>
      <w:r>
        <w:rPr>
          <w:rFonts w:hint="eastAsia" w:cs="仿宋"/>
          <w:kern w:val="0"/>
        </w:rPr>
        <w:t>160.2</w:t>
      </w:r>
      <w:r>
        <w:rPr>
          <w:rFonts w:hint="eastAsia"/>
        </w:rPr>
        <w:t>平方公里；非煤采空区</w:t>
      </w:r>
      <w:r>
        <w:rPr>
          <w:rFonts w:hint="eastAsia" w:cs="仿宋"/>
          <w:kern w:val="0"/>
        </w:rPr>
        <w:t>30.93</w:t>
      </w:r>
      <w:r>
        <w:rPr>
          <w:rFonts w:hint="eastAsia"/>
        </w:rPr>
        <w:t>平方公里；露天开采面积</w:t>
      </w:r>
      <w:r>
        <w:t>124.72</w:t>
      </w:r>
      <w:r>
        <w:rPr>
          <w:rFonts w:hint="eastAsia"/>
        </w:rPr>
        <w:t>平方公里。</w:t>
      </w:r>
    </w:p>
    <w:p>
      <w:pPr>
        <w:pStyle w:val="4"/>
      </w:pPr>
      <w:bookmarkStart w:id="7" w:name="_Toc3243"/>
      <w:r>
        <w:rPr>
          <w:rFonts w:hint="eastAsia"/>
        </w:rPr>
        <w:t>二、主要矿山地质环境问题</w:t>
      </w:r>
      <w:bookmarkEnd w:id="7"/>
    </w:p>
    <w:p>
      <w:pPr>
        <w:ind w:firstLine="560"/>
      </w:pPr>
      <w:r>
        <w:rPr>
          <w:rFonts w:hint="eastAsia"/>
        </w:rPr>
        <w:t>忻州市矿山地质环境受采矿活动影响，遭到一定程度的破坏，因采矿造成的矿山地质环境问题包括：矿山地质灾害、地形地貌景观破坏及占用破坏土地资源和含水层破坏等。</w:t>
      </w:r>
    </w:p>
    <w:p>
      <w:pPr>
        <w:ind w:firstLine="560"/>
      </w:pPr>
    </w:p>
    <w:p>
      <w:pPr>
        <w:ind w:firstLine="560"/>
      </w:pPr>
      <w:r>
        <w:rPr>
          <w:rFonts w:hint="eastAsia"/>
        </w:rPr>
        <w:t>（一）矿山地质灾害</w:t>
      </w:r>
    </w:p>
    <w:p>
      <w:pPr>
        <w:ind w:firstLine="560"/>
      </w:pPr>
      <w:bookmarkStart w:id="8" w:name="_Hlk55380885"/>
      <w:r>
        <w:rPr>
          <w:rFonts w:hint="eastAsia"/>
        </w:rPr>
        <w:t>忻州市矿山地质灾害类型主要为地面塌陷、地裂缝，共计</w:t>
      </w:r>
      <w:r>
        <w:t>72</w:t>
      </w:r>
      <w:r>
        <w:rPr>
          <w:rFonts w:hint="eastAsia"/>
        </w:rPr>
        <w:t>处，破坏面积约</w:t>
      </w:r>
      <w:r>
        <w:t>48.87</w:t>
      </w:r>
      <w:r>
        <w:rPr>
          <w:rFonts w:hint="eastAsia"/>
        </w:rPr>
        <w:t>平方公里，造成土地资源破坏，直接经济损失约</w:t>
      </w:r>
      <w:r>
        <w:t>1762.75</w:t>
      </w:r>
      <w:r>
        <w:rPr>
          <w:rFonts w:hint="eastAsia"/>
        </w:rPr>
        <w:t>万元。</w:t>
      </w:r>
    </w:p>
    <w:p>
      <w:pPr>
        <w:ind w:firstLine="560"/>
      </w:pPr>
      <w:r>
        <w:rPr>
          <w:rFonts w:hint="eastAsia"/>
        </w:rPr>
        <w:t>存在潜在崩塌、滑坡、泥石流地质灾害隐患点</w:t>
      </w:r>
      <w:r>
        <w:t>65</w:t>
      </w:r>
      <w:r>
        <w:rPr>
          <w:rFonts w:hint="eastAsia"/>
        </w:rPr>
        <w:t>处，威胁人数</w:t>
      </w:r>
      <w:r>
        <w:t>470</w:t>
      </w:r>
      <w:r>
        <w:rPr>
          <w:rFonts w:hint="eastAsia"/>
        </w:rPr>
        <w:t>人，威胁财产约</w:t>
      </w:r>
      <w:r>
        <w:t>9650</w:t>
      </w:r>
      <w:r>
        <w:rPr>
          <w:rFonts w:hint="eastAsia"/>
        </w:rPr>
        <w:t>万元。地质灾害隐患危及群众生命财产安全，应作为优先治理的矿山地质环境问题。</w:t>
      </w:r>
    </w:p>
    <w:bookmarkEnd w:id="8"/>
    <w:p>
      <w:pPr>
        <w:ind w:firstLine="560"/>
      </w:pPr>
      <w:r>
        <w:rPr>
          <w:rFonts w:hint="eastAsia"/>
        </w:rPr>
        <w:t>（二）地形地貌景观影响及土地资源占用或破坏</w:t>
      </w:r>
    </w:p>
    <w:p>
      <w:pPr>
        <w:ind w:firstLine="560"/>
      </w:pPr>
      <w:bookmarkStart w:id="9" w:name="_Hlk58076063"/>
      <w:bookmarkStart w:id="10" w:name="_Hlk58075336"/>
      <w:bookmarkStart w:id="11" w:name="_Hlk55210657"/>
      <w:bookmarkStart w:id="12" w:name="_Hlk55381150"/>
      <w:r>
        <w:rPr>
          <w:rFonts w:hint="eastAsia"/>
        </w:rPr>
        <w:t>忻州市采矿活动共计破坏各类土地26961.9987公顷，治理面积共计</w:t>
      </w:r>
      <w:r>
        <w:t>15889.7987</w:t>
      </w:r>
      <w:r>
        <w:rPr>
          <w:rFonts w:hint="eastAsia"/>
        </w:rPr>
        <w:t>公顷，历史遗留矿山地质环境问题</w:t>
      </w:r>
      <w:r>
        <w:t>11072.2</w:t>
      </w:r>
      <w:r>
        <w:rPr>
          <w:rFonts w:hint="eastAsia"/>
        </w:rPr>
        <w:t>公顷。其中破坏林地</w:t>
      </w:r>
      <w:r>
        <w:t>1912.75</w:t>
      </w:r>
      <w:r>
        <w:rPr>
          <w:rFonts w:hint="eastAsia"/>
        </w:rPr>
        <w:t>公顷，草地</w:t>
      </w:r>
      <w:r>
        <w:t>3779.77</w:t>
      </w:r>
      <w:r>
        <w:rPr>
          <w:rFonts w:hint="eastAsia"/>
        </w:rPr>
        <w:t>公顷，耕地</w:t>
      </w:r>
      <w:r>
        <w:t>2165.01</w:t>
      </w:r>
      <w:r>
        <w:rPr>
          <w:rFonts w:hint="eastAsia"/>
        </w:rPr>
        <w:t>公顷，其他地类</w:t>
      </w:r>
      <w:r>
        <w:t>3214.655</w:t>
      </w:r>
      <w:r>
        <w:rPr>
          <w:rFonts w:hint="eastAsia"/>
        </w:rPr>
        <w:t>公顷。其中崩塌、滑坡共</w:t>
      </w:r>
      <w:r>
        <w:t>65</w:t>
      </w:r>
      <w:r>
        <w:rPr>
          <w:rFonts w:hint="eastAsia"/>
        </w:rPr>
        <w:t>处，损毁土地面积约</w:t>
      </w:r>
      <w:r>
        <w:t>208.3</w:t>
      </w:r>
      <w:r>
        <w:rPr>
          <w:rFonts w:hint="eastAsia"/>
        </w:rPr>
        <w:t>公顷；地面塌陷、地裂缝共</w:t>
      </w:r>
      <w:r>
        <w:t>72</w:t>
      </w:r>
      <w:r>
        <w:rPr>
          <w:rFonts w:hint="eastAsia"/>
        </w:rPr>
        <w:t>处，损毁土地面积约</w:t>
      </w:r>
      <w:r>
        <w:t>4887.205</w:t>
      </w:r>
      <w:r>
        <w:rPr>
          <w:rFonts w:hint="eastAsia"/>
        </w:rPr>
        <w:t>公顷；露天采场、露天采坑2</w:t>
      </w:r>
      <w:r>
        <w:t>71</w:t>
      </w:r>
      <w:r>
        <w:rPr>
          <w:rFonts w:hint="eastAsia"/>
        </w:rPr>
        <w:t>处，损毁土地面积约</w:t>
      </w:r>
      <w:r>
        <w:t>2835.13</w:t>
      </w:r>
      <w:r>
        <w:rPr>
          <w:rFonts w:hint="eastAsia"/>
        </w:rPr>
        <w:t>公顷；工业广场2</w:t>
      </w:r>
      <w:r>
        <w:t>11</w:t>
      </w:r>
      <w:r>
        <w:rPr>
          <w:rFonts w:hint="eastAsia"/>
        </w:rPr>
        <w:t>处，压占土地面积2</w:t>
      </w:r>
      <w:r>
        <w:t>179.5</w:t>
      </w:r>
      <w:r>
        <w:rPr>
          <w:rFonts w:hint="eastAsia"/>
        </w:rPr>
        <w:t>7公顷；废石（土、渣）堆场2</w:t>
      </w:r>
      <w:r>
        <w:t>29</w:t>
      </w:r>
      <w:r>
        <w:rPr>
          <w:rFonts w:hint="eastAsia"/>
        </w:rPr>
        <w:t>处，压占土地面积约</w:t>
      </w:r>
      <w:r>
        <w:t>603.32</w:t>
      </w:r>
      <w:r>
        <w:rPr>
          <w:rFonts w:hint="eastAsia"/>
        </w:rPr>
        <w:t>公顷；排矸场、外排土场2</w:t>
      </w:r>
      <w:r>
        <w:t>7</w:t>
      </w:r>
      <w:r>
        <w:rPr>
          <w:rFonts w:hint="eastAsia"/>
        </w:rPr>
        <w:t>处，压占土地面积约</w:t>
      </w:r>
      <w:r>
        <w:t>250</w:t>
      </w:r>
      <w:r>
        <w:rPr>
          <w:rFonts w:hint="eastAsia"/>
        </w:rPr>
        <w:t>公顷；煤矸石堆2</w:t>
      </w:r>
      <w:r>
        <w:t>3</w:t>
      </w:r>
      <w:r>
        <w:rPr>
          <w:rFonts w:hint="eastAsia"/>
        </w:rPr>
        <w:t>处，压占土地面积约</w:t>
      </w:r>
      <w:r>
        <w:t>82.68</w:t>
      </w:r>
      <w:r>
        <w:rPr>
          <w:rFonts w:hint="eastAsia"/>
        </w:rPr>
        <w:t>公顷；尾矿库9处，压占土地面积约</w:t>
      </w:r>
      <w:r>
        <w:t>26.415</w:t>
      </w:r>
      <w:r>
        <w:rPr>
          <w:rFonts w:hint="eastAsia"/>
        </w:rPr>
        <w:t>公顷。</w:t>
      </w:r>
      <w:bookmarkEnd w:id="9"/>
      <w:bookmarkStart w:id="13" w:name="_Hlk58076012"/>
    </w:p>
    <w:p>
      <w:pPr>
        <w:ind w:firstLine="560"/>
      </w:pPr>
      <w:r>
        <w:rPr>
          <w:rFonts w:hint="eastAsia"/>
        </w:rPr>
        <w:t>据调查统计，</w:t>
      </w:r>
      <w:bookmarkEnd w:id="13"/>
      <w:bookmarkStart w:id="14" w:name="_Hlk58076029"/>
      <w:r>
        <w:rPr>
          <w:rFonts w:hint="eastAsia"/>
        </w:rPr>
        <w:t>闭坑、废弃无主矿山各类矿业活动造成地形地貌及土地资源破坏面积3318.038公顷。</w:t>
      </w:r>
      <w:bookmarkEnd w:id="10"/>
      <w:bookmarkEnd w:id="14"/>
    </w:p>
    <w:bookmarkEnd w:id="11"/>
    <w:bookmarkEnd w:id="12"/>
    <w:p>
      <w:pPr>
        <w:ind w:firstLine="560"/>
      </w:pPr>
      <w:r>
        <w:rPr>
          <w:rFonts w:hint="eastAsia"/>
        </w:rPr>
        <w:t>（三）含水层破坏及其危害</w:t>
      </w:r>
    </w:p>
    <w:p>
      <w:pPr>
        <w:ind w:firstLine="560"/>
      </w:pPr>
      <w:r>
        <w:rPr>
          <w:rFonts w:hint="eastAsia"/>
        </w:rPr>
        <w:t>忻州市采矿对地下水含水层的破坏主要分布于采用井工方式开采的煤矿、铝土矿等开采范围内，共造成地下含水层水位下降</w:t>
      </w:r>
      <w:bookmarkStart w:id="15" w:name="_Hlk57818726"/>
      <w:r>
        <w:rPr>
          <w:rFonts w:hint="eastAsia"/>
        </w:rPr>
        <w:t>面积</w:t>
      </w:r>
      <w:r>
        <w:t>291.05</w:t>
      </w:r>
      <w:r>
        <w:rPr>
          <w:rFonts w:hint="eastAsia"/>
        </w:rPr>
        <w:t>平方公里。</w:t>
      </w:r>
    </w:p>
    <w:bookmarkEnd w:id="15"/>
    <w:p>
      <w:pPr>
        <w:pStyle w:val="3"/>
      </w:pPr>
      <w:bookmarkStart w:id="16" w:name="_Toc21957"/>
      <w:r>
        <w:rPr>
          <w:rFonts w:hint="eastAsia"/>
        </w:rPr>
        <w:t>第二节 矿山地质环境恢复治理成效</w:t>
      </w:r>
      <w:bookmarkEnd w:id="16"/>
    </w:p>
    <w:p>
      <w:pPr>
        <w:ind w:firstLine="560"/>
      </w:pPr>
      <w:r>
        <w:rPr>
          <w:rFonts w:hint="eastAsia"/>
        </w:rPr>
        <w:t>近年来，忻州市政府高度重视矿山地质环境保护与治理工作，加大资金投入，推进历史遗留矿山地质环境治理工作。自然资源部门积极履行矿山地质环境保护与治理监管职责，推动实施矿山地质环境保护与治理工程，取得一定的成效。</w:t>
      </w:r>
    </w:p>
    <w:p>
      <w:pPr>
        <w:pStyle w:val="4"/>
      </w:pPr>
      <w:bookmarkStart w:id="17" w:name="_Toc12243"/>
      <w:r>
        <w:rPr>
          <w:rFonts w:hint="eastAsia"/>
        </w:rPr>
        <w:t>一、政策法规制度进一步落实</w:t>
      </w:r>
      <w:bookmarkEnd w:id="17"/>
    </w:p>
    <w:p>
      <w:pPr>
        <w:ind w:firstLine="560"/>
      </w:pPr>
      <w:r>
        <w:rPr>
          <w:rFonts w:hint="eastAsia"/>
        </w:rPr>
        <w:t>忻州市规划和自然资源局要求各矿山认真贯彻落实《山西省矿产资源管理条例》、《山西省地质灾害防治条例》、《山西省矿山环境治理恢复基金管理办法》等相关规章制度，制定《忻州市国土资源局关于加快矿山地质环境保护与恢复治理工作的通知》（忻国土资发〔2018〕125号文）、《忻州市人民政府办公室关于印发进一步规范采矿行为加快矿山地质生态环境恢复治理的通知》（忻政办发〔201</w:t>
      </w:r>
      <w:r>
        <w:t>9</w:t>
      </w:r>
      <w:r>
        <w:rPr>
          <w:rFonts w:hint="eastAsia"/>
        </w:rPr>
        <w:t>〕</w:t>
      </w:r>
      <w:r>
        <w:t>23</w:t>
      </w:r>
      <w:r>
        <w:rPr>
          <w:rFonts w:hint="eastAsia"/>
        </w:rPr>
        <w:t>号文）、《忻州市规划和自然资源局关于加快推进全市矿山地质环境恢复治理工作的通知》（忻自然资发〔20</w:t>
      </w:r>
      <w:r>
        <w:t>20</w:t>
      </w:r>
      <w:r>
        <w:rPr>
          <w:rFonts w:hint="eastAsia"/>
        </w:rPr>
        <w:t>〕</w:t>
      </w:r>
      <w:r>
        <w:t>29</w:t>
      </w:r>
      <w:r>
        <w:rPr>
          <w:rFonts w:hint="eastAsia"/>
        </w:rPr>
        <w:t>号文）等相关政策文件督促矿山地质环境保护与治理工作。</w:t>
      </w:r>
    </w:p>
    <w:p>
      <w:pPr>
        <w:ind w:firstLine="560"/>
      </w:pPr>
      <w:r>
        <w:rPr>
          <w:rFonts w:hint="eastAsia"/>
        </w:rPr>
        <w:t>对于新建矿山，必须严格遵循《绿色矿山建设规范》，忻州市出台《关于印发忻州市创建绿色矿山专项行动实施方案的通知》（忻政办发〔20</w:t>
      </w:r>
      <w:r>
        <w:t>17</w:t>
      </w:r>
      <w:r>
        <w:rPr>
          <w:rFonts w:hint="eastAsia"/>
        </w:rPr>
        <w:t>〕</w:t>
      </w:r>
      <w:r>
        <w:t>189</w:t>
      </w:r>
      <w:r>
        <w:rPr>
          <w:rFonts w:hint="eastAsia"/>
        </w:rPr>
        <w:t>号文）、《关于加快推进绿色矿山创建工作的通知》（忻创绿专组发〔20</w:t>
      </w:r>
      <w:r>
        <w:t>18</w:t>
      </w:r>
      <w:r>
        <w:rPr>
          <w:rFonts w:hint="eastAsia"/>
        </w:rPr>
        <w:t>〕</w:t>
      </w:r>
      <w:r>
        <w:t>2</w:t>
      </w:r>
      <w:r>
        <w:rPr>
          <w:rFonts w:hint="eastAsia"/>
        </w:rPr>
        <w:t>号文）、《关于印发忻州市绿色矿山整改创建方案提纲的通知》（忻创绿专发〔20</w:t>
      </w:r>
      <w:r>
        <w:t>18</w:t>
      </w:r>
      <w:r>
        <w:rPr>
          <w:rFonts w:hint="eastAsia"/>
        </w:rPr>
        <w:t>〕</w:t>
      </w:r>
      <w:r>
        <w:t>5</w:t>
      </w:r>
      <w:r>
        <w:rPr>
          <w:rFonts w:hint="eastAsia"/>
        </w:rPr>
        <w:t>号文）、《关于进一步规范绿色矿山建设工作的通知》（忻创绿专发〔20</w:t>
      </w:r>
      <w:r>
        <w:t>20</w:t>
      </w:r>
      <w:r>
        <w:rPr>
          <w:rFonts w:hint="eastAsia"/>
        </w:rPr>
        <w:t>〕2</w:t>
      </w:r>
      <w:r>
        <w:t>1</w:t>
      </w:r>
      <w:r>
        <w:rPr>
          <w:rFonts w:hint="eastAsia"/>
        </w:rPr>
        <w:t>号文）等相关政策文件，对生产矿山履行地质环境恢复治理义务、恢复治理基金缴纳、治理方案编制和执行等情况开展监督检查，督促各矿山严格执行矿山地质环境保护与恢复治理方案，履行矿山地质环境恢复治理义务，创建绿色矿山。</w:t>
      </w:r>
    </w:p>
    <w:p>
      <w:pPr>
        <w:pStyle w:val="4"/>
      </w:pPr>
      <w:bookmarkStart w:id="18" w:name="_Toc5642"/>
      <w:r>
        <w:rPr>
          <w:rFonts w:hint="eastAsia"/>
        </w:rPr>
        <w:t>二、</w:t>
      </w:r>
      <w:bookmarkStart w:id="19" w:name="_Hlk55381798"/>
      <w:r>
        <w:rPr>
          <w:rFonts w:hint="eastAsia"/>
        </w:rPr>
        <w:t>初步摸清了全市矿山地质环境问题</w:t>
      </w:r>
      <w:bookmarkEnd w:id="19"/>
      <w:r>
        <w:rPr>
          <w:rFonts w:hint="eastAsia"/>
        </w:rPr>
        <w:t>现状</w:t>
      </w:r>
      <w:bookmarkEnd w:id="18"/>
    </w:p>
    <w:p>
      <w:pPr>
        <w:ind w:firstLine="560"/>
      </w:pPr>
      <w:bookmarkStart w:id="20" w:name="_Hlk55381812"/>
      <w:r>
        <w:rPr>
          <w:rFonts w:hint="eastAsia"/>
        </w:rPr>
        <w:t>2016年忻州市完成了1：</w:t>
      </w:r>
      <w:r>
        <w:t>5</w:t>
      </w:r>
      <w:r>
        <w:rPr>
          <w:rFonts w:hint="eastAsia"/>
        </w:rPr>
        <w:t>万矿山地质环境详细调查工作，调查矿山6</w:t>
      </w:r>
      <w:r>
        <w:t>35</w:t>
      </w:r>
      <w:r>
        <w:rPr>
          <w:rFonts w:hint="eastAsia"/>
        </w:rPr>
        <w:t>座</w:t>
      </w:r>
      <w:r>
        <w:rPr>
          <w:rFonts w:hint="eastAsia"/>
          <w:lang w:eastAsia="zh-CN"/>
        </w:rPr>
        <w:t>；</w:t>
      </w:r>
      <w:r>
        <w:rPr>
          <w:rFonts w:hint="eastAsia"/>
        </w:rPr>
        <w:t>2</w:t>
      </w:r>
      <w:r>
        <w:t>019</w:t>
      </w:r>
      <w:r>
        <w:rPr>
          <w:rFonts w:hint="eastAsia"/>
        </w:rPr>
        <w:t>年完成采煤沉陷区调查工作，调查矿山总面积</w:t>
      </w:r>
      <w:r>
        <w:t>1140.217</w:t>
      </w:r>
      <w:r>
        <w:rPr>
          <w:rFonts w:hint="eastAsia"/>
        </w:rPr>
        <w:t>平方公里</w:t>
      </w:r>
      <w:r>
        <w:rPr>
          <w:rFonts w:hint="eastAsia"/>
          <w:lang w:eastAsia="zh-CN"/>
        </w:rPr>
        <w:t>；</w:t>
      </w:r>
      <w:r>
        <w:rPr>
          <w:rFonts w:hint="eastAsia"/>
        </w:rPr>
        <w:t>2</w:t>
      </w:r>
      <w:r>
        <w:t>020</w:t>
      </w:r>
      <w:r>
        <w:rPr>
          <w:rFonts w:hint="eastAsia"/>
        </w:rPr>
        <w:t>年核查持证矿山</w:t>
      </w:r>
      <w:r>
        <w:t>436</w:t>
      </w:r>
      <w:r>
        <w:rPr>
          <w:rFonts w:hint="eastAsia"/>
        </w:rPr>
        <w:t>座，</w:t>
      </w:r>
      <w:bookmarkStart w:id="21" w:name="_Hlk57820631"/>
      <w:r>
        <w:rPr>
          <w:rFonts w:hint="eastAsia"/>
        </w:rPr>
        <w:t>补充调查废弃矿山</w:t>
      </w:r>
      <w:r>
        <w:t>71.966</w:t>
      </w:r>
      <w:r>
        <w:rPr>
          <w:rFonts w:hint="eastAsia"/>
        </w:rPr>
        <w:t>平方</w:t>
      </w:r>
      <w:bookmarkEnd w:id="21"/>
      <w:r>
        <w:rPr>
          <w:rFonts w:hint="eastAsia"/>
        </w:rPr>
        <w:t>公里，初步摸清了全市生产、在建、废弃无主矿山的矿山地质环境问题</w:t>
      </w:r>
      <w:bookmarkEnd w:id="20"/>
      <w:r>
        <w:rPr>
          <w:rFonts w:hint="eastAsia"/>
        </w:rPr>
        <w:t>分布、特征及危害。</w:t>
      </w:r>
    </w:p>
    <w:p>
      <w:pPr>
        <w:pStyle w:val="4"/>
      </w:pPr>
      <w:bookmarkStart w:id="22" w:name="_Toc2290"/>
      <w:r>
        <w:rPr>
          <w:rFonts w:hint="eastAsia"/>
        </w:rPr>
        <w:t>三、矿山地质环境恢复治理力度进一步加大</w:t>
      </w:r>
      <w:bookmarkEnd w:id="22"/>
    </w:p>
    <w:p>
      <w:pPr>
        <w:ind w:firstLine="560"/>
      </w:pPr>
      <w:bookmarkStart w:id="23" w:name="_Hlk58082679"/>
      <w:r>
        <w:rPr>
          <w:rFonts w:hint="eastAsia"/>
        </w:rPr>
        <w:t>截至日前，忻州市投入大量治理资金，矿山地质环境保护与治理恢复效果显著。全市矿山地质环境恢复治理资金总计投入</w:t>
      </w:r>
      <w:r>
        <w:t>320245.618</w:t>
      </w:r>
      <w:r>
        <w:rPr>
          <w:rFonts w:hint="eastAsia"/>
        </w:rPr>
        <w:t>万元，其中中央奖补资金共计1340万元、地方财政23745.04万元、企业自筹292737.8976万元、其他资金来源2422.68万元。主要治理内容为矿山地质灾害、地形地貌景观及土地资源破坏等矿山地质环境问题，治理面积共计</w:t>
      </w:r>
      <w:r>
        <w:t>15889.7987</w:t>
      </w:r>
      <w:r>
        <w:rPr>
          <w:rFonts w:hint="eastAsia"/>
        </w:rPr>
        <w:t>公顷。</w:t>
      </w:r>
      <w:bookmarkEnd w:id="23"/>
    </w:p>
    <w:p>
      <w:pPr>
        <w:pStyle w:val="4"/>
      </w:pPr>
      <w:bookmarkStart w:id="24" w:name="_Toc30595"/>
      <w:r>
        <w:rPr>
          <w:rFonts w:hint="eastAsia"/>
        </w:rPr>
        <w:t>四、绿色矿山建设成效显著</w:t>
      </w:r>
      <w:bookmarkEnd w:id="24"/>
    </w:p>
    <w:p>
      <w:pPr>
        <w:ind w:firstLine="560"/>
      </w:pPr>
      <w:r>
        <w:rPr>
          <w:rFonts w:hint="eastAsia"/>
        </w:rPr>
        <w:t>忻州市自开展绿色矿山建设工作以来，已有</w:t>
      </w:r>
      <w:r>
        <w:t>31</w:t>
      </w:r>
      <w:r>
        <w:rPr>
          <w:rFonts w:hint="eastAsia"/>
        </w:rPr>
        <w:t>家矿山企业达到忻州市绿色矿山标准，1</w:t>
      </w:r>
      <w:r>
        <w:t>1</w:t>
      </w:r>
      <w:r>
        <w:rPr>
          <w:rFonts w:hint="eastAsia"/>
        </w:rPr>
        <w:t>家矿山企业达到省级绿色矿山标准，8家矿山企业达到国家级绿色矿山标准。</w:t>
      </w:r>
    </w:p>
    <w:p>
      <w:pPr>
        <w:pStyle w:val="3"/>
      </w:pPr>
      <w:bookmarkStart w:id="25" w:name="_Toc28199"/>
      <w:r>
        <w:rPr>
          <w:rFonts w:hint="eastAsia"/>
        </w:rPr>
        <w:t>第三节 矿山地质环境治理面临形势及存在问题</w:t>
      </w:r>
      <w:bookmarkEnd w:id="25"/>
    </w:p>
    <w:p>
      <w:pPr>
        <w:pStyle w:val="4"/>
      </w:pPr>
      <w:bookmarkStart w:id="26" w:name="_Toc15014"/>
      <w:r>
        <w:rPr>
          <w:rFonts w:hint="eastAsia"/>
        </w:rPr>
        <w:t>一、</w:t>
      </w:r>
      <w:bookmarkStart w:id="27" w:name="_Hlk57820336"/>
      <w:r>
        <w:rPr>
          <w:rFonts w:hint="eastAsia"/>
        </w:rPr>
        <w:t>新时代生态文明建设迫切要求</w:t>
      </w:r>
      <w:bookmarkEnd w:id="27"/>
      <w:r>
        <w:rPr>
          <w:rFonts w:hint="eastAsia"/>
        </w:rPr>
        <w:t>加快推进矿山地质环境恢复治理</w:t>
      </w:r>
      <w:bookmarkEnd w:id="26"/>
    </w:p>
    <w:p>
      <w:pPr>
        <w:ind w:firstLine="560"/>
      </w:pPr>
      <w:r>
        <w:rPr>
          <w:rFonts w:hint="eastAsia"/>
        </w:rPr>
        <w:t>深入贯彻落实习近平总书记视察山西重要讲话重要指示，将党的十九大和十九届二中、三中、四中、五中全会精神紧密结合起来，加强生态环境系统保护修复，扎实实施黄河流域生态保护和高质量发展国家战略，推动“山西沿黄地区在保护中开发、开发中保护”，统筹推进山水林田湖草系统治理，做好生态环境保护的“大文章”。始终坚持绿色发展、生态优先，要坚持山水林田湖草一体化保护和修复，坚持治山、治水、治气、治城一体推进。推动形成绿色生产生活方式，高度重视生态文明建设，坚定不移走生态优先绿色发展之路，积极推行矿山地质环境恢复治理工作。</w:t>
      </w:r>
    </w:p>
    <w:p>
      <w:pPr>
        <w:pStyle w:val="4"/>
      </w:pPr>
      <w:bookmarkStart w:id="28" w:name="_Toc7577"/>
      <w:r>
        <w:rPr>
          <w:rFonts w:hint="eastAsia"/>
        </w:rPr>
        <w:t>二、矿产资源开发利用不断优化</w:t>
      </w:r>
      <w:r>
        <w:rPr>
          <w:rFonts w:hint="eastAsia"/>
          <w:lang w:eastAsia="zh-CN"/>
        </w:rPr>
        <w:t>，</w:t>
      </w:r>
      <w:r>
        <w:rPr>
          <w:rFonts w:hint="eastAsia"/>
        </w:rPr>
        <w:t>矿山地质环境问题有所控制</w:t>
      </w:r>
      <w:bookmarkEnd w:id="28"/>
    </w:p>
    <w:p>
      <w:pPr>
        <w:ind w:firstLine="560"/>
      </w:pPr>
      <w:r>
        <w:rPr>
          <w:rFonts w:hint="eastAsia"/>
        </w:rPr>
        <w:t>随着对矿产资源开发管理与地质环境保护力度的不断增强，矿产资源开发利用结构不断优化调整，开采总量得到控制。集约式经营将成为主要的经营方式，一些规模小、效益差、安全隐患多的矿山将被关闭，矿山总数将会减少，新的矿山地质环境问题将有所控制。</w:t>
      </w:r>
    </w:p>
    <w:p>
      <w:pPr>
        <w:pStyle w:val="4"/>
      </w:pPr>
      <w:bookmarkStart w:id="29" w:name="_Toc20064"/>
      <w:r>
        <w:rPr>
          <w:rFonts w:hint="eastAsia"/>
        </w:rPr>
        <w:t>三、历史遗留的矿山地质环境治理任务依然繁重</w:t>
      </w:r>
      <w:bookmarkEnd w:id="29"/>
    </w:p>
    <w:p>
      <w:pPr>
        <w:ind w:firstLine="560"/>
      </w:pPr>
      <w:r>
        <w:rPr>
          <w:rFonts w:hint="eastAsia"/>
        </w:rPr>
        <w:t>忻州市历史遗留矿山地质环境问题点多面广，治理难度大，主要表现为露天采场、采坑、地面塌陷</w:t>
      </w:r>
      <w:r>
        <w:rPr>
          <w:rFonts w:hint="eastAsia"/>
          <w:lang w:val="en-US" w:eastAsia="zh-CN"/>
        </w:rPr>
        <w:t>破坏</w:t>
      </w:r>
      <w:r>
        <w:rPr>
          <w:rFonts w:hint="eastAsia"/>
        </w:rPr>
        <w:t>，目前仍有</w:t>
      </w:r>
      <w:r>
        <w:t>11072.2</w:t>
      </w:r>
      <w:r>
        <w:rPr>
          <w:rFonts w:hint="eastAsia"/>
        </w:rPr>
        <w:t>公顷损毁土地需要恢复治理，尤其关闭和废弃矿山形成的矿山地质环境问题共</w:t>
      </w:r>
      <w:r>
        <w:t>3318.038</w:t>
      </w:r>
      <w:r>
        <w:rPr>
          <w:rFonts w:hint="eastAsia"/>
        </w:rPr>
        <w:t>公顷亟需加大治理力度，矿山地质环境恢复治理任务仍较繁重。</w:t>
      </w:r>
    </w:p>
    <w:p>
      <w:pPr>
        <w:pStyle w:val="4"/>
      </w:pPr>
      <w:bookmarkStart w:id="30" w:name="_Toc22106"/>
      <w:r>
        <w:rPr>
          <w:rFonts w:hint="eastAsia"/>
        </w:rPr>
        <w:t>四、矿业权人自觉履行矿山地质环境治理义务的主动性有待提高</w:t>
      </w:r>
      <w:bookmarkEnd w:id="30"/>
    </w:p>
    <w:p>
      <w:pPr>
        <w:ind w:firstLine="560"/>
      </w:pPr>
      <w:r>
        <w:rPr>
          <w:rFonts w:hint="eastAsia"/>
        </w:rPr>
        <w:t>部分矿山企业开展矿山地质环境治理的主动意识不强，现行法律法规中对矿山企业不依法履行治理义务的处罚力度不够，导致企业主体责任落实难。</w:t>
      </w:r>
    </w:p>
    <w:p>
      <w:pPr>
        <w:pStyle w:val="4"/>
      </w:pPr>
      <w:bookmarkStart w:id="31" w:name="_Toc14828"/>
      <w:r>
        <w:rPr>
          <w:rFonts w:hint="eastAsia"/>
        </w:rPr>
        <w:t>五、矿山地质环境问题“不欠新账”仍有压力</w:t>
      </w:r>
      <w:bookmarkEnd w:id="31"/>
    </w:p>
    <w:p>
      <w:pPr>
        <w:ind w:firstLine="560"/>
      </w:pPr>
      <w:r>
        <w:rPr>
          <w:rFonts w:hint="eastAsia"/>
        </w:rPr>
        <w:t>随着生态文明建设加快推进，各级政府、矿山企业和社会公众的矿山地质环境保护意识将进一步增强，矿山地质环境将有所控制。但矿产资源的持续开发，采矿强度的不断增强，矿山地质环境问题在今后一定时期内仍会存在，“不欠新账”仍有压力。根据《忻州市矿产资源总体规划（2016-2020年）》，到2020年，全市原煤产量控制在7000万吨，煤层气产能达到15亿立方米/年，铝土矿年度开采总量达到480万吨/年左右，铁矿石产量为2000万吨/年，钼矿产量为480万吨/年，金矿产量为30万吨/年，预计在规划期内将新增矿山地质环境问题4300公顷。</w:t>
      </w:r>
    </w:p>
    <w:p>
      <w:pPr>
        <w:ind w:firstLine="560"/>
      </w:pPr>
    </w:p>
    <w:p>
      <w:pPr>
        <w:ind w:firstLine="560"/>
        <w:sectPr>
          <w:pgSz w:w="11906" w:h="16838"/>
          <w:pgMar w:top="1588" w:right="1588" w:bottom="1588" w:left="1701" w:header="851" w:footer="851" w:gutter="0"/>
          <w:cols w:space="720" w:num="1"/>
          <w:docGrid w:type="lines" w:linePitch="312" w:charSpace="0"/>
        </w:sectPr>
      </w:pPr>
    </w:p>
    <w:p>
      <w:pPr>
        <w:pStyle w:val="2"/>
        <w:spacing w:after="156"/>
      </w:pPr>
      <w:bookmarkStart w:id="32" w:name="_Toc32101"/>
      <w:r>
        <w:rPr>
          <w:rFonts w:hint="eastAsia"/>
        </w:rPr>
        <w:t>第二章 指导思想、基本原则与规划目标</w:t>
      </w:r>
      <w:bookmarkEnd w:id="32"/>
    </w:p>
    <w:p>
      <w:pPr>
        <w:pStyle w:val="3"/>
      </w:pPr>
      <w:bookmarkStart w:id="33" w:name="_Toc1630"/>
      <w:r>
        <w:rPr>
          <w:rFonts w:hint="eastAsia"/>
        </w:rPr>
        <w:t>第一节 指导思想</w:t>
      </w:r>
      <w:bookmarkEnd w:id="33"/>
    </w:p>
    <w:p>
      <w:pPr>
        <w:ind w:firstLine="560"/>
      </w:pPr>
      <w:bookmarkStart w:id="34" w:name="_Hlk58151855"/>
      <w:r>
        <w:rPr>
          <w:rFonts w:hint="eastAsia"/>
        </w:rPr>
        <w:t>坚持以习近平新时代中国特色社会主义思想为指导，深入贯彻落实习近平总书记视察山西重要讲话重要指示，将党的十九大和十九届二中、三中、四中、五中全会精神紧密结合起来，加强生态环境系统保护修复，落实习近平在黄河流域生态保护和高质量发展座谈会上的重要讲话精神，扎实实施黄河流域生态保护和高质量发展国家战略，推动“山西沿黄地区在保护中开发、开发中保护”；坚决贯彻落实习近平总书记对汾河生态环境保护作出“水量丰起来、水质好起来、风光美起来”的重要指示，落实汾河流域治理攻坚的各项决策部署，全力做好汾河流域生态修复与保护各项工作，打赢汾河治理攻坚战，统筹推进山水林田湖草系统治理，做好生态环境保护的“大文章”。尽快形成在建、生产矿山和历史遗留矿山等“新老矿山地质环境问题”统筹解决新局面。全面提高全市矿山地质环境保护和治理水平，加大矿山环境恢复治理力度，推进生态环境治理，改善黄河、汾河流域生态环境质量，做好黄河、汾河流域生态修复与矿山环境保护各项工作。</w:t>
      </w:r>
      <w:bookmarkEnd w:id="34"/>
    </w:p>
    <w:p>
      <w:pPr>
        <w:pStyle w:val="3"/>
      </w:pPr>
      <w:bookmarkStart w:id="35" w:name="_Toc22392"/>
      <w:r>
        <w:rPr>
          <w:rFonts w:hint="eastAsia"/>
        </w:rPr>
        <w:t>第二节 基本原则</w:t>
      </w:r>
      <w:bookmarkEnd w:id="35"/>
    </w:p>
    <w:p>
      <w:pPr>
        <w:pStyle w:val="4"/>
      </w:pPr>
      <w:bookmarkStart w:id="36" w:name="_Toc11658"/>
      <w:r>
        <w:rPr>
          <w:rFonts w:hint="eastAsia"/>
          <w:b w:val="0"/>
        </w:rPr>
        <w:t>一、</w:t>
      </w:r>
      <w:r>
        <w:rPr>
          <w:rFonts w:hint="eastAsia"/>
        </w:rPr>
        <w:t>以人为本，把握重点</w:t>
      </w:r>
      <w:bookmarkEnd w:id="36"/>
    </w:p>
    <w:p>
      <w:pPr>
        <w:ind w:firstLine="560"/>
      </w:pPr>
      <w:r>
        <w:rPr>
          <w:rFonts w:hint="eastAsia"/>
        </w:rPr>
        <w:t>矿山地质环境与人民群众的根本利益息息相关，关系到经济发展和社会稳定。必须把矿山地质环境恶劣、地质灾害隐患、危及群众生命财产安全的区域作为保护和治理的重点，优先治理该类矿山地质环境问题。</w:t>
      </w:r>
    </w:p>
    <w:p>
      <w:pPr>
        <w:pStyle w:val="4"/>
      </w:pPr>
      <w:bookmarkStart w:id="37" w:name="_Toc26334"/>
      <w:r>
        <w:rPr>
          <w:rFonts w:hint="eastAsia"/>
        </w:rPr>
        <w:t>二、源头预防，规划管控</w:t>
      </w:r>
      <w:bookmarkEnd w:id="37"/>
    </w:p>
    <w:p>
      <w:pPr>
        <w:ind w:firstLine="560"/>
      </w:pPr>
      <w:r>
        <w:rPr>
          <w:rFonts w:hint="eastAsia"/>
        </w:rPr>
        <w:t>完善资源开发与环境保护相互协调的矿产资源开发管理制度体系。强化矿产开发管理对生态环境的源头保护作用，严格矿产资源开发准入，严格生产过程监管，严格责任追究，把矿山地质环境恢复和综合治理的责任落实到矿产开发“事前、事中、事后”的全过程。矿产资源开发必须符合矿产资源规划、矿山地质环境保护与治理规划等相关规划要求。</w:t>
      </w:r>
    </w:p>
    <w:p>
      <w:pPr>
        <w:pStyle w:val="4"/>
      </w:pPr>
      <w:bookmarkStart w:id="38" w:name="_Toc311"/>
      <w:r>
        <w:rPr>
          <w:rFonts w:hint="eastAsia"/>
        </w:rPr>
        <w:t>三、合理开发，注重保护</w:t>
      </w:r>
      <w:bookmarkEnd w:id="38"/>
    </w:p>
    <w:p>
      <w:pPr>
        <w:ind w:firstLine="560"/>
      </w:pPr>
      <w:r>
        <w:rPr>
          <w:rFonts w:hint="eastAsia"/>
        </w:rPr>
        <w:t>从忻州市经济建设和社会发展需要出发，结合全市矿产资源分布、开发利用与矿山地质环境现状，建立资源开发、恢复治理与生态环境保护并重机制，把生态地质环境保护放在优先位置，推进矿产资源绿色勘查开发。扎实实施黄河流域生态保护和高质量发展国家战略，推动“山西沿黄地区在保护中开发、开发中保护”，统筹推进山水林田湖草系统治理，做好生态环境保护的“大文章”；落实汾河流域治理攻坚的各项决策部署，全力做好汾河流域生态修复与保护各项工作。在保护矿山地质环境的同时合理开发利用矿产资源，在开采资源的同时也要注重环境保护，尤其是生产矿山应该高度重视生产过程中产生的各种矿山地质环境问题，应当及时治理和解决。</w:t>
      </w:r>
    </w:p>
    <w:p>
      <w:pPr>
        <w:pStyle w:val="4"/>
      </w:pPr>
      <w:bookmarkStart w:id="39" w:name="_Toc13409"/>
      <w:r>
        <w:rPr>
          <w:rFonts w:hint="eastAsia"/>
        </w:rPr>
        <w:t>四、不欠新账，快还旧账</w:t>
      </w:r>
      <w:bookmarkEnd w:id="39"/>
    </w:p>
    <w:p>
      <w:pPr>
        <w:ind w:firstLine="560"/>
      </w:pPr>
      <w:r>
        <w:rPr>
          <w:rFonts w:hint="eastAsia"/>
        </w:rPr>
        <w:t>切实加强矿山地质环境监管，落实《山西省矿山地质环境恢复治理基金管理办法》。对于在建、生产矿山要切实做到“谁开发、谁治理”，落实矿山企业保护与治理的主体责任；“边开发、边治理”，确保不再遗留新的矿山地质环境问题。构建矿山地质环境治理的激励机制，统筹兼顾历史遗留和新产生矿山地质环境问题的恢复治理，按照轻重缓急加快推进，引导鼓励社会资金多元投入治理。</w:t>
      </w:r>
    </w:p>
    <w:p>
      <w:pPr>
        <w:pStyle w:val="4"/>
      </w:pPr>
      <w:bookmarkStart w:id="40" w:name="_Toc21682"/>
      <w:r>
        <w:rPr>
          <w:rFonts w:hint="eastAsia"/>
        </w:rPr>
        <w:t>五、明确责任，科学部署</w:t>
      </w:r>
      <w:bookmarkEnd w:id="40"/>
    </w:p>
    <w:p>
      <w:pPr>
        <w:ind w:firstLine="560"/>
      </w:pPr>
      <w:r>
        <w:rPr>
          <w:rFonts w:hint="eastAsia"/>
        </w:rPr>
        <w:t>废弃无主矿山地质环境问题，由地方政府统筹规划和恢复治理，在建和生产矿山造成的矿山地质环境问题，由矿山企业负责恢复治理。统筹考虑“新老”矿山地质环境问题，以自然保护区、重要景观区、居民集中生活区的周边和重要交通干线、河流湖泊直观可视范围“三区两线”及基本农田保护区等为重点，明确保护与治理任务和工作进度，统筹部署，分步实施，确保工作目标实现。</w:t>
      </w:r>
    </w:p>
    <w:p>
      <w:pPr>
        <w:pStyle w:val="3"/>
      </w:pPr>
      <w:bookmarkStart w:id="41" w:name="_Toc17665"/>
      <w:r>
        <w:rPr>
          <w:rFonts w:hint="eastAsia"/>
        </w:rPr>
        <w:t>第三节 规划目标</w:t>
      </w:r>
      <w:bookmarkEnd w:id="41"/>
    </w:p>
    <w:p>
      <w:pPr>
        <w:pStyle w:val="4"/>
      </w:pPr>
      <w:bookmarkStart w:id="42" w:name="_Toc17476"/>
      <w:r>
        <w:rPr>
          <w:rFonts w:hint="eastAsia"/>
        </w:rPr>
        <w:t>一</w:t>
      </w:r>
      <w:r>
        <w:rPr>
          <w:rStyle w:val="29"/>
          <w:rFonts w:hint="eastAsia"/>
          <w:b/>
        </w:rPr>
        <w:t>、近期目标（</w:t>
      </w:r>
      <w:r>
        <w:rPr>
          <w:rStyle w:val="29"/>
          <w:b/>
        </w:rPr>
        <w:t>2021</w:t>
      </w:r>
      <w:r>
        <w:rPr>
          <w:rStyle w:val="29"/>
          <w:rFonts w:hint="eastAsia"/>
          <w:b/>
        </w:rPr>
        <w:t>年—202</w:t>
      </w:r>
      <w:r>
        <w:rPr>
          <w:rStyle w:val="29"/>
          <w:b/>
        </w:rPr>
        <w:t>2</w:t>
      </w:r>
      <w:r>
        <w:rPr>
          <w:rStyle w:val="29"/>
          <w:rFonts w:hint="eastAsia"/>
          <w:b/>
        </w:rPr>
        <w:t>年）</w:t>
      </w:r>
      <w:bookmarkEnd w:id="42"/>
    </w:p>
    <w:p>
      <w:pPr>
        <w:ind w:firstLine="560"/>
      </w:pPr>
      <w:bookmarkStart w:id="43" w:name="_Hlk58086373"/>
      <w:r>
        <w:rPr>
          <w:rFonts w:hint="eastAsia"/>
        </w:rPr>
        <w:t>忻州市各类矿山地质环境问题得到有效治理，矿业开发对周边环境的影响进一步减少，矿山地质环境管理长效机制逐步完善，社会公众的矿山地质环境保护意识进一步提升，全市矿山地质环境保护与治理水平显著提高。</w:t>
      </w:r>
    </w:p>
    <w:bookmarkEnd w:id="43"/>
    <w:p>
      <w:pPr>
        <w:ind w:firstLine="560"/>
      </w:pPr>
      <w:r>
        <w:rPr>
          <w:rFonts w:hint="eastAsia"/>
        </w:rPr>
        <w:t>（一）矿山地质环境恢复治理</w:t>
      </w:r>
    </w:p>
    <w:p>
      <w:pPr>
        <w:ind w:firstLine="560"/>
      </w:pPr>
      <w:r>
        <w:rPr>
          <w:rFonts w:hint="eastAsia"/>
        </w:rPr>
        <w:t>历史遗留矿山地质环境问题治理率达到</w:t>
      </w:r>
      <w:r>
        <w:t>55</w:t>
      </w:r>
      <w:r>
        <w:rPr>
          <w:rFonts w:hint="eastAsia"/>
        </w:rPr>
        <w:t>%以上，生产矿山实现“边开采、边治理”；废弃无主矿山地质环境问题治理率达到</w:t>
      </w:r>
      <w:r>
        <w:t>6</w:t>
      </w:r>
      <w:r>
        <w:rPr>
          <w:rFonts w:hint="eastAsia"/>
        </w:rPr>
        <w:t>0%。</w:t>
      </w:r>
    </w:p>
    <w:p>
      <w:pPr>
        <w:ind w:firstLine="560"/>
      </w:pPr>
      <w:r>
        <w:rPr>
          <w:rFonts w:hint="eastAsia"/>
        </w:rPr>
        <w:t>（二）绿色矿山建设</w:t>
      </w:r>
    </w:p>
    <w:p>
      <w:pPr>
        <w:ind w:firstLine="560"/>
      </w:pPr>
      <w:bookmarkStart w:id="44" w:name="_Hlk58088108"/>
      <w:r>
        <w:rPr>
          <w:rFonts w:hint="eastAsia"/>
        </w:rPr>
        <w:t>积极开展绿色矿山建设，新建矿山必须达到绿色矿山建设标准，生产的能源矿山1</w:t>
      </w:r>
      <w:r>
        <w:t>00%</w:t>
      </w:r>
      <w:r>
        <w:rPr>
          <w:rFonts w:hint="eastAsia"/>
        </w:rPr>
        <w:t>达到市级绿色矿山建设标准，非能源矿山3</w:t>
      </w:r>
      <w:r>
        <w:t>0%</w:t>
      </w:r>
      <w:r>
        <w:rPr>
          <w:rFonts w:hint="eastAsia"/>
        </w:rPr>
        <w:t>达到市级绿色矿山建设标准，形成符合生态文明建设要求的矿业发展新模式。</w:t>
      </w:r>
      <w:bookmarkEnd w:id="44"/>
    </w:p>
    <w:p>
      <w:pPr>
        <w:ind w:firstLine="560"/>
      </w:pPr>
      <w:r>
        <w:rPr>
          <w:rFonts w:hint="eastAsia"/>
        </w:rPr>
        <w:t>（三）矿山地质环境调查</w:t>
      </w:r>
    </w:p>
    <w:p>
      <w:pPr>
        <w:ind w:firstLine="560"/>
      </w:pPr>
      <w:r>
        <w:rPr>
          <w:rFonts w:hint="eastAsia"/>
        </w:rPr>
        <w:t>开展支撑国土空间生态修复专项矿山地质环境调查工作，完成无矿权设置的采矿破坏区域矿山地质环境调查。</w:t>
      </w:r>
    </w:p>
    <w:p>
      <w:pPr>
        <w:ind w:firstLine="560"/>
      </w:pPr>
      <w:r>
        <w:rPr>
          <w:rFonts w:hint="eastAsia"/>
        </w:rPr>
        <w:t>（四）矿山地质环境监测</w:t>
      </w:r>
    </w:p>
    <w:p>
      <w:pPr>
        <w:ind w:firstLine="560"/>
        <w:rPr>
          <w:color w:val="FF0000"/>
        </w:rPr>
      </w:pPr>
      <w:bookmarkStart w:id="45" w:name="_Hlk55201712"/>
      <w:r>
        <w:rPr>
          <w:rFonts w:hint="eastAsia"/>
        </w:rPr>
        <w:t>全市生产、在建矿山1</w:t>
      </w:r>
      <w:r>
        <w:t>00%</w:t>
      </w:r>
      <w:r>
        <w:rPr>
          <w:rFonts w:hint="eastAsia"/>
        </w:rPr>
        <w:t>建成矿山自主监测网络，探索建立</w:t>
      </w:r>
      <w:bookmarkStart w:id="46" w:name="_Hlk58575042"/>
      <w:r>
        <w:rPr>
          <w:rFonts w:hint="eastAsia"/>
        </w:rPr>
        <w:t>部省级发证矿山</w:t>
      </w:r>
      <w:bookmarkEnd w:id="46"/>
      <w:r>
        <w:rPr>
          <w:rFonts w:hint="eastAsia"/>
        </w:rPr>
        <w:t>地质环境监测体系。</w:t>
      </w:r>
    </w:p>
    <w:bookmarkEnd w:id="45"/>
    <w:p>
      <w:pPr>
        <w:pStyle w:val="4"/>
      </w:pPr>
      <w:bookmarkStart w:id="47" w:name="_Toc18973"/>
      <w:r>
        <w:rPr>
          <w:rFonts w:hint="eastAsia"/>
        </w:rPr>
        <w:t>二、中远期目标（202</w:t>
      </w:r>
      <w:r>
        <w:t>3</w:t>
      </w:r>
      <w:r>
        <w:rPr>
          <w:rFonts w:hint="eastAsia"/>
        </w:rPr>
        <w:t>年—2025年）</w:t>
      </w:r>
      <w:bookmarkEnd w:id="47"/>
    </w:p>
    <w:p>
      <w:pPr>
        <w:ind w:firstLine="560"/>
      </w:pPr>
      <w:bookmarkStart w:id="48" w:name="_Hlk55202013"/>
      <w:r>
        <w:rPr>
          <w:rFonts w:hint="eastAsia"/>
        </w:rPr>
        <w:t>（一）矿山地质环境恢复治理目标</w:t>
      </w:r>
    </w:p>
    <w:p>
      <w:pPr>
        <w:ind w:firstLine="560"/>
      </w:pPr>
      <w:r>
        <w:rPr>
          <w:rFonts w:hint="eastAsia"/>
        </w:rPr>
        <w:t>全市历史遗留矿山地质环境问题和废弃无主矿山的地质环境全部治理完成，全市范围内所有生产、在建矿山均按绿色矿山标准建设和实施生产，各矿山企业建立建成一套责任明确、资料齐全、管理完善、预警及时、技术先进、治理彻底的地质环境保障体制。</w:t>
      </w:r>
    </w:p>
    <w:p>
      <w:pPr>
        <w:ind w:firstLine="560"/>
      </w:pPr>
      <w:r>
        <w:rPr>
          <w:rFonts w:hint="eastAsia"/>
        </w:rPr>
        <w:t>（二）矿山地质环境调查目标</w:t>
      </w:r>
    </w:p>
    <w:p>
      <w:pPr>
        <w:ind w:firstLine="560"/>
      </w:pPr>
      <w:r>
        <w:rPr>
          <w:rFonts w:hint="eastAsia"/>
        </w:rPr>
        <w:t>更新完善全市新一轮的矿山地质环境详细调查成果，并提出矿山地质灾害和地质环境保护与恢复治理对策建议。</w:t>
      </w:r>
    </w:p>
    <w:p>
      <w:pPr>
        <w:ind w:firstLine="560"/>
      </w:pPr>
      <w:r>
        <w:rPr>
          <w:rFonts w:hint="eastAsia"/>
        </w:rPr>
        <w:t>（三）矿山地质环境监测目标</w:t>
      </w:r>
    </w:p>
    <w:p>
      <w:pPr>
        <w:ind w:firstLine="560"/>
      </w:pPr>
      <w:r>
        <w:rPr>
          <w:rFonts w:hint="eastAsia"/>
        </w:rPr>
        <w:t>基本建立</w:t>
      </w:r>
      <w:bookmarkStart w:id="49" w:name="_Hlk58575075"/>
      <w:r>
        <w:rPr>
          <w:rFonts w:hint="eastAsia"/>
        </w:rPr>
        <w:t>部省级</w:t>
      </w:r>
      <w:bookmarkEnd w:id="49"/>
      <w:r>
        <w:rPr>
          <w:rFonts w:hint="eastAsia"/>
        </w:rPr>
        <w:t>发证矿山地质环境监测体系，实现</w:t>
      </w:r>
      <w:bookmarkStart w:id="50" w:name="_Hlk58575092"/>
      <w:r>
        <w:rPr>
          <w:rFonts w:hint="eastAsia"/>
        </w:rPr>
        <w:t>部省级发证</w:t>
      </w:r>
      <w:bookmarkEnd w:id="50"/>
      <w:r>
        <w:rPr>
          <w:rFonts w:hint="eastAsia"/>
        </w:rPr>
        <w:t>矿山地质环境动态监测全覆盖，全面掌握和监控部省级发证矿山地质环境动态变化情况，持续开展矿山地质环境监测。</w:t>
      </w:r>
    </w:p>
    <w:p>
      <w:pPr>
        <w:ind w:firstLine="560"/>
      </w:pPr>
      <w:r>
        <w:rPr>
          <w:rFonts w:hint="eastAsia"/>
        </w:rPr>
        <w:t>（四）绿色矿山建设目标</w:t>
      </w:r>
    </w:p>
    <w:p>
      <w:pPr>
        <w:ind w:firstLine="560"/>
      </w:pPr>
      <w:r>
        <w:rPr>
          <w:rFonts w:hint="eastAsia"/>
        </w:rPr>
        <w:t>全市生产矿山1</w:t>
      </w:r>
      <w:r>
        <w:t>00%</w:t>
      </w:r>
      <w:r>
        <w:rPr>
          <w:rFonts w:hint="eastAsia"/>
        </w:rPr>
        <w:t>达到市级绿色矿山建设标准，在建矿山和规划期内即将新建矿山，实施“绿色矿山”建设标准。</w:t>
      </w:r>
      <w:bookmarkEnd w:id="48"/>
    </w:p>
    <w:p>
      <w:pPr>
        <w:ind w:firstLine="560"/>
        <w:sectPr>
          <w:pgSz w:w="11906" w:h="16838"/>
          <w:pgMar w:top="1588" w:right="1588" w:bottom="1588" w:left="1701" w:header="851" w:footer="851" w:gutter="0"/>
          <w:cols w:space="720" w:num="1"/>
          <w:docGrid w:type="lines" w:linePitch="312" w:charSpace="0"/>
        </w:sectPr>
      </w:pPr>
    </w:p>
    <w:p>
      <w:pPr>
        <w:pStyle w:val="2"/>
        <w:spacing w:after="156"/>
      </w:pPr>
      <w:bookmarkStart w:id="51" w:name="_Toc4378"/>
      <w:r>
        <w:rPr>
          <w:rFonts w:hint="eastAsia"/>
        </w:rPr>
        <w:t>第三章 主要任务与重大工程</w:t>
      </w:r>
      <w:bookmarkEnd w:id="51"/>
    </w:p>
    <w:p>
      <w:pPr>
        <w:pStyle w:val="4"/>
      </w:pPr>
      <w:bookmarkStart w:id="52" w:name="_Toc18485"/>
      <w:bookmarkStart w:id="53" w:name="_Hlk55222300"/>
      <w:r>
        <w:rPr>
          <w:rFonts w:hint="eastAsia"/>
        </w:rPr>
        <w:t>一、矿山地质环境调查</w:t>
      </w:r>
      <w:bookmarkEnd w:id="52"/>
    </w:p>
    <w:p>
      <w:pPr>
        <w:ind w:firstLine="560"/>
      </w:pPr>
      <w:r>
        <w:rPr>
          <w:rFonts w:hint="eastAsia"/>
        </w:rPr>
        <w:t>（一）20</w:t>
      </w:r>
      <w:r>
        <w:t>21</w:t>
      </w:r>
      <w:r>
        <w:rPr>
          <w:rFonts w:hint="eastAsia"/>
        </w:rPr>
        <w:t>-2022年，完成全市</w:t>
      </w:r>
      <w:bookmarkStart w:id="54" w:name="_Hlk58144100"/>
      <w:r>
        <w:rPr>
          <w:rFonts w:hint="eastAsia"/>
        </w:rPr>
        <w:t>废弃无主矿山地质环境问题专项调查工作</w:t>
      </w:r>
      <w:bookmarkEnd w:id="54"/>
      <w:r>
        <w:rPr>
          <w:rFonts w:hint="eastAsia"/>
        </w:rPr>
        <w:t>，调查面积约</w:t>
      </w:r>
      <w:r>
        <w:t>600</w:t>
      </w:r>
      <w:r>
        <w:rPr>
          <w:rFonts w:hint="eastAsia"/>
        </w:rPr>
        <w:t>平方公里；</w:t>
      </w:r>
    </w:p>
    <w:p>
      <w:pPr>
        <w:ind w:firstLine="560"/>
      </w:pPr>
      <w:r>
        <w:rPr>
          <w:rFonts w:hint="eastAsia"/>
        </w:rPr>
        <w:t>（二）支撑国土空间生态修复专项矿山地质环境调查，规划期每年部署约</w:t>
      </w:r>
      <w:r>
        <w:t>40</w:t>
      </w:r>
      <w:r>
        <w:rPr>
          <w:rFonts w:hint="eastAsia"/>
        </w:rPr>
        <w:t>平方公里，共约</w:t>
      </w:r>
      <w:r>
        <w:t>20</w:t>
      </w:r>
      <w:r>
        <w:rPr>
          <w:rFonts w:hint="eastAsia"/>
        </w:rPr>
        <w:t>0平方公里，也可根据工作具体需要，增加调查面积，调查精度1:10000-1:5000；</w:t>
      </w:r>
    </w:p>
    <w:p>
      <w:pPr>
        <w:ind w:firstLine="560"/>
      </w:pPr>
      <w:r>
        <w:rPr>
          <w:rFonts w:hint="eastAsia"/>
        </w:rPr>
        <w:t>（三）202</w:t>
      </w:r>
      <w:r>
        <w:t>2</w:t>
      </w:r>
      <w:r>
        <w:rPr>
          <w:rFonts w:hint="eastAsia"/>
        </w:rPr>
        <w:t>-202</w:t>
      </w:r>
      <w:r>
        <w:t>5</w:t>
      </w:r>
      <w:r>
        <w:rPr>
          <w:rFonts w:hint="eastAsia"/>
        </w:rPr>
        <w:t>年，完成全市新一轮的矿山地质环境详细调查工作，调查面积约</w:t>
      </w:r>
      <w:r>
        <w:t>8100</w:t>
      </w:r>
      <w:r>
        <w:rPr>
          <w:rFonts w:hint="eastAsia"/>
        </w:rPr>
        <w:t>平方公里，调查精度1:50000，</w:t>
      </w:r>
      <w:bookmarkStart w:id="55" w:name="_Hlk58144137"/>
      <w:r>
        <w:rPr>
          <w:rFonts w:hint="eastAsia"/>
        </w:rPr>
        <w:t>真实掌握矿山地质环境状况，为矿山地质环境保护与治理提供依据。</w:t>
      </w:r>
    </w:p>
    <w:bookmarkEnd w:id="55"/>
    <w:p>
      <w:pPr>
        <w:pStyle w:val="4"/>
      </w:pPr>
      <w:bookmarkStart w:id="56" w:name="_Toc32157"/>
      <w:r>
        <w:rPr>
          <w:rFonts w:hint="eastAsia"/>
        </w:rPr>
        <w:t>二、矿山地质环境监测</w:t>
      </w:r>
      <w:bookmarkEnd w:id="56"/>
    </w:p>
    <w:p>
      <w:pPr>
        <w:ind w:firstLine="560"/>
      </w:pPr>
      <w:bookmarkStart w:id="57" w:name="_Hlk58144156"/>
      <w:r>
        <w:rPr>
          <w:rFonts w:hint="eastAsia"/>
        </w:rPr>
        <w:t>围绕着落实监测责任、实施监督管理、制定监测技术标准体系、发布权威信息等方面建立健全监测机制；选择工作基础比较好，监测条件比较成熟的矿区先行先试，积累经验后在全市逐渐推开；汇总监测数据，建立全市矿山地质环境动态监测数据库。</w:t>
      </w:r>
      <w:bookmarkEnd w:id="57"/>
    </w:p>
    <w:p>
      <w:pPr>
        <w:ind w:firstLine="560"/>
      </w:pPr>
      <w:r>
        <w:rPr>
          <w:rFonts w:hint="eastAsia"/>
        </w:rPr>
        <w:t>（一）建立典型矿山地质环境监测示范</w:t>
      </w:r>
    </w:p>
    <w:p>
      <w:pPr>
        <w:ind w:firstLine="560"/>
      </w:pPr>
      <w:bookmarkStart w:id="58" w:name="_Hlk58144275"/>
      <w:r>
        <w:rPr>
          <w:rFonts w:hint="eastAsia"/>
        </w:rPr>
        <w:t>近期（20</w:t>
      </w:r>
      <w:r>
        <w:t>21</w:t>
      </w:r>
      <w:r>
        <w:rPr>
          <w:rFonts w:hint="eastAsia"/>
        </w:rPr>
        <w:t>-202</w:t>
      </w:r>
      <w:r>
        <w:t>2</w:t>
      </w:r>
      <w:r>
        <w:rPr>
          <w:rFonts w:hint="eastAsia"/>
        </w:rPr>
        <w:t>年），</w:t>
      </w:r>
      <w:bookmarkStart w:id="59" w:name="_Hlk58144221"/>
      <w:r>
        <w:rPr>
          <w:rFonts w:hint="eastAsia"/>
        </w:rPr>
        <w:t>建设</w:t>
      </w:r>
      <w:r>
        <w:t>3</w:t>
      </w:r>
      <w:r>
        <w:rPr>
          <w:rFonts w:hint="eastAsia"/>
        </w:rPr>
        <w:t>个矿山地质环境监测典型示范区</w:t>
      </w:r>
      <w:bookmarkEnd w:id="59"/>
      <w:r>
        <w:rPr>
          <w:rFonts w:hint="eastAsia"/>
        </w:rPr>
        <w:t>，</w:t>
      </w:r>
      <w:bookmarkStart w:id="60" w:name="_Hlk58144193"/>
      <w:r>
        <w:rPr>
          <w:rFonts w:hint="eastAsia"/>
        </w:rPr>
        <w:t>中远期（2</w:t>
      </w:r>
      <w:r>
        <w:t>023-2025</w:t>
      </w:r>
      <w:r>
        <w:rPr>
          <w:rFonts w:hint="eastAsia"/>
        </w:rPr>
        <w:t>年），建设</w:t>
      </w:r>
      <w:r>
        <w:t>7</w:t>
      </w:r>
      <w:r>
        <w:rPr>
          <w:rFonts w:hint="eastAsia"/>
        </w:rPr>
        <w:t>个矿山地质环境监测示范区，具体矿山企业见表3</w:t>
      </w:r>
      <w:r>
        <w:t>-1</w:t>
      </w:r>
      <w:r>
        <w:rPr>
          <w:rFonts w:hint="eastAsia"/>
        </w:rPr>
        <w:t>。</w:t>
      </w:r>
      <w:bookmarkEnd w:id="58"/>
      <w:bookmarkEnd w:id="60"/>
    </w:p>
    <w:p>
      <w:pPr>
        <w:ind w:firstLine="560"/>
      </w:pPr>
    </w:p>
    <w:p>
      <w:pPr>
        <w:ind w:firstLine="560"/>
      </w:pPr>
    </w:p>
    <w:p>
      <w:pPr>
        <w:ind w:firstLine="560"/>
      </w:pPr>
    </w:p>
    <w:p>
      <w:pPr>
        <w:ind w:firstLine="560"/>
        <w:rPr>
          <w:color w:val="FF0000"/>
        </w:rPr>
      </w:pPr>
    </w:p>
    <w:p>
      <w:pPr>
        <w:ind w:firstLine="0" w:firstLineChars="0"/>
        <w:jc w:val="center"/>
        <w:rPr>
          <w:b/>
          <w:bCs/>
          <w:color w:val="FF0000"/>
          <w:sz w:val="21"/>
          <w:szCs w:val="21"/>
        </w:rPr>
      </w:pPr>
      <w:bookmarkStart w:id="61" w:name="_Hlk58144285"/>
      <w:r>
        <w:rPr>
          <w:rFonts w:hint="eastAsia"/>
          <w:b/>
          <w:bCs/>
          <w:sz w:val="21"/>
          <w:szCs w:val="21"/>
        </w:rPr>
        <w:t>表3</w:t>
      </w:r>
      <w:r>
        <w:rPr>
          <w:b/>
          <w:bCs/>
          <w:sz w:val="21"/>
          <w:szCs w:val="21"/>
        </w:rPr>
        <w:t xml:space="preserve">-1  </w:t>
      </w:r>
      <w:r>
        <w:rPr>
          <w:rFonts w:hint="eastAsia"/>
          <w:b/>
          <w:bCs/>
          <w:sz w:val="21"/>
          <w:szCs w:val="21"/>
        </w:rPr>
        <w:t>矿山地质环境监测示范区</w:t>
      </w:r>
    </w:p>
    <w:bookmarkEnd w:id="61"/>
    <w:tbl>
      <w:tblPr>
        <w:tblStyle w:val="21"/>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5"/>
        <w:gridCol w:w="5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restart"/>
            <w:shd w:val="clear" w:color="auto" w:fill="auto"/>
            <w:noWrap/>
            <w:vAlign w:val="center"/>
          </w:tcPr>
          <w:p>
            <w:pPr>
              <w:spacing w:line="240" w:lineRule="auto"/>
              <w:ind w:firstLine="0" w:firstLineChars="0"/>
              <w:jc w:val="center"/>
              <w:rPr>
                <w:sz w:val="21"/>
                <w:szCs w:val="21"/>
              </w:rPr>
            </w:pPr>
            <w:r>
              <w:rPr>
                <w:rFonts w:hint="eastAsia"/>
                <w:sz w:val="21"/>
                <w:szCs w:val="21"/>
              </w:rPr>
              <w:t>近期（2</w:t>
            </w:r>
            <w:r>
              <w:rPr>
                <w:sz w:val="21"/>
                <w:szCs w:val="21"/>
              </w:rPr>
              <w:t>021-2022</w:t>
            </w:r>
            <w:r>
              <w:rPr>
                <w:rFonts w:hint="eastAsia"/>
                <w:sz w:val="21"/>
                <w:szCs w:val="21"/>
              </w:rPr>
              <w:t>年）</w:t>
            </w:r>
          </w:p>
        </w:tc>
        <w:tc>
          <w:tcPr>
            <w:tcW w:w="5900" w:type="dxa"/>
            <w:shd w:val="clear" w:color="auto" w:fill="auto"/>
            <w:vAlign w:val="center"/>
          </w:tcPr>
          <w:p>
            <w:pPr>
              <w:spacing w:line="240" w:lineRule="auto"/>
              <w:ind w:firstLine="0" w:firstLineChars="0"/>
              <w:jc w:val="center"/>
              <w:rPr>
                <w:sz w:val="21"/>
                <w:szCs w:val="21"/>
              </w:rPr>
            </w:pPr>
            <w:r>
              <w:rPr>
                <w:rFonts w:hint="eastAsia"/>
                <w:sz w:val="21"/>
                <w:szCs w:val="21"/>
              </w:rPr>
              <w:t>山西河曲晋神磁窑沟煤业有限公司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vAlign w:val="center"/>
          </w:tcPr>
          <w:p>
            <w:pPr>
              <w:spacing w:line="240" w:lineRule="auto"/>
              <w:ind w:firstLine="0" w:firstLineChars="0"/>
              <w:jc w:val="center"/>
              <w:rPr>
                <w:sz w:val="21"/>
                <w:szCs w:val="21"/>
              </w:rPr>
            </w:pPr>
            <w:r>
              <w:rPr>
                <w:rFonts w:hint="eastAsia"/>
                <w:sz w:val="21"/>
                <w:szCs w:val="21"/>
              </w:rPr>
              <w:t>山西忻州神达栖凤煤业有限公司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vAlign w:val="center"/>
          </w:tcPr>
          <w:p>
            <w:pPr>
              <w:spacing w:line="240" w:lineRule="auto"/>
              <w:ind w:firstLine="0" w:firstLineChars="0"/>
              <w:jc w:val="center"/>
              <w:rPr>
                <w:sz w:val="21"/>
                <w:szCs w:val="21"/>
              </w:rPr>
            </w:pPr>
            <w:r>
              <w:rPr>
                <w:rFonts w:hint="eastAsia"/>
                <w:sz w:val="21"/>
                <w:szCs w:val="21"/>
              </w:rPr>
              <w:t>太原钢铁（集团）有限公司矿业公司峨口铁矿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restart"/>
            <w:shd w:val="clear" w:color="auto" w:fill="auto"/>
            <w:noWrap/>
            <w:vAlign w:val="center"/>
          </w:tcPr>
          <w:p>
            <w:pPr>
              <w:spacing w:line="240" w:lineRule="auto"/>
              <w:ind w:firstLine="0" w:firstLineChars="0"/>
              <w:jc w:val="center"/>
              <w:rPr>
                <w:sz w:val="21"/>
                <w:szCs w:val="21"/>
              </w:rPr>
            </w:pPr>
            <w:r>
              <w:rPr>
                <w:rFonts w:hint="eastAsia"/>
                <w:sz w:val="21"/>
                <w:szCs w:val="21"/>
              </w:rPr>
              <w:t>中远期（2</w:t>
            </w:r>
            <w:r>
              <w:rPr>
                <w:sz w:val="21"/>
                <w:szCs w:val="21"/>
              </w:rPr>
              <w:t>023-2025</w:t>
            </w:r>
            <w:r>
              <w:rPr>
                <w:rFonts w:hint="eastAsia"/>
                <w:sz w:val="21"/>
                <w:szCs w:val="21"/>
              </w:rPr>
              <w:t>年）</w:t>
            </w: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山西宁武大运华盛老窑沟煤业有限公司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山西忻州神达朝凯煤业有限公司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山西煤炭运销集团猫儿沟煤业有限公司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山西忻州神达大桥沟煤业有限公司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山西忻州神达晋保煤业有限公司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山西忻州神达望田煤业有限公司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vMerge w:val="continue"/>
            <w:vAlign w:val="center"/>
          </w:tcPr>
          <w:p>
            <w:pPr>
              <w:spacing w:line="240" w:lineRule="auto"/>
              <w:ind w:firstLine="0" w:firstLineChars="0"/>
              <w:jc w:val="center"/>
              <w:rPr>
                <w:sz w:val="21"/>
                <w:szCs w:val="21"/>
              </w:rPr>
            </w:pPr>
          </w:p>
        </w:tc>
        <w:tc>
          <w:tcPr>
            <w:tcW w:w="5900" w:type="dxa"/>
            <w:shd w:val="clear" w:color="auto" w:fill="auto"/>
            <w:noWrap/>
            <w:vAlign w:val="center"/>
          </w:tcPr>
          <w:p>
            <w:pPr>
              <w:spacing w:line="240" w:lineRule="auto"/>
              <w:ind w:firstLine="0" w:firstLineChars="0"/>
              <w:jc w:val="center"/>
              <w:rPr>
                <w:sz w:val="21"/>
                <w:szCs w:val="21"/>
              </w:rPr>
            </w:pPr>
            <w:r>
              <w:rPr>
                <w:rFonts w:hint="eastAsia"/>
                <w:sz w:val="21"/>
                <w:szCs w:val="21"/>
              </w:rPr>
              <w:t>山西忻州神达金山煤业有限公司</w:t>
            </w:r>
          </w:p>
        </w:tc>
      </w:tr>
    </w:tbl>
    <w:p>
      <w:pPr>
        <w:ind w:firstLine="560"/>
      </w:pPr>
      <w:r>
        <w:rPr>
          <w:rFonts w:hint="eastAsia"/>
        </w:rPr>
        <w:t>（二）建立全市矿山地质环境监测体系</w:t>
      </w:r>
    </w:p>
    <w:p>
      <w:pPr>
        <w:ind w:firstLine="560"/>
      </w:pPr>
      <w:bookmarkStart w:id="62" w:name="_Hlk58144479"/>
      <w:r>
        <w:t>2021-</w:t>
      </w:r>
      <w:r>
        <w:rPr>
          <w:rFonts w:hint="eastAsia"/>
        </w:rPr>
        <w:t>2</w:t>
      </w:r>
      <w:r>
        <w:t>022</w:t>
      </w:r>
      <w:r>
        <w:rPr>
          <w:rFonts w:hint="eastAsia"/>
        </w:rPr>
        <w:t>年，全市4</w:t>
      </w:r>
      <w:r>
        <w:t>36</w:t>
      </w:r>
      <w:r>
        <w:rPr>
          <w:rFonts w:hint="eastAsia"/>
        </w:rPr>
        <w:t>座生产、在建矿山实现自主监测，矿山企业全面落实矿山地质环境监测主体责任，并每年上报县级自然资源主管部门，实现全市范围内持证矿山的动态监测。</w:t>
      </w:r>
      <w:bookmarkEnd w:id="62"/>
    </w:p>
    <w:p>
      <w:pPr>
        <w:ind w:firstLine="560"/>
      </w:pPr>
      <w:bookmarkStart w:id="63" w:name="_Hlk58144541"/>
      <w:bookmarkStart w:id="64" w:name="_Hlk58575856"/>
      <w:r>
        <w:rPr>
          <w:rFonts w:hint="eastAsia"/>
        </w:rPr>
        <w:t>市规划和自然资源局在规划期内建立市、县（区）矿山地质环境监测机构、矿山地质环境动态监管平台，全面掌握和监控全市矿山地质环境动态变化情况，为矿山地质环境问题恢复治理提供支撑。</w:t>
      </w:r>
      <w:bookmarkEnd w:id="63"/>
    </w:p>
    <w:bookmarkEnd w:id="64"/>
    <w:p>
      <w:pPr>
        <w:pStyle w:val="4"/>
      </w:pPr>
      <w:bookmarkStart w:id="65" w:name="_Toc4207"/>
      <w:r>
        <w:rPr>
          <w:rFonts w:hint="eastAsia"/>
        </w:rPr>
        <w:t>三、矿山地质环境治理</w:t>
      </w:r>
      <w:bookmarkEnd w:id="65"/>
    </w:p>
    <w:p>
      <w:pPr>
        <w:ind w:firstLine="560"/>
      </w:pPr>
      <w:bookmarkStart w:id="66" w:name="_Hlk58145055"/>
      <w:r>
        <w:rPr>
          <w:rFonts w:hint="eastAsia"/>
        </w:rPr>
        <w:t>根据规划任务，部署矿山地质环境治理工程，2</w:t>
      </w:r>
      <w:r>
        <w:t>011-</w:t>
      </w:r>
      <w:r>
        <w:rPr>
          <w:rFonts w:hint="eastAsia"/>
        </w:rPr>
        <w:t>202</w:t>
      </w:r>
      <w:r>
        <w:t>2</w:t>
      </w:r>
      <w:r>
        <w:rPr>
          <w:rFonts w:hint="eastAsia"/>
        </w:rPr>
        <w:t>年部署历史遗留矿山地质环境治理面积</w:t>
      </w:r>
      <w:r>
        <w:t>6136.9331</w:t>
      </w:r>
      <w:r>
        <w:rPr>
          <w:rFonts w:hint="eastAsia"/>
        </w:rPr>
        <w:t>公顷，其中废弃无主矿山地质环境治理面积</w:t>
      </w:r>
      <w:r>
        <w:t>1981.468</w:t>
      </w:r>
      <w:r>
        <w:rPr>
          <w:rFonts w:hint="eastAsia"/>
        </w:rPr>
        <w:t>公顷；2</w:t>
      </w:r>
      <w:r>
        <w:t>023-</w:t>
      </w:r>
      <w:r>
        <w:rPr>
          <w:rFonts w:hint="eastAsia"/>
        </w:rPr>
        <w:t>2025年部署历史遗留矿山地质环境治理面积</w:t>
      </w:r>
      <w:r>
        <w:t>4935.2638</w:t>
      </w:r>
      <w:r>
        <w:rPr>
          <w:rFonts w:hint="eastAsia"/>
        </w:rPr>
        <w:t>公顷，其中废弃无主矿山地质环境治理面积</w:t>
      </w:r>
      <w:r>
        <w:t>1336.57</w:t>
      </w:r>
      <w:r>
        <w:rPr>
          <w:rFonts w:hint="eastAsia"/>
        </w:rPr>
        <w:t>公顷。基本完成全市历史遗留矿山地质环境问题恢复治理工作，实现全市矿山地质环境根本好转。</w:t>
      </w:r>
    </w:p>
    <w:p>
      <w:pPr>
        <w:ind w:firstLine="560"/>
      </w:pPr>
      <w:bookmarkStart w:id="67" w:name="_Hlk55395938"/>
      <w:r>
        <w:rPr>
          <w:rFonts w:hint="eastAsia"/>
        </w:rPr>
        <w:t>规划期部署历史遗留矿山地质环境治理面积</w:t>
      </w:r>
      <w:bookmarkStart w:id="68" w:name="_Hlk58149876"/>
      <w:r>
        <w:t>11072.20</w:t>
      </w:r>
      <w:bookmarkEnd w:id="68"/>
      <w:r>
        <w:rPr>
          <w:rFonts w:hint="eastAsia"/>
        </w:rPr>
        <w:t>公顷。</w:t>
      </w:r>
      <w:bookmarkStart w:id="69" w:name="_Hlk58149890"/>
      <w:r>
        <w:rPr>
          <w:rFonts w:hint="eastAsia"/>
        </w:rPr>
        <w:t>其中废弃无主矿山地质环境重点治理工程</w:t>
      </w:r>
      <w:r>
        <w:t>6</w:t>
      </w:r>
      <w:r>
        <w:rPr>
          <w:rFonts w:hint="eastAsia"/>
        </w:rPr>
        <w:t>7处，</w:t>
      </w:r>
      <w:bookmarkStart w:id="70" w:name="_Hlk55395374"/>
      <w:r>
        <w:rPr>
          <w:rFonts w:hint="eastAsia"/>
        </w:rPr>
        <w:t>面积</w:t>
      </w:r>
      <w:r>
        <w:t>3318.038</w:t>
      </w:r>
      <w:r>
        <w:rPr>
          <w:rFonts w:hint="eastAsia"/>
        </w:rPr>
        <w:t>公顷</w:t>
      </w:r>
      <w:bookmarkEnd w:id="69"/>
      <w:bookmarkEnd w:id="70"/>
      <w:r>
        <w:rPr>
          <w:rFonts w:hint="eastAsia"/>
        </w:rPr>
        <w:t>。</w:t>
      </w:r>
      <w:bookmarkEnd w:id="67"/>
      <w:r>
        <w:rPr>
          <w:rFonts w:hint="eastAsia"/>
        </w:rPr>
        <w:t>（见附表一、附表二、附表三）</w:t>
      </w:r>
    </w:p>
    <w:bookmarkEnd w:id="66"/>
    <w:p>
      <w:pPr>
        <w:pStyle w:val="4"/>
      </w:pPr>
      <w:bookmarkStart w:id="71" w:name="_Toc13640"/>
      <w:r>
        <w:rPr>
          <w:rFonts w:hint="eastAsia"/>
        </w:rPr>
        <w:t>四、矿山地质环境保护</w:t>
      </w:r>
      <w:bookmarkEnd w:id="71"/>
    </w:p>
    <w:p>
      <w:pPr>
        <w:ind w:firstLine="560"/>
      </w:pPr>
      <w:bookmarkStart w:id="72" w:name="_Hlk58145114"/>
      <w:bookmarkStart w:id="73" w:name="_Hlk57819635"/>
      <w:r>
        <w:rPr>
          <w:rFonts w:hint="eastAsia"/>
        </w:rPr>
        <w:t>矿产资源应坚持在保护环境的前提下实施开发，矿山开采要有经主管部门批准的环境影响报告书、矿山资源开发利用方案、矿山地质环境保护与土地复垦方案，环保设施要与主体工程同时设计、同时施工、同时投产使用。市规划和自然资源局、各县（区）自然资源局是监督管理机构，矿山企业是组织实施机构，全面负责矿区地质环境保护与治理工作，将矿山地质环境保护贯穿到矿山开采的整个过程中，做到“边开发、边保护”，禁止在“三区两线”区域开展矿产资源开采活动，注重矿区地质环境保护。</w:t>
      </w:r>
      <w:bookmarkEnd w:id="72"/>
    </w:p>
    <w:bookmarkEnd w:id="73"/>
    <w:p>
      <w:pPr>
        <w:pStyle w:val="4"/>
      </w:pPr>
      <w:bookmarkStart w:id="74" w:name="_Toc2944"/>
      <w:r>
        <w:rPr>
          <w:rFonts w:hint="eastAsia"/>
        </w:rPr>
        <w:t>五、绿色矿山建设</w:t>
      </w:r>
      <w:bookmarkEnd w:id="74"/>
    </w:p>
    <w:p>
      <w:pPr>
        <w:ind w:firstLine="560"/>
      </w:pPr>
      <w:bookmarkStart w:id="75" w:name="_Hlk58145980"/>
      <w:r>
        <w:rPr>
          <w:rFonts w:hint="eastAsia"/>
        </w:rPr>
        <w:t>忻州市绿色矿山建设和管理，坚持“政府引导、企业主体、部门指导、社会监督”的原则。新建、整合矿山必须按照绿色矿山要求建设，投产即达到绿色矿山建设的要求。</w:t>
      </w:r>
      <w:bookmarkStart w:id="76" w:name="_Hlk58143421"/>
      <w:r>
        <w:rPr>
          <w:rFonts w:hint="eastAsia"/>
        </w:rPr>
        <w:t>2</w:t>
      </w:r>
      <w:r>
        <w:t>011-2022</w:t>
      </w:r>
      <w:r>
        <w:rPr>
          <w:rFonts w:hint="eastAsia"/>
        </w:rPr>
        <w:t>年，忻州市6</w:t>
      </w:r>
      <w:r>
        <w:t>5</w:t>
      </w:r>
      <w:r>
        <w:rPr>
          <w:rFonts w:hint="eastAsia"/>
        </w:rPr>
        <w:t>座能源矿山企业达到忻州市绿色矿山建设标准，2</w:t>
      </w:r>
      <w:r>
        <w:t>023-</w:t>
      </w:r>
      <w:r>
        <w:rPr>
          <w:rFonts w:hint="eastAsia"/>
        </w:rPr>
        <w:t>2</w:t>
      </w:r>
      <w:r>
        <w:t>025</w:t>
      </w:r>
      <w:r>
        <w:rPr>
          <w:rFonts w:hint="eastAsia"/>
        </w:rPr>
        <w:t>年所有持证矿山达到忻州市绿色矿山建设标准。</w:t>
      </w:r>
      <w:bookmarkEnd w:id="75"/>
      <w:bookmarkEnd w:id="76"/>
    </w:p>
    <w:p>
      <w:pPr>
        <w:ind w:firstLine="560"/>
      </w:pPr>
    </w:p>
    <w:p>
      <w:pPr>
        <w:ind w:firstLine="560"/>
      </w:pPr>
    </w:p>
    <w:bookmarkEnd w:id="53"/>
    <w:p>
      <w:pPr>
        <w:pStyle w:val="4"/>
      </w:pPr>
      <w:bookmarkStart w:id="77" w:name="_Toc25730"/>
      <w:r>
        <w:rPr>
          <w:rFonts w:hint="eastAsia"/>
        </w:rPr>
        <w:t>六、投资估算</w:t>
      </w:r>
      <w:bookmarkEnd w:id="77"/>
    </w:p>
    <w:p>
      <w:pPr>
        <w:ind w:firstLine="560"/>
      </w:pPr>
      <w:r>
        <w:rPr>
          <w:rFonts w:hint="eastAsia"/>
        </w:rPr>
        <w:t>（1）投资估算</w:t>
      </w:r>
    </w:p>
    <w:p>
      <w:pPr>
        <w:ind w:firstLine="560"/>
      </w:pPr>
      <w:bookmarkStart w:id="78" w:name="_Hlk58150157"/>
      <w:bookmarkStart w:id="79" w:name="_Hlk58150177"/>
      <w:bookmarkStart w:id="80" w:name="_Hlk55224543"/>
      <w:r>
        <w:rPr>
          <w:rFonts w:hint="eastAsia"/>
        </w:rPr>
        <w:t>根据规划要求，结合忻州市矿山地质环境实际情况，</w:t>
      </w:r>
      <w:bookmarkStart w:id="81" w:name="_Hlk55459381"/>
      <w:r>
        <w:rPr>
          <w:rFonts w:hint="eastAsia"/>
        </w:rPr>
        <w:t>规划期内矿山地质环境保护与治理总投资</w:t>
      </w:r>
      <w:r>
        <w:t>170434.707</w:t>
      </w:r>
      <w:r>
        <w:rPr>
          <w:rFonts w:hint="eastAsia"/>
        </w:rPr>
        <w:t>万元</w:t>
      </w:r>
      <w:bookmarkEnd w:id="81"/>
      <w:r>
        <w:rPr>
          <w:rFonts w:hint="eastAsia"/>
        </w:rPr>
        <w:t>，</w:t>
      </w:r>
      <w:bookmarkEnd w:id="78"/>
      <w:r>
        <w:rPr>
          <w:rFonts w:hint="eastAsia"/>
        </w:rPr>
        <w:t>其中政府总投入资金</w:t>
      </w:r>
      <w:r>
        <w:t>39269.815</w:t>
      </w:r>
      <w:r>
        <w:rPr>
          <w:rFonts w:hint="eastAsia"/>
        </w:rPr>
        <w:t>万元，企业自主总投入资金</w:t>
      </w:r>
      <w:r>
        <w:t>131164.892</w:t>
      </w:r>
      <w:r>
        <w:rPr>
          <w:rFonts w:hint="eastAsia"/>
        </w:rPr>
        <w:t>万元。</w:t>
      </w:r>
    </w:p>
    <w:bookmarkEnd w:id="79"/>
    <w:p>
      <w:pPr>
        <w:ind w:firstLine="560"/>
      </w:pPr>
      <w:r>
        <w:rPr>
          <w:rFonts w:hint="eastAsia"/>
        </w:rPr>
        <w:t>矿山地质环境调查工程：</w:t>
      </w:r>
      <w:r>
        <w:t>1580</w:t>
      </w:r>
      <w:r>
        <w:rPr>
          <w:rFonts w:hint="eastAsia"/>
        </w:rPr>
        <w:t>万元；</w:t>
      </w:r>
    </w:p>
    <w:p>
      <w:pPr>
        <w:ind w:firstLine="560"/>
      </w:pPr>
      <w:r>
        <w:rPr>
          <w:rFonts w:hint="eastAsia"/>
        </w:rPr>
        <w:t>矿山地质环境监测及综合管理平台建设：</w:t>
      </w:r>
      <w:bookmarkStart w:id="82" w:name="_Hlk58149199"/>
      <w:r>
        <w:t>2450</w:t>
      </w:r>
      <w:bookmarkEnd w:id="82"/>
      <w:r>
        <w:rPr>
          <w:rFonts w:hint="eastAsia"/>
        </w:rPr>
        <w:t>万元；</w:t>
      </w:r>
    </w:p>
    <w:p>
      <w:pPr>
        <w:ind w:firstLine="560"/>
      </w:pPr>
      <w:r>
        <w:rPr>
          <w:rFonts w:hint="eastAsia"/>
        </w:rPr>
        <w:t>矿山地质环境治理工程：</w:t>
      </w:r>
      <w:bookmarkStart w:id="83" w:name="_Hlk58149434"/>
      <w:r>
        <w:t>166404.707</w:t>
      </w:r>
      <w:bookmarkEnd w:id="83"/>
      <w:r>
        <w:rPr>
          <w:rFonts w:hint="eastAsia"/>
        </w:rPr>
        <w:t>万元；</w:t>
      </w:r>
    </w:p>
    <w:bookmarkEnd w:id="80"/>
    <w:p>
      <w:pPr>
        <w:ind w:firstLine="560"/>
      </w:pPr>
      <w:r>
        <w:rPr>
          <w:rFonts w:hint="eastAsia"/>
        </w:rPr>
        <w:t>（2）资金渠道</w:t>
      </w:r>
    </w:p>
    <w:p>
      <w:pPr>
        <w:ind w:firstLine="560"/>
      </w:pPr>
      <w:bookmarkStart w:id="84" w:name="_Hlk58150183"/>
      <w:bookmarkStart w:id="85" w:name="_Hlk55224628"/>
      <w:r>
        <w:rPr>
          <w:rFonts w:hint="eastAsia"/>
        </w:rPr>
        <w:t>矿山地质环境调查工程、矿山地质环境监测及综合管理平台建设、废弃无主矿山地质环境问题所需投资，按照省人民政府《关于山西省推进省以下财政事权和支出责任划分改革实施方案的通知》（晋政发〔2017〕39号）要求，由市、县政府分别承担，也可积极申请中央及省财政资金；历史遗留的矿山地质环境问题恢复治理资金，根据“谁破坏、谁治理”的原则，由矿山企业承担。</w:t>
      </w:r>
      <w:bookmarkEnd w:id="84"/>
    </w:p>
    <w:bookmarkEnd w:id="85"/>
    <w:p>
      <w:pPr>
        <w:ind w:firstLine="560"/>
      </w:pPr>
    </w:p>
    <w:p>
      <w:pPr>
        <w:ind w:firstLine="560"/>
        <w:sectPr>
          <w:pgSz w:w="11906" w:h="16838"/>
          <w:pgMar w:top="1588" w:right="1588" w:bottom="1588" w:left="1701" w:header="851" w:footer="851" w:gutter="0"/>
          <w:cols w:space="720" w:num="1"/>
          <w:docGrid w:type="lines" w:linePitch="312" w:charSpace="0"/>
        </w:sectPr>
      </w:pPr>
    </w:p>
    <w:p>
      <w:pPr>
        <w:pStyle w:val="2"/>
        <w:spacing w:after="156"/>
      </w:pPr>
      <w:bookmarkStart w:id="86" w:name="_Toc2221"/>
      <w:r>
        <w:rPr>
          <w:rFonts w:hint="eastAsia"/>
        </w:rPr>
        <w:t>第</w:t>
      </w:r>
      <w:r>
        <w:rPr>
          <w:rFonts w:hint="eastAsia"/>
          <w:lang w:val="en-US" w:eastAsia="zh-CN"/>
        </w:rPr>
        <w:t>四</w:t>
      </w:r>
      <w:r>
        <w:rPr>
          <w:rFonts w:hint="eastAsia"/>
        </w:rPr>
        <w:t>章 规划实施与管理</w:t>
      </w:r>
      <w:bookmarkEnd w:id="86"/>
    </w:p>
    <w:p>
      <w:pPr>
        <w:pStyle w:val="3"/>
      </w:pPr>
      <w:bookmarkStart w:id="87" w:name="_Toc2060"/>
      <w:bookmarkStart w:id="88" w:name="_Hlk58151772"/>
      <w:r>
        <w:rPr>
          <w:rFonts w:hint="eastAsia"/>
        </w:rPr>
        <w:t>第一节 加强组织领导，明晰目标责任</w:t>
      </w:r>
      <w:bookmarkEnd w:id="87"/>
    </w:p>
    <w:p>
      <w:pPr>
        <w:ind w:firstLine="560"/>
      </w:pPr>
      <w:r>
        <w:rPr>
          <w:rFonts w:hint="eastAsia"/>
        </w:rPr>
        <w:t>市委、市政府和各有关部门应当高度重视，切实加强组织领导，</w:t>
      </w:r>
      <w:r>
        <w:rPr>
          <w:rFonts w:hint="eastAsia"/>
          <w:szCs w:val="28"/>
        </w:rPr>
        <w:t>树立绿色政绩观，成立矿山地质环境保护与恢复治理领导组，</w:t>
      </w:r>
      <w:r>
        <w:rPr>
          <w:rFonts w:hint="eastAsia"/>
        </w:rPr>
        <w:t>市自然资源主管部门在市委、市政府的领导下组织实施、</w:t>
      </w:r>
      <w:r>
        <w:rPr>
          <w:rFonts w:hint="eastAsia"/>
          <w:szCs w:val="28"/>
        </w:rPr>
        <w:t>其他有关部门在其职责范围内协助做好矿山地质环境保护和治理工作。</w:t>
      </w:r>
      <w:r>
        <w:rPr>
          <w:rFonts w:hint="eastAsia"/>
        </w:rPr>
        <w:t>建立规划实施共同责任机制，严格落实废弃无主矿山地质环境问题恢复治理的主体责任，保障治理资金，切实做到压力传导到位、责任分解到位、资金筹措到位、监督管理到位、任务落实到位；矿山企业是矿山地质环境保护与治理的责任主体，要按照“谁开发、谁保护，谁破坏、谁治理”的原则，依照《山西省矿山环境治理恢复基金管理办法》，推进“边开采、边治理”，依法履行矿山地质环境保护与治理义务。</w:t>
      </w:r>
    </w:p>
    <w:p>
      <w:pPr>
        <w:ind w:firstLine="560"/>
      </w:pPr>
      <w:r>
        <w:rPr>
          <w:rFonts w:hint="eastAsia"/>
          <w:szCs w:val="28"/>
        </w:rPr>
        <w:t>构建“政府主导、部门配合、社会联动、层层落实”的矿山地质环境保护与治理组织体系，</w:t>
      </w:r>
      <w:r>
        <w:rPr>
          <w:rFonts w:hint="eastAsia"/>
        </w:rPr>
        <w:t>以保障规划目标的顺利实现。</w:t>
      </w:r>
    </w:p>
    <w:p>
      <w:pPr>
        <w:pStyle w:val="3"/>
      </w:pPr>
      <w:bookmarkStart w:id="89" w:name="_Toc6651"/>
      <w:r>
        <w:rPr>
          <w:rFonts w:hint="eastAsia"/>
        </w:rPr>
        <w:t>第二节 推动部门联动，强化规划协调</w:t>
      </w:r>
      <w:bookmarkEnd w:id="89"/>
    </w:p>
    <w:p>
      <w:pPr>
        <w:ind w:firstLine="560"/>
      </w:pPr>
      <w:r>
        <w:rPr>
          <w:rFonts w:hint="eastAsia"/>
        </w:rPr>
        <w:t>各级自然资源、发改、财政、生态环境、水利、农业、能源、应急、等相关部门要在市委、市政府的统一领导下，加强协调配合，搞好政策衔接，构建部门协调联动机制。强化规划的严肃性和透明度，做到与国民经济和社会发展规划纲要、土地规划、城乡规划、生态环境保护规划等相衔接，按照部门责任分工，依法行政、严格执法，形成各负其责、密切协作、齐抓共管的工作格局，扎实推进矿山地质环境保护与治理，依法监管矿山企业切实履行矿山地质环境恢复治理主体责任。</w:t>
      </w:r>
    </w:p>
    <w:p>
      <w:pPr>
        <w:pStyle w:val="3"/>
      </w:pPr>
      <w:bookmarkStart w:id="90" w:name="_Toc30969"/>
      <w:bookmarkStart w:id="91" w:name="_Toc497946698"/>
      <w:r>
        <w:rPr>
          <w:rFonts w:hint="eastAsia"/>
        </w:rPr>
        <w:t>第三节 贯彻法规制度，创新体制机制</w:t>
      </w:r>
      <w:bookmarkEnd w:id="90"/>
    </w:p>
    <w:p>
      <w:pPr>
        <w:ind w:firstLine="560"/>
      </w:pPr>
      <w:r>
        <w:rPr>
          <w:rFonts w:hint="eastAsia"/>
        </w:rPr>
        <w:t>认真贯彻落实《山西省矿产资源管理条例》、《山西省地质灾害防治条例》、《山西省矿山环境治理恢复基金管理办法》等相关规章制度，督促矿山地质环境保护与治理工作。</w:t>
      </w:r>
    </w:p>
    <w:p>
      <w:pPr>
        <w:ind w:firstLine="560"/>
      </w:pPr>
      <w:r>
        <w:rPr>
          <w:rFonts w:hint="eastAsia"/>
        </w:rPr>
        <w:t>加大财政资金投入，市财政预算应安排专项资金，政府拓宽资金渠道，积极争取省及中央财政资金，落实治理费用，保障矿山地质环境治理规划确定治理任务的顺利完成。严格落实矿山环境治理恢复基金管理办法，建立合理投资优惠政策和收效分配政策，吸引更多企业投资矿山地质环境保护与治理工作，构建“政府主导、政策扶持、社会参与、开发式治理、市场化运作”的矿山地质环境恢复与治理新模式，切实提高历史遗留矿山地质环境问题的治理成效。</w:t>
      </w:r>
    </w:p>
    <w:bookmarkEnd w:id="91"/>
    <w:p>
      <w:pPr>
        <w:pStyle w:val="3"/>
      </w:pPr>
      <w:bookmarkStart w:id="92" w:name="_Toc3790"/>
      <w:r>
        <w:rPr>
          <w:rFonts w:hint="eastAsia"/>
        </w:rPr>
        <w:t>第四节 严格监督管理，落实重大工程</w:t>
      </w:r>
      <w:bookmarkEnd w:id="92"/>
    </w:p>
    <w:p>
      <w:pPr>
        <w:ind w:firstLine="560"/>
      </w:pPr>
      <w:r>
        <w:rPr>
          <w:rFonts w:hint="eastAsia"/>
        </w:rPr>
        <w:t>《规划》一经批准，必须严格执行。将矿山地质环境保护与治理规划的目标和任务工程纳入人民政府国民经济和社会发展规划进行考核。将《规划》中所列重点治理工程的执行情况作为矿山地质环境执法督察的主要内容，加强规划实施情况分析，按时开展规划中期评估工作，加大巡查力度，及时发现、纠正各种违反《规划》的行为，为规划管理决策和规划调整与修编提供基础信息和依据。</w:t>
      </w:r>
    </w:p>
    <w:p>
      <w:pPr>
        <w:ind w:firstLine="560"/>
      </w:pPr>
      <w:bookmarkStart w:id="93" w:name="_Hlk58152237"/>
      <w:r>
        <w:rPr>
          <w:rFonts w:hint="eastAsia"/>
        </w:rPr>
        <w:t>实施重大工程，解决严重影响人居环境、工农业生产、城市发展的矿山地质环境突出问题，完善用地、用矿政策，鼓励多元投入开展历史遗留矿山地质环境问题治理。加快推进“绿色矿山”建设，落实矿山企业主体治理责任，有效控制生产矿山形成的矿山地质环境问题增量、增速，为恢复地方自然生态环境、建设生态忻州、美丽忻州做出新的更大的贡献。</w:t>
      </w:r>
    </w:p>
    <w:bookmarkEnd w:id="93"/>
    <w:p>
      <w:pPr>
        <w:pStyle w:val="3"/>
      </w:pPr>
      <w:bookmarkStart w:id="94" w:name="_Toc8526"/>
      <w:r>
        <w:rPr>
          <w:rFonts w:hint="eastAsia"/>
        </w:rPr>
        <w:t>第五节 强化跟踪评估，加强公众参与</w:t>
      </w:r>
      <w:bookmarkEnd w:id="94"/>
    </w:p>
    <w:p>
      <w:pPr>
        <w:ind w:firstLine="560"/>
      </w:pPr>
      <w:r>
        <w:rPr>
          <w:rFonts w:hint="eastAsia"/>
        </w:rPr>
        <w:t>通过多种媒体加强对规划内容的宣传，提高社会各界对规划的认知度和知情权。逐步建立规划公示、规划管理公开和社会公众监督制度。牢固树立矿产资源既是重要自然资源也是重要生态要素的生态文明理念，充分发挥新闻媒体作用，组织宣传活动，树立理性、积极的舆论导向，普及矿山地质环境保护法律法规和科学知识，提高社会各界的资源环境保护意识。全面推进社会公众参与，扩大公民对地质环境监测的知情权、参与权和监督权，促进地质环境保护的科学化、民主化。加强地质环境监测保护法律、政策和技术咨询服务，扩大和保护社会公众享有的环境权益。实时准确公开各类矿山地质环境信息，保障群众知情权，及时回应矿山企业、矿区群众和社会公众关切的矿山地质环境问题，鼓励群众监督矿山地质环境保护与治理工作，保障企业和群众知情权。</w:t>
      </w:r>
    </w:p>
    <w:bookmarkEnd w:id="88"/>
    <w:p>
      <w:pPr>
        <w:ind w:firstLine="560"/>
      </w:pPr>
    </w:p>
    <w:p>
      <w:pPr>
        <w:ind w:firstLine="560"/>
        <w:sectPr>
          <w:pgSz w:w="11906" w:h="16838"/>
          <w:pgMar w:top="1588" w:right="1588" w:bottom="1588" w:left="1701" w:header="851" w:footer="851" w:gutter="0"/>
          <w:cols w:space="720" w:num="1"/>
          <w:docGrid w:type="lines" w:linePitch="312" w:charSpace="0"/>
        </w:sectPr>
      </w:pPr>
    </w:p>
    <w:p>
      <w:pPr>
        <w:pStyle w:val="2"/>
        <w:spacing w:after="190"/>
        <w:rPr>
          <w:sz w:val="28"/>
          <w:szCs w:val="28"/>
        </w:rPr>
      </w:pPr>
      <w:bookmarkStart w:id="95" w:name="_Toc26755"/>
      <w:r>
        <w:rPr>
          <w:rFonts w:hint="eastAsia"/>
          <w:sz w:val="28"/>
          <w:szCs w:val="28"/>
        </w:rPr>
        <w:t xml:space="preserve">附表一 </w:t>
      </w:r>
      <w:r>
        <w:rPr>
          <w:sz w:val="28"/>
          <w:szCs w:val="28"/>
        </w:rPr>
        <w:t xml:space="preserve"> </w:t>
      </w:r>
      <w:bookmarkStart w:id="96" w:name="_Hlk58151476"/>
      <w:r>
        <w:rPr>
          <w:rFonts w:hint="eastAsia"/>
          <w:sz w:val="28"/>
          <w:szCs w:val="28"/>
        </w:rPr>
        <w:t>忻州市矿山地质环境治理工程表</w:t>
      </w:r>
      <w:bookmarkEnd w:id="95"/>
      <w:bookmarkEnd w:id="96"/>
    </w:p>
    <w:tbl>
      <w:tblPr>
        <w:tblStyle w:val="21"/>
        <w:tblW w:w="5000" w:type="pct"/>
        <w:jc w:val="center"/>
        <w:tblLayout w:type="autofit"/>
        <w:tblCellMar>
          <w:top w:w="0" w:type="dxa"/>
          <w:left w:w="108" w:type="dxa"/>
          <w:bottom w:w="0" w:type="dxa"/>
          <w:right w:w="108" w:type="dxa"/>
        </w:tblCellMar>
      </w:tblPr>
      <w:tblGrid>
        <w:gridCol w:w="1888"/>
        <w:gridCol w:w="2683"/>
        <w:gridCol w:w="3000"/>
        <w:gridCol w:w="1262"/>
      </w:tblGrid>
      <w:tr>
        <w:tblPrEx>
          <w:tblCellMar>
            <w:top w:w="0" w:type="dxa"/>
            <w:left w:w="108" w:type="dxa"/>
            <w:bottom w:w="0" w:type="dxa"/>
            <w:right w:w="108" w:type="dxa"/>
          </w:tblCellMar>
        </w:tblPrEx>
        <w:trPr>
          <w:trHeight w:val="276" w:hRule="atLeast"/>
          <w:jc w:val="center"/>
        </w:trPr>
        <w:tc>
          <w:tcPr>
            <w:tcW w:w="1069"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所属县（市）</w:t>
            </w:r>
          </w:p>
        </w:tc>
        <w:tc>
          <w:tcPr>
            <w:tcW w:w="1519"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近期治理面积（</w:t>
            </w:r>
            <w:r>
              <w:rPr>
                <w:rFonts w:eastAsia="宋体"/>
                <w:color w:val="000000"/>
                <w:kern w:val="0"/>
                <w:sz w:val="18"/>
                <w:szCs w:val="18"/>
              </w:rPr>
              <w:t>hm</w:t>
            </w:r>
            <w:r>
              <w:rPr>
                <w:rFonts w:eastAsia="宋体"/>
                <w:color w:val="000000"/>
                <w:kern w:val="0"/>
                <w:sz w:val="18"/>
                <w:szCs w:val="18"/>
                <w:vertAlign w:val="superscript"/>
              </w:rPr>
              <w:t>2</w:t>
            </w:r>
            <w:r>
              <w:rPr>
                <w:rFonts w:hint="eastAsia"/>
                <w:sz w:val="21"/>
                <w:szCs w:val="21"/>
              </w:rPr>
              <w:t>）</w:t>
            </w:r>
          </w:p>
        </w:tc>
        <w:tc>
          <w:tcPr>
            <w:tcW w:w="1698"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中远期治理面积（</w:t>
            </w:r>
            <w:r>
              <w:rPr>
                <w:rFonts w:eastAsia="宋体"/>
                <w:color w:val="000000"/>
                <w:kern w:val="0"/>
                <w:sz w:val="18"/>
                <w:szCs w:val="18"/>
              </w:rPr>
              <w:t>hm</w:t>
            </w:r>
            <w:r>
              <w:rPr>
                <w:rFonts w:eastAsia="宋体"/>
                <w:color w:val="000000"/>
                <w:kern w:val="0"/>
                <w:sz w:val="18"/>
                <w:szCs w:val="18"/>
                <w:vertAlign w:val="superscript"/>
              </w:rPr>
              <w:t>2</w:t>
            </w:r>
            <w:r>
              <w:rPr>
                <w:rFonts w:hint="eastAsia"/>
                <w:sz w:val="21"/>
                <w:szCs w:val="21"/>
              </w:rPr>
              <w:t>）</w:t>
            </w:r>
          </w:p>
        </w:tc>
        <w:tc>
          <w:tcPr>
            <w:tcW w:w="714"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资金来源</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代县</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7.845</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4.234</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定襄</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11.9414</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22</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1.82</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繁峙县</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147.6261</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96.5898</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60.07</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22.16</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静乐县</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34.864</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24.98</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10.878</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保德县</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740.79</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629.27</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岢岚县</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4.65</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1.26</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宁武县</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2125.67</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1444.3</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931.02</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sz w:val="21"/>
                <w:szCs w:val="21"/>
              </w:rPr>
              <w:t>588.98</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神池县</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125.92</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4.9</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114.79</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153.95</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五台县</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115.17</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51.74</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25.72</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41.48</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五寨县</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72.8286</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17.89</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0</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30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原平市</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544.7</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1173.1</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833</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500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河曲县</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159.74</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89.54</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偏关县</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7.49</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2.91</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忻府区</w:t>
            </w:r>
          </w:p>
        </w:tc>
        <w:tc>
          <w:tcPr>
            <w:tcW w:w="151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63.72</w:t>
            </w:r>
          </w:p>
        </w:tc>
        <w:tc>
          <w:tcPr>
            <w:tcW w:w="169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sz w:val="21"/>
                <w:szCs w:val="21"/>
              </w:rPr>
            </w:pPr>
            <w:r>
              <w:rPr>
                <w:rFonts w:hint="eastAsia"/>
                <w:sz w:val="21"/>
                <w:szCs w:val="21"/>
              </w:rPr>
              <w:t>32.63</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企业投资</w:t>
            </w:r>
          </w:p>
        </w:tc>
      </w:tr>
      <w:tr>
        <w:tblPrEx>
          <w:tblCellMar>
            <w:top w:w="0" w:type="dxa"/>
            <w:left w:w="108" w:type="dxa"/>
            <w:bottom w:w="0" w:type="dxa"/>
            <w:right w:w="108" w:type="dxa"/>
          </w:tblCellMar>
        </w:tblPrEx>
        <w:trPr>
          <w:trHeight w:val="276" w:hRule="atLeast"/>
          <w:jc w:val="center"/>
        </w:trPr>
        <w:tc>
          <w:tcPr>
            <w:tcW w:w="1069"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w:t>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0</w:t>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rFonts w:hint="eastAsia"/>
                <w:sz w:val="21"/>
                <w:szCs w:val="21"/>
              </w:rPr>
              <w:t>政府投资</w:t>
            </w:r>
          </w:p>
        </w:tc>
      </w:tr>
      <w:tr>
        <w:tblPrEx>
          <w:tblCellMar>
            <w:top w:w="0" w:type="dxa"/>
            <w:left w:w="108" w:type="dxa"/>
            <w:bottom w:w="0" w:type="dxa"/>
            <w:right w:w="108" w:type="dxa"/>
          </w:tblCellMar>
        </w:tblPrEx>
        <w:trPr>
          <w:trHeight w:val="276" w:hRule="atLeast"/>
          <w:jc w:val="center"/>
        </w:trPr>
        <w:tc>
          <w:tcPr>
            <w:tcW w:w="1069" w:type="pc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合计</w:t>
            </w:r>
          </w:p>
        </w:tc>
        <w:tc>
          <w:tcPr>
            <w:tcW w:w="1519"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fldChar w:fldCharType="begin"/>
            </w:r>
            <w:r>
              <w:rPr>
                <w:sz w:val="21"/>
                <w:szCs w:val="21"/>
              </w:rPr>
              <w:instrText xml:space="preserve"> =SUM(ABOVE) </w:instrText>
            </w:r>
            <w:r>
              <w:rPr>
                <w:sz w:val="21"/>
                <w:szCs w:val="21"/>
              </w:rPr>
              <w:fldChar w:fldCharType="separate"/>
            </w:r>
            <w:r>
              <w:rPr>
                <w:sz w:val="21"/>
                <w:szCs w:val="21"/>
              </w:rPr>
              <w:t>6</w:t>
            </w:r>
            <w:r>
              <w:rPr>
                <w:rFonts w:hint="eastAsia"/>
                <w:sz w:val="21"/>
                <w:szCs w:val="21"/>
              </w:rPr>
              <w:t>1</w:t>
            </w:r>
            <w:r>
              <w:rPr>
                <w:sz w:val="21"/>
                <w:szCs w:val="21"/>
              </w:rPr>
              <w:t>36.9331</w:t>
            </w:r>
            <w:r>
              <w:rPr>
                <w:sz w:val="21"/>
                <w:szCs w:val="21"/>
              </w:rPr>
              <w:fldChar w:fldCharType="end"/>
            </w:r>
          </w:p>
        </w:tc>
        <w:tc>
          <w:tcPr>
            <w:tcW w:w="169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fldChar w:fldCharType="begin"/>
            </w:r>
            <w:r>
              <w:rPr>
                <w:sz w:val="21"/>
                <w:szCs w:val="21"/>
              </w:rPr>
              <w:instrText xml:space="preserve"> =SUM(ABOVE) </w:instrText>
            </w:r>
            <w:r>
              <w:rPr>
                <w:sz w:val="21"/>
                <w:szCs w:val="21"/>
              </w:rPr>
              <w:fldChar w:fldCharType="separate"/>
            </w:r>
            <w:r>
              <w:rPr>
                <w:sz w:val="21"/>
                <w:szCs w:val="21"/>
              </w:rPr>
              <w:t>4</w:t>
            </w:r>
            <w:r>
              <w:rPr>
                <w:rFonts w:hint="eastAsia"/>
                <w:sz w:val="21"/>
                <w:szCs w:val="21"/>
              </w:rPr>
              <w:t>9</w:t>
            </w:r>
            <w:r>
              <w:rPr>
                <w:sz w:val="21"/>
                <w:szCs w:val="21"/>
              </w:rPr>
              <w:t>35.2638</w:t>
            </w:r>
            <w:r>
              <w:rPr>
                <w:sz w:val="21"/>
                <w:szCs w:val="21"/>
              </w:rPr>
              <w:fldChar w:fldCharType="end"/>
            </w:r>
          </w:p>
        </w:tc>
        <w:tc>
          <w:tcPr>
            <w:tcW w:w="71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p>
        </w:tc>
      </w:tr>
    </w:tbl>
    <w:p>
      <w:pPr>
        <w:ind w:firstLine="560"/>
      </w:pPr>
    </w:p>
    <w:p>
      <w:pPr>
        <w:ind w:firstLine="560"/>
        <w:sectPr>
          <w:pgSz w:w="11906" w:h="16838"/>
          <w:pgMar w:top="1588" w:right="1588" w:bottom="1588" w:left="1701" w:header="851" w:footer="851" w:gutter="0"/>
          <w:cols w:space="720" w:num="1"/>
          <w:docGrid w:type="lines" w:linePitch="381" w:charSpace="0"/>
        </w:sectPr>
      </w:pPr>
    </w:p>
    <w:p>
      <w:pPr>
        <w:pStyle w:val="2"/>
        <w:spacing w:after="190"/>
        <w:rPr>
          <w:sz w:val="28"/>
          <w:szCs w:val="28"/>
        </w:rPr>
      </w:pPr>
      <w:bookmarkStart w:id="97" w:name="_Toc26297"/>
      <w:bookmarkStart w:id="98" w:name="_Hlk58151496"/>
      <w:r>
        <w:rPr>
          <w:rFonts w:hint="eastAsia"/>
          <w:sz w:val="28"/>
          <w:szCs w:val="28"/>
        </w:rPr>
        <w:t xml:space="preserve">附表二 </w:t>
      </w:r>
      <w:r>
        <w:rPr>
          <w:sz w:val="28"/>
          <w:szCs w:val="28"/>
        </w:rPr>
        <w:t xml:space="preserve"> </w:t>
      </w:r>
      <w:r>
        <w:rPr>
          <w:rFonts w:hint="eastAsia"/>
          <w:sz w:val="28"/>
          <w:szCs w:val="28"/>
        </w:rPr>
        <w:t>忻州市矿山地质环境近期重点治理工程表</w:t>
      </w:r>
      <w:bookmarkEnd w:id="97"/>
    </w:p>
    <w:bookmarkEnd w:id="98"/>
    <w:tbl>
      <w:tblPr>
        <w:tblStyle w:val="21"/>
        <w:tblW w:w="0" w:type="auto"/>
        <w:jc w:val="center"/>
        <w:tblLayout w:type="fixed"/>
        <w:tblCellMar>
          <w:top w:w="0" w:type="dxa"/>
          <w:left w:w="108" w:type="dxa"/>
          <w:bottom w:w="0" w:type="dxa"/>
          <w:right w:w="108" w:type="dxa"/>
        </w:tblCellMar>
      </w:tblPr>
      <w:tblGrid>
        <w:gridCol w:w="576"/>
        <w:gridCol w:w="3672"/>
        <w:gridCol w:w="850"/>
        <w:gridCol w:w="2694"/>
        <w:gridCol w:w="1984"/>
        <w:gridCol w:w="992"/>
        <w:gridCol w:w="993"/>
        <w:gridCol w:w="992"/>
        <w:gridCol w:w="899"/>
      </w:tblGrid>
      <w:tr>
        <w:tblPrEx>
          <w:tblCellMar>
            <w:top w:w="0" w:type="dxa"/>
            <w:left w:w="108" w:type="dxa"/>
            <w:bottom w:w="0" w:type="dxa"/>
            <w:right w:w="108" w:type="dxa"/>
          </w:tblCellMar>
        </w:tblPrEx>
        <w:trPr>
          <w:trHeight w:val="576" w:hRule="atLeast"/>
          <w:tblHeader/>
          <w:jc w:val="center"/>
        </w:trPr>
        <w:tc>
          <w:tcPr>
            <w:tcW w:w="5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hint="eastAsia"/>
                <w:sz w:val="18"/>
                <w:szCs w:val="18"/>
              </w:rPr>
              <w:t>序号</w:t>
            </w:r>
          </w:p>
        </w:tc>
        <w:tc>
          <w:tcPr>
            <w:tcW w:w="367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hint="eastAsia"/>
                <w:sz w:val="18"/>
                <w:szCs w:val="18"/>
              </w:rPr>
              <w:t>治理名称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hint="eastAsia"/>
                <w:sz w:val="18"/>
                <w:szCs w:val="18"/>
              </w:rPr>
              <w:t>所属县、市</w:t>
            </w:r>
          </w:p>
        </w:tc>
        <w:tc>
          <w:tcPr>
            <w:tcW w:w="26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主要矿山地质环境题</w:t>
            </w:r>
          </w:p>
        </w:tc>
        <w:tc>
          <w:tcPr>
            <w:tcW w:w="19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主要修复措施</w:t>
            </w:r>
          </w:p>
        </w:tc>
        <w:tc>
          <w:tcPr>
            <w:tcW w:w="9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治理面积（</w:t>
            </w:r>
            <w:r>
              <w:rPr>
                <w:sz w:val="18"/>
                <w:szCs w:val="18"/>
              </w:rPr>
              <w:t>hm</w:t>
            </w:r>
            <w:r>
              <w:rPr>
                <w:sz w:val="18"/>
                <w:szCs w:val="18"/>
                <w:vertAlign w:val="superscript"/>
              </w:rPr>
              <w:t>2</w:t>
            </w:r>
            <w:r>
              <w:rPr>
                <w:rFonts w:hint="eastAsia"/>
                <w:sz w:val="18"/>
                <w:szCs w:val="18"/>
              </w:rPr>
              <w:t>）</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投资估算（万元）</w:t>
            </w:r>
          </w:p>
        </w:tc>
        <w:tc>
          <w:tcPr>
            <w:tcW w:w="9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资金来源</w:t>
            </w:r>
          </w:p>
        </w:tc>
        <w:tc>
          <w:tcPr>
            <w:tcW w:w="89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治理期</w:t>
            </w:r>
          </w:p>
        </w:tc>
      </w:tr>
      <w:tr>
        <w:tblPrEx>
          <w:tblCellMar>
            <w:top w:w="0" w:type="dxa"/>
            <w:left w:w="108" w:type="dxa"/>
            <w:bottom w:w="0" w:type="dxa"/>
            <w:right w:w="108" w:type="dxa"/>
          </w:tblCellMar>
        </w:tblPrEx>
        <w:trPr>
          <w:trHeight w:val="276"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定襄县韩四石灰石矿业有限公司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定襄县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1.32</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31.15</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48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定襄县锦泓石料厂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定襄县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地形地貌景观与土地资源破坏、崩塌隐患点</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土地复垦、生态修复、地质灾害治理</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0.5</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12.1</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48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3</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山西晋中金鸣矿产开发公司东腰庄金矿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18.34</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596.05</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4</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五台县建安乡五峰白云石加工厂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0.42</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13.65</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48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5</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五台县本有硅石矿有限公司兴旺硅石矿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2.73</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88.73</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276"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6</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五台县东冶镇南大兴昌茂石料厂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2.67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86.78</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276"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7</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五台县东冶镇北大兴二村秀荣硅石矿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五台县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1.56</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50.7</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276"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8</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繁峙县宏盛铁矿有限责任公司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13.46</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228.81</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276"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9</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繁峙县骏腾煤炭运销有限责任公司宏伟铁矿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4.47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75.93</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48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10</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繁峙县云峰矿业有限公司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28.87</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276"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11</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繁峙县矿产品有限责任公司下庄铁矿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2.86</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48.57</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12</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繁峙县大星铁矿有限责任公司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3.38</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57.47</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13</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繁峙县伯强乡南沟铅锌矿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2.54</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43.26</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14</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山西五台山黄金矿业有限责任公司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9.5</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161.5</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15</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繁峙县宜鑫矿业有限公司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2.4</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40.8</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16</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繁峙县福贵石英斑岩矿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0.71</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12.08</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17</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繁峙县鑫泉石英矿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1.49</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25.27</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18</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繁峙县旭源矿业有限公司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繁峙县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17.56</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298.58</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19</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宁武县地方国营东汾煤矿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109</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1090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20</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宁武县涔山乡春涔联办煤矿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227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2270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21</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宁武县薛家洼乡周家沟煤矿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41.7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4170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22</w:t>
            </w:r>
          </w:p>
        </w:tc>
        <w:tc>
          <w:tcPr>
            <w:tcW w:w="367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40" w:lineRule="auto"/>
              <w:ind w:firstLine="0" w:firstLineChars="0"/>
              <w:jc w:val="center"/>
              <w:rPr>
                <w:color w:val="9C0006"/>
                <w:sz w:val="18"/>
                <w:szCs w:val="18"/>
              </w:rPr>
            </w:pPr>
            <w:r>
              <w:rPr>
                <w:rFonts w:hint="eastAsia" w:ascii="仿宋" w:hAnsi="仿宋"/>
                <w:color w:val="000000"/>
                <w:sz w:val="18"/>
                <w:szCs w:val="18"/>
              </w:rPr>
              <w:t>宁武县原露天煤矿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292.32</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2923.2</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23</w:t>
            </w:r>
          </w:p>
        </w:tc>
        <w:tc>
          <w:tcPr>
            <w:tcW w:w="367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40" w:lineRule="auto"/>
              <w:ind w:firstLine="0" w:firstLineChars="0"/>
              <w:jc w:val="center"/>
              <w:rPr>
                <w:sz w:val="18"/>
                <w:szCs w:val="18"/>
              </w:rPr>
            </w:pPr>
            <w:r>
              <w:rPr>
                <w:rFonts w:hint="eastAsia" w:ascii="仿宋" w:hAnsi="仿宋"/>
                <w:color w:val="000000"/>
                <w:sz w:val="18"/>
                <w:szCs w:val="18"/>
              </w:rPr>
              <w:t>宁武县涔山乡坝五涔沟煤矿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宁武县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261</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2610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97"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24</w:t>
            </w:r>
          </w:p>
        </w:tc>
        <w:tc>
          <w:tcPr>
            <w:tcW w:w="367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40" w:lineRule="auto"/>
              <w:ind w:firstLine="0" w:firstLineChars="0"/>
              <w:jc w:val="center"/>
              <w:rPr>
                <w:sz w:val="18"/>
                <w:szCs w:val="18"/>
              </w:rPr>
            </w:pPr>
            <w:r>
              <w:rPr>
                <w:rFonts w:hint="eastAsia" w:ascii="仿宋" w:hAnsi="仿宋"/>
                <w:color w:val="000000"/>
                <w:sz w:val="18"/>
                <w:szCs w:val="18"/>
              </w:rPr>
              <w:t>岔上煤矿</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静乐县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地面塌陷与地裂缝治理、崩塌隐患点</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土地复垦、生态修复、地质灾害治理</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0.978</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12.3</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25</w:t>
            </w:r>
          </w:p>
        </w:tc>
        <w:tc>
          <w:tcPr>
            <w:tcW w:w="367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40" w:lineRule="auto"/>
              <w:ind w:firstLine="0" w:firstLineChars="0"/>
              <w:jc w:val="center"/>
              <w:rPr>
                <w:sz w:val="18"/>
                <w:szCs w:val="18"/>
              </w:rPr>
            </w:pPr>
            <w:r>
              <w:rPr>
                <w:rFonts w:hint="eastAsia" w:ascii="仿宋" w:hAnsi="仿宋"/>
                <w:color w:val="000000"/>
                <w:sz w:val="18"/>
                <w:szCs w:val="18"/>
              </w:rPr>
              <w:t>霍州煤电集团南沟渠煤业有限公司</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静乐县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9.9</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278.51</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26</w:t>
            </w:r>
          </w:p>
        </w:tc>
        <w:tc>
          <w:tcPr>
            <w:tcW w:w="367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40" w:lineRule="auto"/>
              <w:ind w:firstLine="0" w:firstLineChars="0"/>
              <w:jc w:val="center"/>
              <w:rPr>
                <w:sz w:val="18"/>
                <w:szCs w:val="18"/>
              </w:rPr>
            </w:pPr>
            <w:r>
              <w:rPr>
                <w:rFonts w:hint="eastAsia" w:ascii="仿宋" w:hAnsi="仿宋"/>
                <w:color w:val="000000"/>
                <w:sz w:val="18"/>
                <w:szCs w:val="18"/>
              </w:rPr>
              <w:t>窝铺沟煤矿用地矿山地质环境治理</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神池县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59.03</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920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等线"/>
                <w:sz w:val="18"/>
                <w:szCs w:val="18"/>
              </w:rPr>
            </w:pPr>
            <w:r>
              <w:rPr>
                <w:rFonts w:eastAsia="等线"/>
                <w:color w:val="000000"/>
                <w:sz w:val="18"/>
                <w:szCs w:val="18"/>
              </w:rPr>
              <w:t>27</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 w:hAnsi="仿宋"/>
                <w:sz w:val="18"/>
                <w:szCs w:val="18"/>
              </w:rPr>
            </w:pPr>
            <w:r>
              <w:rPr>
                <w:rFonts w:hint="eastAsia" w:ascii="仿宋" w:hAnsi="仿宋"/>
                <w:color w:val="000000"/>
                <w:sz w:val="18"/>
                <w:szCs w:val="18"/>
              </w:rPr>
              <w:t>狮子沟煤矿用地矿山地质环境治理</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 w:hAnsi="仿宋"/>
                <w:sz w:val="18"/>
                <w:szCs w:val="18"/>
              </w:rPr>
            </w:pPr>
            <w:r>
              <w:rPr>
                <w:rFonts w:hint="eastAsia" w:ascii="仿宋" w:hAnsi="仿宋"/>
                <w:color w:val="000000"/>
                <w:sz w:val="18"/>
                <w:szCs w:val="18"/>
              </w:rPr>
              <w:t>神池县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 w:hAnsi="仿宋"/>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 w:hAnsi="仿宋"/>
                <w:sz w:val="18"/>
                <w:szCs w:val="18"/>
              </w:rPr>
            </w:pPr>
            <w:r>
              <w:rPr>
                <w:rFonts w:hint="eastAsia" w:ascii="仿宋" w:hAnsi="仿宋"/>
                <w:color w:val="000000"/>
                <w:sz w:val="18"/>
                <w:szCs w:val="18"/>
              </w:rPr>
              <w:t>生态修复、自然恢复为主</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等线"/>
                <w:sz w:val="18"/>
                <w:szCs w:val="18"/>
              </w:rPr>
            </w:pPr>
            <w:r>
              <w:rPr>
                <w:rFonts w:eastAsia="等线"/>
                <w:color w:val="000000"/>
                <w:sz w:val="18"/>
                <w:szCs w:val="18"/>
              </w:rPr>
              <w:t>37.5</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等线"/>
                <w:sz w:val="18"/>
                <w:szCs w:val="18"/>
              </w:rPr>
            </w:pPr>
            <w:r>
              <w:rPr>
                <w:rFonts w:eastAsia="等线"/>
                <w:color w:val="000000"/>
                <w:sz w:val="18"/>
                <w:szCs w:val="18"/>
              </w:rPr>
              <w:t>50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 w:hAnsi="仿宋"/>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 w:hAnsi="仿宋"/>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28</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马家山铝土矿矿山地质环境治理</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神池县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18.26</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260</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29</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岢岚县顺源石料厂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岢岚县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0.05</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2.4</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30</w:t>
            </w:r>
          </w:p>
        </w:tc>
        <w:tc>
          <w:tcPr>
            <w:tcW w:w="367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40" w:lineRule="auto"/>
              <w:ind w:firstLine="0" w:firstLineChars="0"/>
              <w:jc w:val="center"/>
              <w:rPr>
                <w:color w:val="9C0006"/>
                <w:sz w:val="18"/>
                <w:szCs w:val="18"/>
              </w:rPr>
            </w:pPr>
            <w:r>
              <w:rPr>
                <w:rFonts w:hint="eastAsia" w:ascii="仿宋" w:hAnsi="仿宋"/>
                <w:color w:val="000000"/>
                <w:sz w:val="18"/>
                <w:szCs w:val="18"/>
              </w:rPr>
              <w:t>岢岚县迎鑫砖厂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岢岚县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0.59</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84.08</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31</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岢岚县长城砖厂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岢岚县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0.62</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72.73</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32</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不规则开采</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原平市</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833</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5414.5</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33</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偏关县土寨俊新石料厂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偏关县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0.57</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11.4</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sz w:val="18"/>
                <w:szCs w:val="18"/>
              </w:rPr>
            </w:pPr>
            <w:r>
              <w:rPr>
                <w:rFonts w:eastAsia="等线"/>
                <w:color w:val="000000"/>
                <w:sz w:val="18"/>
                <w:szCs w:val="18"/>
              </w:rPr>
              <w:t>34</w:t>
            </w:r>
          </w:p>
        </w:tc>
        <w:tc>
          <w:tcPr>
            <w:tcW w:w="367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偏关县虎万石料厂</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偏关县</w:t>
            </w:r>
          </w:p>
        </w:tc>
        <w:tc>
          <w:tcPr>
            <w:tcW w:w="269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198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2.34</w:t>
            </w:r>
          </w:p>
        </w:tc>
        <w:tc>
          <w:tcPr>
            <w:tcW w:w="99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46.8</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近期</w:t>
            </w:r>
          </w:p>
        </w:tc>
      </w:tr>
      <w:tr>
        <w:tblPrEx>
          <w:tblCellMar>
            <w:top w:w="0" w:type="dxa"/>
            <w:left w:w="108" w:type="dxa"/>
            <w:bottom w:w="0" w:type="dxa"/>
            <w:right w:w="108" w:type="dxa"/>
          </w:tblCellMar>
        </w:tblPrEx>
        <w:trPr>
          <w:trHeight w:val="340" w:hRule="exact"/>
          <w:jc w:val="center"/>
        </w:trPr>
        <w:tc>
          <w:tcPr>
            <w:tcW w:w="977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sz w:val="18"/>
                <w:szCs w:val="18"/>
              </w:rPr>
              <w:t>合计</w:t>
            </w:r>
          </w:p>
        </w:tc>
        <w:tc>
          <w:tcPr>
            <w:tcW w:w="9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1981.468</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eastAsia="等线"/>
                <w:color w:val="000000"/>
                <w:sz w:val="18"/>
                <w:szCs w:val="18"/>
              </w:rPr>
              <w:t>22116.22</w:t>
            </w:r>
          </w:p>
        </w:tc>
        <w:tc>
          <w:tcPr>
            <w:tcW w:w="99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p>
        </w:tc>
        <w:tc>
          <w:tcPr>
            <w:tcW w:w="89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p>
        </w:tc>
      </w:tr>
    </w:tbl>
    <w:p>
      <w:pPr>
        <w:ind w:firstLine="560"/>
      </w:pPr>
    </w:p>
    <w:p>
      <w:pPr>
        <w:pStyle w:val="2"/>
        <w:spacing w:after="190" w:line="360" w:lineRule="auto"/>
        <w:rPr>
          <w:sz w:val="28"/>
          <w:szCs w:val="28"/>
        </w:rPr>
      </w:pPr>
      <w:bookmarkStart w:id="99" w:name="_Toc16581"/>
      <w:r>
        <w:rPr>
          <w:rFonts w:hint="eastAsia"/>
          <w:sz w:val="28"/>
          <w:szCs w:val="28"/>
        </w:rPr>
        <w:t>附表三  忻州市矿山地质环境中远期重点治理工程表</w:t>
      </w:r>
      <w:bookmarkEnd w:id="99"/>
    </w:p>
    <w:tbl>
      <w:tblPr>
        <w:tblStyle w:val="21"/>
        <w:tblW w:w="5000" w:type="pct"/>
        <w:jc w:val="center"/>
        <w:tblLayout w:type="autofit"/>
        <w:tblCellMar>
          <w:top w:w="0" w:type="dxa"/>
          <w:left w:w="108" w:type="dxa"/>
          <w:bottom w:w="0" w:type="dxa"/>
          <w:right w:w="108" w:type="dxa"/>
        </w:tblCellMar>
      </w:tblPr>
      <w:tblGrid>
        <w:gridCol w:w="708"/>
        <w:gridCol w:w="3322"/>
        <w:gridCol w:w="863"/>
        <w:gridCol w:w="2740"/>
        <w:gridCol w:w="2159"/>
        <w:gridCol w:w="1010"/>
        <w:gridCol w:w="1152"/>
        <w:gridCol w:w="1010"/>
        <w:gridCol w:w="914"/>
      </w:tblGrid>
      <w:tr>
        <w:tblPrEx>
          <w:tblCellMar>
            <w:top w:w="0" w:type="dxa"/>
            <w:left w:w="108" w:type="dxa"/>
            <w:bottom w:w="0" w:type="dxa"/>
            <w:right w:w="108" w:type="dxa"/>
          </w:tblCellMar>
        </w:tblPrEx>
        <w:trPr>
          <w:trHeight w:val="504" w:hRule="atLeast"/>
          <w:tblHeader/>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序号</w:t>
            </w:r>
          </w:p>
        </w:tc>
        <w:tc>
          <w:tcPr>
            <w:tcW w:w="1197"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治理工程名称</w:t>
            </w:r>
          </w:p>
        </w:tc>
        <w:tc>
          <w:tcPr>
            <w:tcW w:w="311"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所属县、市</w:t>
            </w:r>
          </w:p>
        </w:tc>
        <w:tc>
          <w:tcPr>
            <w:tcW w:w="987"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主要地质环境问题</w:t>
            </w:r>
          </w:p>
        </w:tc>
        <w:tc>
          <w:tcPr>
            <w:tcW w:w="778"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主要修复措施</w:t>
            </w:r>
          </w:p>
        </w:tc>
        <w:tc>
          <w:tcPr>
            <w:tcW w:w="364"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治理面积（</w:t>
            </w:r>
            <w:r>
              <w:rPr>
                <w:rFonts w:eastAsia="等线"/>
                <w:sz w:val="18"/>
                <w:szCs w:val="18"/>
              </w:rPr>
              <w:t>hm</w:t>
            </w:r>
            <w:r>
              <w:rPr>
                <w:rFonts w:eastAsia="等线"/>
                <w:sz w:val="18"/>
                <w:szCs w:val="18"/>
                <w:vertAlign w:val="superscript"/>
              </w:rPr>
              <w:t>2</w:t>
            </w:r>
            <w:r>
              <w:rPr>
                <w:rFonts w:hint="eastAsia"/>
                <w:sz w:val="18"/>
                <w:szCs w:val="18"/>
              </w:rPr>
              <w:t>）</w:t>
            </w:r>
          </w:p>
        </w:tc>
        <w:tc>
          <w:tcPr>
            <w:tcW w:w="415"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投资估算（万元）</w:t>
            </w:r>
          </w:p>
        </w:tc>
        <w:tc>
          <w:tcPr>
            <w:tcW w:w="364"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资金来源</w:t>
            </w:r>
          </w:p>
        </w:tc>
        <w:tc>
          <w:tcPr>
            <w:tcW w:w="329"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治理期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ascii="仿宋" w:hAnsi="仿宋"/>
                <w:color w:val="000000"/>
                <w:sz w:val="18"/>
                <w:szCs w:val="18"/>
              </w:rPr>
              <w:t>五台县东冶镇矽石厂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eastAsia="等线"/>
                <w:color w:val="000000"/>
                <w:sz w:val="18"/>
                <w:szCs w:val="18"/>
              </w:rPr>
              <w:t>1.05</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eastAsia="等线"/>
                <w:color w:val="000000"/>
                <w:sz w:val="18"/>
                <w:szCs w:val="18"/>
              </w:rPr>
              <w:t>37.275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五台县宏峰石料有限公司石料厂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10.55</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374.525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五台县高洪口乡河口村鑫海石料厂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110.05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4</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五台县宝山硅矿有限公司</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1.4</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49.7</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五台县白家庄镇磊鑫源石料厂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3.22</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114.31</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6</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五台县沟南硅石矿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6.59</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233.945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7</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五台县地质矿产开发公司观上石料厂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7.23</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256.665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8</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五台县建安乡瑶池村建安石料厂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0.82</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29.11</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9</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西台顶铁矿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五台县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7.52</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266.96</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等线"/>
                <w:sz w:val="18"/>
                <w:szCs w:val="18"/>
              </w:rPr>
            </w:pPr>
            <w:r>
              <w:rPr>
                <w:rFonts w:eastAsia="等线"/>
                <w:color w:val="000000"/>
                <w:sz w:val="18"/>
                <w:szCs w:val="18"/>
              </w:rPr>
              <w:t>10</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不规则开采</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原平市</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等线"/>
                <w:sz w:val="18"/>
                <w:szCs w:val="18"/>
              </w:rPr>
            </w:pPr>
            <w:r>
              <w:rPr>
                <w:rFonts w:eastAsia="等线"/>
                <w:color w:val="000000"/>
                <w:sz w:val="18"/>
                <w:szCs w:val="18"/>
              </w:rPr>
              <w:t>500</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等线"/>
                <w:sz w:val="18"/>
                <w:szCs w:val="18"/>
              </w:rPr>
            </w:pPr>
            <w:r>
              <w:rPr>
                <w:rFonts w:eastAsia="等线"/>
                <w:color w:val="000000"/>
                <w:sz w:val="18"/>
                <w:szCs w:val="18"/>
              </w:rPr>
              <w:t>3250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11</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繁峙县红艳石料厂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5.26</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89.45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12</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繁峙县柳鑫石灰石矿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0.56</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9.44</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13</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繁峙县腾达石料厂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2.01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34.25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14</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繁峙县繁城镇高升砖厂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0.12</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2.02</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15</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繁峙县集义庄北龙兴新型建材厂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0.14</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2.39</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16</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繁峙县神堂堡乡西腰石材厂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2.25</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38.32</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17</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繁峙县顺鑫采矿厂</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2.08</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35.29</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829"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18</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繁峙县宏鑫矿产品经销有限责任公司宏鑫石英矿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4.11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83.69</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504" w:hRule="atLeas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19</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繁峙县富康铁矿有限责任公司同路石英矿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繁峙县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5.63</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95.79</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20</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宁武县涔山乡寺儿沟煤矿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宁武县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115.9</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1159</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21</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宁武县涔山乡卧虎湾煤矿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宁武县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199</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1990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22</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宁武县涔山乡春景洼煤矿</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宁武县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274.08</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2740.84</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23</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sz w:val="18"/>
                <w:szCs w:val="18"/>
              </w:rPr>
              <w:t>废弃矿山不规则开采</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五寨县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30</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525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24</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恒旺石料厂矿山地质环境治理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2.39</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130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25</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庞庄子煤矿矿山地质环境治理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6.01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26</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北窑沟煤矿矿山地质环境治理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21.71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27</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惠隆石料厂矿山地质环境治理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0.69</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28</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前窑子村铝土矿矿山地质环境治理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85.81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2210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29</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温家山铝土矿矿山地质环境治理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15.81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550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30</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项家沟铝土矿矿山地质环境治理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6.98</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115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454" w:hRule="atLeas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31</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神池兴隆煤业有限公司矿山地质环境治理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12.67</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500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32</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富达石料厂矿山地质环境治理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1.41</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80</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340" w:hRule="exact"/>
          <w:jc w:val="center"/>
        </w:trPr>
        <w:tc>
          <w:tcPr>
            <w:tcW w:w="255"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33</w:t>
            </w:r>
          </w:p>
        </w:tc>
        <w:tc>
          <w:tcPr>
            <w:tcW w:w="119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神河石料厂矿山地质环境治理</w:t>
            </w:r>
          </w:p>
        </w:tc>
        <w:tc>
          <w:tcPr>
            <w:tcW w:w="31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神池县</w:t>
            </w:r>
          </w:p>
        </w:tc>
        <w:tc>
          <w:tcPr>
            <w:tcW w:w="987"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地形地貌景观与土地资源破坏</w:t>
            </w:r>
          </w:p>
        </w:tc>
        <w:tc>
          <w:tcPr>
            <w:tcW w:w="778"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土地复垦、生态修复</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0.47</w:t>
            </w:r>
          </w:p>
        </w:tc>
        <w:tc>
          <w:tcPr>
            <w:tcW w:w="415"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eastAsia="等线"/>
                <w:color w:val="000000"/>
                <w:sz w:val="18"/>
                <w:szCs w:val="18"/>
              </w:rPr>
              <w:t>10.575</w:t>
            </w:r>
          </w:p>
        </w:tc>
        <w:tc>
          <w:tcPr>
            <w:tcW w:w="364"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政府投资</w:t>
            </w:r>
          </w:p>
        </w:tc>
        <w:tc>
          <w:tcPr>
            <w:tcW w:w="32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sz w:val="18"/>
                <w:szCs w:val="18"/>
              </w:rPr>
            </w:pPr>
            <w:r>
              <w:rPr>
                <w:rFonts w:hint="eastAsia" w:ascii="仿宋" w:hAnsi="仿宋"/>
                <w:color w:val="000000"/>
                <w:sz w:val="18"/>
                <w:szCs w:val="18"/>
              </w:rPr>
              <w:t>中远期</w:t>
            </w:r>
          </w:p>
        </w:tc>
      </w:tr>
      <w:tr>
        <w:tblPrEx>
          <w:tblCellMar>
            <w:top w:w="0" w:type="dxa"/>
            <w:left w:w="108" w:type="dxa"/>
            <w:bottom w:w="0" w:type="dxa"/>
            <w:right w:w="108" w:type="dxa"/>
          </w:tblCellMar>
        </w:tblPrEx>
        <w:trPr>
          <w:trHeight w:val="480" w:hRule="atLeast"/>
          <w:jc w:val="center"/>
        </w:trPr>
        <w:tc>
          <w:tcPr>
            <w:tcW w:w="35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r>
              <w:rPr>
                <w:rFonts w:hint="eastAsia"/>
                <w:sz w:val="18"/>
                <w:szCs w:val="18"/>
              </w:rPr>
              <w:t>合计</w:t>
            </w:r>
          </w:p>
        </w:tc>
        <w:tc>
          <w:tcPr>
            <w:tcW w:w="364" w:type="pct"/>
            <w:tcBorders>
              <w:top w:val="single" w:color="auto" w:sz="4" w:space="0"/>
              <w:left w:val="nil"/>
              <w:bottom w:val="single" w:color="auto" w:sz="4" w:space="0"/>
              <w:right w:val="single" w:color="auto" w:sz="4" w:space="0"/>
            </w:tcBorders>
            <w:shd w:val="clear" w:color="auto" w:fill="auto"/>
            <w:vAlign w:val="bottom"/>
          </w:tcPr>
          <w:p>
            <w:pPr>
              <w:spacing w:line="240" w:lineRule="auto"/>
              <w:ind w:firstLine="0" w:firstLineChars="0"/>
              <w:jc w:val="center"/>
              <w:rPr>
                <w:rFonts w:eastAsia="宋体"/>
                <w:kern w:val="0"/>
                <w:sz w:val="18"/>
                <w:szCs w:val="18"/>
              </w:rPr>
            </w:pPr>
            <w:r>
              <w:rPr>
                <w:rFonts w:eastAsia="等线"/>
                <w:color w:val="000000"/>
                <w:sz w:val="18"/>
                <w:szCs w:val="18"/>
              </w:rPr>
              <w:t>1336.57</w:t>
            </w:r>
          </w:p>
        </w:tc>
        <w:tc>
          <w:tcPr>
            <w:tcW w:w="415" w:type="pct"/>
            <w:tcBorders>
              <w:top w:val="single" w:color="auto" w:sz="4" w:space="0"/>
              <w:left w:val="nil"/>
              <w:bottom w:val="single" w:color="auto" w:sz="4" w:space="0"/>
              <w:right w:val="single" w:color="auto" w:sz="4" w:space="0"/>
            </w:tcBorders>
            <w:shd w:val="clear" w:color="auto" w:fill="auto"/>
            <w:vAlign w:val="bottom"/>
          </w:tcPr>
          <w:p>
            <w:pPr>
              <w:spacing w:line="240" w:lineRule="auto"/>
              <w:ind w:firstLine="0" w:firstLineChars="0"/>
              <w:jc w:val="center"/>
              <w:rPr>
                <w:rFonts w:eastAsia="宋体"/>
                <w:kern w:val="0"/>
                <w:sz w:val="18"/>
                <w:szCs w:val="18"/>
              </w:rPr>
            </w:pPr>
            <w:r>
              <w:rPr>
                <w:rFonts w:eastAsia="等线"/>
                <w:color w:val="000000"/>
                <w:sz w:val="18"/>
                <w:szCs w:val="18"/>
              </w:rPr>
              <w:t>15273.595</w:t>
            </w:r>
          </w:p>
        </w:tc>
        <w:tc>
          <w:tcPr>
            <w:tcW w:w="364"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p>
        </w:tc>
        <w:tc>
          <w:tcPr>
            <w:tcW w:w="329"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eastAsia="宋体"/>
                <w:kern w:val="0"/>
                <w:sz w:val="18"/>
                <w:szCs w:val="18"/>
              </w:rPr>
            </w:pPr>
          </w:p>
        </w:tc>
      </w:tr>
    </w:tbl>
    <w:p>
      <w:pPr>
        <w:ind w:firstLine="0" w:firstLineChars="0"/>
        <w:jc w:val="center"/>
        <w:sectPr>
          <w:pgSz w:w="16838" w:h="11906" w:orient="landscape"/>
          <w:pgMar w:top="1701" w:right="1588" w:bottom="1588" w:left="1588" w:header="851" w:footer="851" w:gutter="0"/>
          <w:cols w:space="720" w:num="1"/>
          <w:docGrid w:type="lines" w:linePitch="381" w:charSpace="0"/>
        </w:sectPr>
      </w:pPr>
    </w:p>
    <w:p>
      <w:pPr>
        <w:ind w:firstLine="0" w:firstLineChars="0"/>
        <w:jc w:val="center"/>
        <w:rPr>
          <w:rFonts w:eastAsia="宋体"/>
          <w:b/>
          <w:bCs/>
          <w:sz w:val="21"/>
          <w:szCs w:val="21"/>
        </w:rPr>
      </w:pPr>
      <w:r>
        <w:drawing>
          <wp:inline distT="0" distB="0" distL="0" distR="0">
            <wp:extent cx="8408035" cy="12686665"/>
            <wp:effectExtent l="0" t="0" r="63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8408035" cy="12686665"/>
                    </a:xfrm>
                    <a:prstGeom prst="rect">
                      <a:avLst/>
                    </a:prstGeom>
                    <a:noFill/>
                    <a:ln>
                      <a:noFill/>
                    </a:ln>
                  </pic:spPr>
                </pic:pic>
              </a:graphicData>
            </a:graphic>
          </wp:inline>
        </w:drawing>
      </w:r>
    </w:p>
    <w:p>
      <w:pPr>
        <w:ind w:firstLine="0" w:firstLineChars="0"/>
        <w:jc w:val="center"/>
        <w:rPr>
          <w:rFonts w:ascii="仿宋" w:hAnsi="仿宋" w:cs="仿宋"/>
          <w:b/>
          <w:bCs/>
          <w:sz w:val="21"/>
          <w:szCs w:val="21"/>
        </w:rPr>
      </w:pPr>
      <w:r>
        <w:rPr>
          <w:rFonts w:hint="eastAsia" w:ascii="仿宋" w:hAnsi="仿宋" w:cs="仿宋"/>
          <w:b/>
          <w:bCs/>
          <w:sz w:val="24"/>
        </w:rPr>
        <w:t>附图一  忻州市矿山地质环境问题图</w:t>
      </w:r>
    </w:p>
    <w:p>
      <w:pPr>
        <w:ind w:firstLine="0" w:firstLineChars="0"/>
        <w:jc w:val="center"/>
      </w:pPr>
      <w:r>
        <w:drawing>
          <wp:inline distT="0" distB="0" distL="0" distR="0">
            <wp:extent cx="8276590" cy="12685395"/>
            <wp:effectExtent l="0" t="0" r="190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8276590" cy="12685395"/>
                    </a:xfrm>
                    <a:prstGeom prst="rect">
                      <a:avLst/>
                    </a:prstGeom>
                    <a:noFill/>
                    <a:ln>
                      <a:noFill/>
                    </a:ln>
                  </pic:spPr>
                </pic:pic>
              </a:graphicData>
            </a:graphic>
          </wp:inline>
        </w:drawing>
      </w:r>
    </w:p>
    <w:p>
      <w:pPr>
        <w:ind w:firstLine="0" w:firstLineChars="0"/>
        <w:jc w:val="center"/>
      </w:pPr>
      <w:r>
        <w:rPr>
          <w:rFonts w:hint="eastAsia" w:ascii="仿宋" w:hAnsi="仿宋" w:cs="仿宋"/>
          <w:b/>
          <w:bCs/>
          <w:sz w:val="24"/>
        </w:rPr>
        <w:t>附图二  忻州市矿山地质环境保护与治理部署图</w:t>
      </w:r>
    </w:p>
    <w:sectPr>
      <w:pgSz w:w="23814" w:h="16840"/>
      <w:pgMar w:top="1440" w:right="1440" w:bottom="1440" w:left="1800" w:header="851" w:footer="851"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5234651"/>
    </w:sdtPr>
    <w:sdtContent>
      <w:p>
        <w:pPr>
          <w:pStyle w:val="14"/>
          <w:ind w:firstLine="0" w:firstLineChars="0"/>
          <w:jc w:val="center"/>
        </w:pPr>
        <w:r>
          <w:fldChar w:fldCharType="begin"/>
        </w:r>
        <w:r>
          <w:instrText xml:space="preserve">PAGE   \* MERGEFORMAT</w:instrText>
        </w:r>
        <w:r>
          <w:fldChar w:fldCharType="separate"/>
        </w:r>
        <w:r>
          <w:rPr>
            <w:lang w:val="zh-CN"/>
          </w:rPr>
          <w:t>19</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attachedTemplate r:id="rId1"/>
  <w:documentProtection w:enforcement="0"/>
  <w:defaultTabStop w:val="420"/>
  <w:drawingGridHorizontalSpacing w:val="140"/>
  <w:drawingGridVerticalSpacing w:val="381"/>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6634CE"/>
    <w:rsid w:val="00000D06"/>
    <w:rsid w:val="0000246C"/>
    <w:rsid w:val="00003749"/>
    <w:rsid w:val="00004AAD"/>
    <w:rsid w:val="0000503D"/>
    <w:rsid w:val="00005CF5"/>
    <w:rsid w:val="00010462"/>
    <w:rsid w:val="00010C2D"/>
    <w:rsid w:val="000128F0"/>
    <w:rsid w:val="00014586"/>
    <w:rsid w:val="00014A3F"/>
    <w:rsid w:val="00016751"/>
    <w:rsid w:val="000238E6"/>
    <w:rsid w:val="0002515A"/>
    <w:rsid w:val="00026711"/>
    <w:rsid w:val="0003012B"/>
    <w:rsid w:val="000306E2"/>
    <w:rsid w:val="00032698"/>
    <w:rsid w:val="00035BE3"/>
    <w:rsid w:val="000372A9"/>
    <w:rsid w:val="00041FC7"/>
    <w:rsid w:val="0004258F"/>
    <w:rsid w:val="0004330D"/>
    <w:rsid w:val="00045D9D"/>
    <w:rsid w:val="000526EE"/>
    <w:rsid w:val="000545DC"/>
    <w:rsid w:val="00055BDF"/>
    <w:rsid w:val="000579EC"/>
    <w:rsid w:val="00060201"/>
    <w:rsid w:val="00063323"/>
    <w:rsid w:val="00063F53"/>
    <w:rsid w:val="00066ACF"/>
    <w:rsid w:val="0007004B"/>
    <w:rsid w:val="00073773"/>
    <w:rsid w:val="00081ACE"/>
    <w:rsid w:val="00086F25"/>
    <w:rsid w:val="00091A9A"/>
    <w:rsid w:val="00092375"/>
    <w:rsid w:val="00097CDA"/>
    <w:rsid w:val="000A0130"/>
    <w:rsid w:val="000B084F"/>
    <w:rsid w:val="000B310E"/>
    <w:rsid w:val="000B3ECA"/>
    <w:rsid w:val="000C60A2"/>
    <w:rsid w:val="000D031C"/>
    <w:rsid w:val="000D6EAC"/>
    <w:rsid w:val="000E198F"/>
    <w:rsid w:val="000E23A5"/>
    <w:rsid w:val="000E5252"/>
    <w:rsid w:val="000E587B"/>
    <w:rsid w:val="000F1F32"/>
    <w:rsid w:val="000F3C1C"/>
    <w:rsid w:val="00102A83"/>
    <w:rsid w:val="001063D5"/>
    <w:rsid w:val="001108BE"/>
    <w:rsid w:val="001125C4"/>
    <w:rsid w:val="00112A2B"/>
    <w:rsid w:val="001133C4"/>
    <w:rsid w:val="0011382D"/>
    <w:rsid w:val="00117739"/>
    <w:rsid w:val="00120E75"/>
    <w:rsid w:val="001239C5"/>
    <w:rsid w:val="00131817"/>
    <w:rsid w:val="00131C02"/>
    <w:rsid w:val="001324FC"/>
    <w:rsid w:val="00133D21"/>
    <w:rsid w:val="00143EE4"/>
    <w:rsid w:val="00147F8C"/>
    <w:rsid w:val="00151427"/>
    <w:rsid w:val="00152C16"/>
    <w:rsid w:val="0015476E"/>
    <w:rsid w:val="001578C9"/>
    <w:rsid w:val="00160076"/>
    <w:rsid w:val="00160D94"/>
    <w:rsid w:val="00166AF5"/>
    <w:rsid w:val="00177BAE"/>
    <w:rsid w:val="001801B4"/>
    <w:rsid w:val="001801E1"/>
    <w:rsid w:val="0018459D"/>
    <w:rsid w:val="00185012"/>
    <w:rsid w:val="001908D2"/>
    <w:rsid w:val="00190AE7"/>
    <w:rsid w:val="00192883"/>
    <w:rsid w:val="00192D5F"/>
    <w:rsid w:val="00193BF6"/>
    <w:rsid w:val="00195D04"/>
    <w:rsid w:val="001A3D69"/>
    <w:rsid w:val="001A41E5"/>
    <w:rsid w:val="001A4C22"/>
    <w:rsid w:val="001B0E38"/>
    <w:rsid w:val="001B1921"/>
    <w:rsid w:val="001B291F"/>
    <w:rsid w:val="001C01DC"/>
    <w:rsid w:val="001C085E"/>
    <w:rsid w:val="001D7042"/>
    <w:rsid w:val="001E13D3"/>
    <w:rsid w:val="001F1520"/>
    <w:rsid w:val="001F1B94"/>
    <w:rsid w:val="001F1F08"/>
    <w:rsid w:val="001F1F3F"/>
    <w:rsid w:val="001F230B"/>
    <w:rsid w:val="001F246A"/>
    <w:rsid w:val="001F416E"/>
    <w:rsid w:val="001F5BF9"/>
    <w:rsid w:val="00202374"/>
    <w:rsid w:val="0020256C"/>
    <w:rsid w:val="002046A4"/>
    <w:rsid w:val="00204A9A"/>
    <w:rsid w:val="002062A4"/>
    <w:rsid w:val="002100D8"/>
    <w:rsid w:val="00210515"/>
    <w:rsid w:val="00211C24"/>
    <w:rsid w:val="00212B91"/>
    <w:rsid w:val="00212F0D"/>
    <w:rsid w:val="0021351B"/>
    <w:rsid w:val="002140B4"/>
    <w:rsid w:val="002144A1"/>
    <w:rsid w:val="00217D30"/>
    <w:rsid w:val="0022121F"/>
    <w:rsid w:val="002230B3"/>
    <w:rsid w:val="00224224"/>
    <w:rsid w:val="00224B85"/>
    <w:rsid w:val="0022504F"/>
    <w:rsid w:val="00225161"/>
    <w:rsid w:val="00225EB8"/>
    <w:rsid w:val="00233DBA"/>
    <w:rsid w:val="002357A8"/>
    <w:rsid w:val="0023582F"/>
    <w:rsid w:val="00242C25"/>
    <w:rsid w:val="002476D4"/>
    <w:rsid w:val="00247FDD"/>
    <w:rsid w:val="0025033E"/>
    <w:rsid w:val="00254FCB"/>
    <w:rsid w:val="00255BEF"/>
    <w:rsid w:val="0025672A"/>
    <w:rsid w:val="00260611"/>
    <w:rsid w:val="0026250E"/>
    <w:rsid w:val="0026275A"/>
    <w:rsid w:val="00267642"/>
    <w:rsid w:val="002737A9"/>
    <w:rsid w:val="002740E1"/>
    <w:rsid w:val="002753D5"/>
    <w:rsid w:val="00275A41"/>
    <w:rsid w:val="00277FC3"/>
    <w:rsid w:val="00282207"/>
    <w:rsid w:val="0028453D"/>
    <w:rsid w:val="00286815"/>
    <w:rsid w:val="002900CC"/>
    <w:rsid w:val="002972B3"/>
    <w:rsid w:val="002978C7"/>
    <w:rsid w:val="002A0702"/>
    <w:rsid w:val="002A22FE"/>
    <w:rsid w:val="002B2187"/>
    <w:rsid w:val="002B2626"/>
    <w:rsid w:val="002B27E8"/>
    <w:rsid w:val="002B2A9F"/>
    <w:rsid w:val="002B30F8"/>
    <w:rsid w:val="002B335B"/>
    <w:rsid w:val="002C1720"/>
    <w:rsid w:val="002C1CE9"/>
    <w:rsid w:val="002C2224"/>
    <w:rsid w:val="002C2997"/>
    <w:rsid w:val="002C5586"/>
    <w:rsid w:val="002D0DA2"/>
    <w:rsid w:val="002D372B"/>
    <w:rsid w:val="002D3AC2"/>
    <w:rsid w:val="002D79F2"/>
    <w:rsid w:val="002E2410"/>
    <w:rsid w:val="002F5890"/>
    <w:rsid w:val="002F696F"/>
    <w:rsid w:val="0030248D"/>
    <w:rsid w:val="00303407"/>
    <w:rsid w:val="00304641"/>
    <w:rsid w:val="003050B7"/>
    <w:rsid w:val="0030730D"/>
    <w:rsid w:val="00311A35"/>
    <w:rsid w:val="00311D43"/>
    <w:rsid w:val="0031547C"/>
    <w:rsid w:val="00316096"/>
    <w:rsid w:val="003204C9"/>
    <w:rsid w:val="00321740"/>
    <w:rsid w:val="00325020"/>
    <w:rsid w:val="0032565A"/>
    <w:rsid w:val="003322EA"/>
    <w:rsid w:val="00335042"/>
    <w:rsid w:val="00336CB6"/>
    <w:rsid w:val="00341F9F"/>
    <w:rsid w:val="0034330B"/>
    <w:rsid w:val="00344B24"/>
    <w:rsid w:val="00351565"/>
    <w:rsid w:val="00354FBB"/>
    <w:rsid w:val="00356605"/>
    <w:rsid w:val="00357158"/>
    <w:rsid w:val="003573A0"/>
    <w:rsid w:val="003576CA"/>
    <w:rsid w:val="0035770E"/>
    <w:rsid w:val="00361413"/>
    <w:rsid w:val="00361F12"/>
    <w:rsid w:val="00362212"/>
    <w:rsid w:val="00364C83"/>
    <w:rsid w:val="00366DBF"/>
    <w:rsid w:val="00367F9F"/>
    <w:rsid w:val="003708EC"/>
    <w:rsid w:val="00372E8D"/>
    <w:rsid w:val="00373B8B"/>
    <w:rsid w:val="003759D7"/>
    <w:rsid w:val="00376175"/>
    <w:rsid w:val="00377809"/>
    <w:rsid w:val="00382406"/>
    <w:rsid w:val="00384B24"/>
    <w:rsid w:val="00390AB9"/>
    <w:rsid w:val="00390B03"/>
    <w:rsid w:val="003922BF"/>
    <w:rsid w:val="00392EB1"/>
    <w:rsid w:val="00393E6C"/>
    <w:rsid w:val="00395EAE"/>
    <w:rsid w:val="00396001"/>
    <w:rsid w:val="003A0386"/>
    <w:rsid w:val="003A50B8"/>
    <w:rsid w:val="003A6E40"/>
    <w:rsid w:val="003A70F9"/>
    <w:rsid w:val="003A7A15"/>
    <w:rsid w:val="003A7F16"/>
    <w:rsid w:val="003B1A20"/>
    <w:rsid w:val="003B4449"/>
    <w:rsid w:val="003B7EB1"/>
    <w:rsid w:val="003C28D4"/>
    <w:rsid w:val="003C3384"/>
    <w:rsid w:val="003C382B"/>
    <w:rsid w:val="003C39E8"/>
    <w:rsid w:val="003C588D"/>
    <w:rsid w:val="003C6829"/>
    <w:rsid w:val="003D01E2"/>
    <w:rsid w:val="003D28F0"/>
    <w:rsid w:val="003E0A0F"/>
    <w:rsid w:val="003E3B11"/>
    <w:rsid w:val="003E5F85"/>
    <w:rsid w:val="003F2BD0"/>
    <w:rsid w:val="00402123"/>
    <w:rsid w:val="0040461A"/>
    <w:rsid w:val="004071B9"/>
    <w:rsid w:val="00407E95"/>
    <w:rsid w:val="00415BEA"/>
    <w:rsid w:val="004219ED"/>
    <w:rsid w:val="00423384"/>
    <w:rsid w:val="00424BA1"/>
    <w:rsid w:val="00425177"/>
    <w:rsid w:val="00425803"/>
    <w:rsid w:val="00432E7D"/>
    <w:rsid w:val="00435CCD"/>
    <w:rsid w:val="00442C3E"/>
    <w:rsid w:val="00453393"/>
    <w:rsid w:val="00453A8F"/>
    <w:rsid w:val="004565FE"/>
    <w:rsid w:val="00457E6F"/>
    <w:rsid w:val="004601BD"/>
    <w:rsid w:val="00461ADA"/>
    <w:rsid w:val="00461B87"/>
    <w:rsid w:val="00462029"/>
    <w:rsid w:val="0046250A"/>
    <w:rsid w:val="004700F4"/>
    <w:rsid w:val="004722A5"/>
    <w:rsid w:val="00472835"/>
    <w:rsid w:val="00473609"/>
    <w:rsid w:val="00473A43"/>
    <w:rsid w:val="004766F6"/>
    <w:rsid w:val="00477EE8"/>
    <w:rsid w:val="00487A74"/>
    <w:rsid w:val="00493693"/>
    <w:rsid w:val="0049371D"/>
    <w:rsid w:val="00494FFF"/>
    <w:rsid w:val="00495084"/>
    <w:rsid w:val="004952E6"/>
    <w:rsid w:val="004970B1"/>
    <w:rsid w:val="004A0554"/>
    <w:rsid w:val="004A4FB2"/>
    <w:rsid w:val="004B175A"/>
    <w:rsid w:val="004B3F97"/>
    <w:rsid w:val="004B46A8"/>
    <w:rsid w:val="004B58E1"/>
    <w:rsid w:val="004B6D76"/>
    <w:rsid w:val="004C0943"/>
    <w:rsid w:val="004C2202"/>
    <w:rsid w:val="004C2902"/>
    <w:rsid w:val="004C5E22"/>
    <w:rsid w:val="004C76F5"/>
    <w:rsid w:val="004D145F"/>
    <w:rsid w:val="004D2DF2"/>
    <w:rsid w:val="004D4947"/>
    <w:rsid w:val="004D4CB6"/>
    <w:rsid w:val="004D5B0E"/>
    <w:rsid w:val="004D7CA1"/>
    <w:rsid w:val="004E10C3"/>
    <w:rsid w:val="004E1EB1"/>
    <w:rsid w:val="004F0036"/>
    <w:rsid w:val="004F14F4"/>
    <w:rsid w:val="004F3F09"/>
    <w:rsid w:val="0050027E"/>
    <w:rsid w:val="00506257"/>
    <w:rsid w:val="00506CED"/>
    <w:rsid w:val="00507DC3"/>
    <w:rsid w:val="005103C2"/>
    <w:rsid w:val="00513320"/>
    <w:rsid w:val="00515C1D"/>
    <w:rsid w:val="00520D64"/>
    <w:rsid w:val="00523B2A"/>
    <w:rsid w:val="00524022"/>
    <w:rsid w:val="0053244B"/>
    <w:rsid w:val="00534D33"/>
    <w:rsid w:val="005357A4"/>
    <w:rsid w:val="005360C2"/>
    <w:rsid w:val="0053678F"/>
    <w:rsid w:val="00536B5F"/>
    <w:rsid w:val="00536BC8"/>
    <w:rsid w:val="00537140"/>
    <w:rsid w:val="005414D4"/>
    <w:rsid w:val="0054161E"/>
    <w:rsid w:val="00541B28"/>
    <w:rsid w:val="00543C73"/>
    <w:rsid w:val="0054505C"/>
    <w:rsid w:val="00550716"/>
    <w:rsid w:val="005519D0"/>
    <w:rsid w:val="005523DA"/>
    <w:rsid w:val="005529AF"/>
    <w:rsid w:val="00556D91"/>
    <w:rsid w:val="00560A24"/>
    <w:rsid w:val="00560BA7"/>
    <w:rsid w:val="00561EA3"/>
    <w:rsid w:val="005627DC"/>
    <w:rsid w:val="00563082"/>
    <w:rsid w:val="00564B1D"/>
    <w:rsid w:val="00566300"/>
    <w:rsid w:val="00566F25"/>
    <w:rsid w:val="005670AB"/>
    <w:rsid w:val="005679C5"/>
    <w:rsid w:val="00570CC8"/>
    <w:rsid w:val="0057172A"/>
    <w:rsid w:val="00572906"/>
    <w:rsid w:val="00574D0F"/>
    <w:rsid w:val="00575126"/>
    <w:rsid w:val="00577E03"/>
    <w:rsid w:val="00580002"/>
    <w:rsid w:val="00580AEA"/>
    <w:rsid w:val="005817E4"/>
    <w:rsid w:val="005855B2"/>
    <w:rsid w:val="0058666A"/>
    <w:rsid w:val="0059089B"/>
    <w:rsid w:val="00590C77"/>
    <w:rsid w:val="00591F88"/>
    <w:rsid w:val="005942A9"/>
    <w:rsid w:val="00594719"/>
    <w:rsid w:val="00595FB4"/>
    <w:rsid w:val="005A3B2D"/>
    <w:rsid w:val="005B3366"/>
    <w:rsid w:val="005B4BC6"/>
    <w:rsid w:val="005B50AF"/>
    <w:rsid w:val="005C04E4"/>
    <w:rsid w:val="005C186A"/>
    <w:rsid w:val="005C1C5F"/>
    <w:rsid w:val="005C2F4A"/>
    <w:rsid w:val="005C3B6A"/>
    <w:rsid w:val="005C3C67"/>
    <w:rsid w:val="005C423E"/>
    <w:rsid w:val="005C4DBD"/>
    <w:rsid w:val="005C4E8C"/>
    <w:rsid w:val="005C6398"/>
    <w:rsid w:val="005D034C"/>
    <w:rsid w:val="005D15F4"/>
    <w:rsid w:val="005D21E6"/>
    <w:rsid w:val="005D34BA"/>
    <w:rsid w:val="005D42B5"/>
    <w:rsid w:val="005D4784"/>
    <w:rsid w:val="005D6A85"/>
    <w:rsid w:val="005E0596"/>
    <w:rsid w:val="005E0ED2"/>
    <w:rsid w:val="005E16F6"/>
    <w:rsid w:val="005E1778"/>
    <w:rsid w:val="005F1991"/>
    <w:rsid w:val="005F2FD4"/>
    <w:rsid w:val="005F44D7"/>
    <w:rsid w:val="005F52CD"/>
    <w:rsid w:val="005F6782"/>
    <w:rsid w:val="005F7462"/>
    <w:rsid w:val="00600407"/>
    <w:rsid w:val="00602009"/>
    <w:rsid w:val="00602998"/>
    <w:rsid w:val="00604803"/>
    <w:rsid w:val="00604853"/>
    <w:rsid w:val="006074A0"/>
    <w:rsid w:val="00607C4C"/>
    <w:rsid w:val="006137ED"/>
    <w:rsid w:val="00613CF8"/>
    <w:rsid w:val="00616EFE"/>
    <w:rsid w:val="00625D32"/>
    <w:rsid w:val="006266F2"/>
    <w:rsid w:val="00631895"/>
    <w:rsid w:val="0063305C"/>
    <w:rsid w:val="0063309D"/>
    <w:rsid w:val="006367C5"/>
    <w:rsid w:val="00637091"/>
    <w:rsid w:val="00644559"/>
    <w:rsid w:val="00645152"/>
    <w:rsid w:val="00654816"/>
    <w:rsid w:val="00654B0F"/>
    <w:rsid w:val="00656A54"/>
    <w:rsid w:val="00656D18"/>
    <w:rsid w:val="00663B37"/>
    <w:rsid w:val="006664C0"/>
    <w:rsid w:val="00667436"/>
    <w:rsid w:val="0067022F"/>
    <w:rsid w:val="006716F4"/>
    <w:rsid w:val="00671CF7"/>
    <w:rsid w:val="00672C94"/>
    <w:rsid w:val="00674439"/>
    <w:rsid w:val="00675170"/>
    <w:rsid w:val="0067741C"/>
    <w:rsid w:val="00681E7E"/>
    <w:rsid w:val="00681EF7"/>
    <w:rsid w:val="006837C9"/>
    <w:rsid w:val="006853D0"/>
    <w:rsid w:val="006853DE"/>
    <w:rsid w:val="006866A0"/>
    <w:rsid w:val="0068706D"/>
    <w:rsid w:val="006873A6"/>
    <w:rsid w:val="006902E4"/>
    <w:rsid w:val="006904E8"/>
    <w:rsid w:val="006917C2"/>
    <w:rsid w:val="0069253B"/>
    <w:rsid w:val="006927DF"/>
    <w:rsid w:val="00695DA9"/>
    <w:rsid w:val="006979BF"/>
    <w:rsid w:val="00697EEB"/>
    <w:rsid w:val="006A2DC3"/>
    <w:rsid w:val="006A356C"/>
    <w:rsid w:val="006A6754"/>
    <w:rsid w:val="006A686B"/>
    <w:rsid w:val="006A7082"/>
    <w:rsid w:val="006B2E28"/>
    <w:rsid w:val="006B3006"/>
    <w:rsid w:val="006B35B2"/>
    <w:rsid w:val="006B4FE8"/>
    <w:rsid w:val="006B613D"/>
    <w:rsid w:val="006B6547"/>
    <w:rsid w:val="006B7772"/>
    <w:rsid w:val="006C0221"/>
    <w:rsid w:val="006C4512"/>
    <w:rsid w:val="006C7F75"/>
    <w:rsid w:val="006D60A0"/>
    <w:rsid w:val="006E43DC"/>
    <w:rsid w:val="006E5C1A"/>
    <w:rsid w:val="006E725F"/>
    <w:rsid w:val="006F1036"/>
    <w:rsid w:val="006F14EB"/>
    <w:rsid w:val="006F6698"/>
    <w:rsid w:val="00701541"/>
    <w:rsid w:val="00701B7C"/>
    <w:rsid w:val="00706D6D"/>
    <w:rsid w:val="00707F11"/>
    <w:rsid w:val="00710718"/>
    <w:rsid w:val="007115B2"/>
    <w:rsid w:val="00711D29"/>
    <w:rsid w:val="00715944"/>
    <w:rsid w:val="007202F1"/>
    <w:rsid w:val="00720D64"/>
    <w:rsid w:val="00730098"/>
    <w:rsid w:val="00732BE6"/>
    <w:rsid w:val="0073372C"/>
    <w:rsid w:val="00734495"/>
    <w:rsid w:val="00736E77"/>
    <w:rsid w:val="0074118E"/>
    <w:rsid w:val="00743F6C"/>
    <w:rsid w:val="007457AC"/>
    <w:rsid w:val="00753038"/>
    <w:rsid w:val="00760BAB"/>
    <w:rsid w:val="0076162C"/>
    <w:rsid w:val="00765F23"/>
    <w:rsid w:val="007661AD"/>
    <w:rsid w:val="00766378"/>
    <w:rsid w:val="00770EF7"/>
    <w:rsid w:val="007727F8"/>
    <w:rsid w:val="0077382E"/>
    <w:rsid w:val="00775CA9"/>
    <w:rsid w:val="00775D1F"/>
    <w:rsid w:val="00775F0A"/>
    <w:rsid w:val="007762F0"/>
    <w:rsid w:val="007778AC"/>
    <w:rsid w:val="00783535"/>
    <w:rsid w:val="007868A0"/>
    <w:rsid w:val="007873F8"/>
    <w:rsid w:val="00792C15"/>
    <w:rsid w:val="00792FB2"/>
    <w:rsid w:val="0079347C"/>
    <w:rsid w:val="00797792"/>
    <w:rsid w:val="007979E7"/>
    <w:rsid w:val="007A0CBF"/>
    <w:rsid w:val="007A0E1D"/>
    <w:rsid w:val="007A2EE5"/>
    <w:rsid w:val="007A770C"/>
    <w:rsid w:val="007A7A92"/>
    <w:rsid w:val="007B36C8"/>
    <w:rsid w:val="007C0080"/>
    <w:rsid w:val="007C2DA9"/>
    <w:rsid w:val="007C65F1"/>
    <w:rsid w:val="007C7F25"/>
    <w:rsid w:val="007D09E3"/>
    <w:rsid w:val="007D1C69"/>
    <w:rsid w:val="007D1CD9"/>
    <w:rsid w:val="007D1D4E"/>
    <w:rsid w:val="007D46A1"/>
    <w:rsid w:val="007D6A38"/>
    <w:rsid w:val="007D701C"/>
    <w:rsid w:val="007D7CD3"/>
    <w:rsid w:val="007D7EB0"/>
    <w:rsid w:val="007E1BC1"/>
    <w:rsid w:val="007E4039"/>
    <w:rsid w:val="007E55AE"/>
    <w:rsid w:val="007E70C2"/>
    <w:rsid w:val="007F02F3"/>
    <w:rsid w:val="007F0C7C"/>
    <w:rsid w:val="007F4944"/>
    <w:rsid w:val="00800540"/>
    <w:rsid w:val="00803ACE"/>
    <w:rsid w:val="00805D8F"/>
    <w:rsid w:val="00806E85"/>
    <w:rsid w:val="00810714"/>
    <w:rsid w:val="00815424"/>
    <w:rsid w:val="00815E8F"/>
    <w:rsid w:val="00816E1E"/>
    <w:rsid w:val="008221A6"/>
    <w:rsid w:val="00822D73"/>
    <w:rsid w:val="00823198"/>
    <w:rsid w:val="008308CD"/>
    <w:rsid w:val="00833531"/>
    <w:rsid w:val="0083446A"/>
    <w:rsid w:val="00834917"/>
    <w:rsid w:val="00835527"/>
    <w:rsid w:val="0084086A"/>
    <w:rsid w:val="00841A7A"/>
    <w:rsid w:val="0084304D"/>
    <w:rsid w:val="00850EF4"/>
    <w:rsid w:val="008515D3"/>
    <w:rsid w:val="008535AE"/>
    <w:rsid w:val="008567ED"/>
    <w:rsid w:val="00861AFD"/>
    <w:rsid w:val="0086279F"/>
    <w:rsid w:val="008639CC"/>
    <w:rsid w:val="00864136"/>
    <w:rsid w:val="00866166"/>
    <w:rsid w:val="00870045"/>
    <w:rsid w:val="00870D2B"/>
    <w:rsid w:val="008719E2"/>
    <w:rsid w:val="00874AE4"/>
    <w:rsid w:val="00880B67"/>
    <w:rsid w:val="0088531B"/>
    <w:rsid w:val="0088646C"/>
    <w:rsid w:val="0088743F"/>
    <w:rsid w:val="008925B0"/>
    <w:rsid w:val="008946ED"/>
    <w:rsid w:val="008A0405"/>
    <w:rsid w:val="008A0834"/>
    <w:rsid w:val="008A2092"/>
    <w:rsid w:val="008A299D"/>
    <w:rsid w:val="008A5DE6"/>
    <w:rsid w:val="008A5F9A"/>
    <w:rsid w:val="008B079E"/>
    <w:rsid w:val="008B0D1E"/>
    <w:rsid w:val="008B2536"/>
    <w:rsid w:val="008B3214"/>
    <w:rsid w:val="008B44D4"/>
    <w:rsid w:val="008C1CB4"/>
    <w:rsid w:val="008C3662"/>
    <w:rsid w:val="008C3718"/>
    <w:rsid w:val="008C6F4A"/>
    <w:rsid w:val="008D09BD"/>
    <w:rsid w:val="008D1F33"/>
    <w:rsid w:val="008D34A9"/>
    <w:rsid w:val="008D3F20"/>
    <w:rsid w:val="008D60A6"/>
    <w:rsid w:val="008E13D6"/>
    <w:rsid w:val="008E1470"/>
    <w:rsid w:val="008F00C5"/>
    <w:rsid w:val="008F05B7"/>
    <w:rsid w:val="008F6395"/>
    <w:rsid w:val="0090211B"/>
    <w:rsid w:val="00904895"/>
    <w:rsid w:val="00905B33"/>
    <w:rsid w:val="00905FBA"/>
    <w:rsid w:val="00912AB4"/>
    <w:rsid w:val="00913F6C"/>
    <w:rsid w:val="00916DA2"/>
    <w:rsid w:val="009214CE"/>
    <w:rsid w:val="009265C2"/>
    <w:rsid w:val="00926E6D"/>
    <w:rsid w:val="0093022B"/>
    <w:rsid w:val="00934B23"/>
    <w:rsid w:val="00937A8A"/>
    <w:rsid w:val="009417E2"/>
    <w:rsid w:val="00941910"/>
    <w:rsid w:val="00941FFA"/>
    <w:rsid w:val="00943843"/>
    <w:rsid w:val="00945BD0"/>
    <w:rsid w:val="009463C1"/>
    <w:rsid w:val="00950E77"/>
    <w:rsid w:val="00950FFC"/>
    <w:rsid w:val="009577E9"/>
    <w:rsid w:val="00961BA7"/>
    <w:rsid w:val="0096461C"/>
    <w:rsid w:val="00965A3E"/>
    <w:rsid w:val="009668AC"/>
    <w:rsid w:val="00972D9B"/>
    <w:rsid w:val="0098117C"/>
    <w:rsid w:val="0098275B"/>
    <w:rsid w:val="00982FF9"/>
    <w:rsid w:val="00984F4E"/>
    <w:rsid w:val="00986BB9"/>
    <w:rsid w:val="0099008B"/>
    <w:rsid w:val="0099083E"/>
    <w:rsid w:val="009908A0"/>
    <w:rsid w:val="009935CA"/>
    <w:rsid w:val="00995A30"/>
    <w:rsid w:val="009A0B2E"/>
    <w:rsid w:val="009A2734"/>
    <w:rsid w:val="009A3453"/>
    <w:rsid w:val="009B3E4B"/>
    <w:rsid w:val="009B45B4"/>
    <w:rsid w:val="009B4D98"/>
    <w:rsid w:val="009B578E"/>
    <w:rsid w:val="009C0417"/>
    <w:rsid w:val="009C5C86"/>
    <w:rsid w:val="009C6C0B"/>
    <w:rsid w:val="009D08D1"/>
    <w:rsid w:val="009D5513"/>
    <w:rsid w:val="009D5897"/>
    <w:rsid w:val="009E3B2C"/>
    <w:rsid w:val="009F2E5D"/>
    <w:rsid w:val="009F5F12"/>
    <w:rsid w:val="00A02B99"/>
    <w:rsid w:val="00A02FC7"/>
    <w:rsid w:val="00A044DB"/>
    <w:rsid w:val="00A04D26"/>
    <w:rsid w:val="00A0583F"/>
    <w:rsid w:val="00A05EAE"/>
    <w:rsid w:val="00A10E3E"/>
    <w:rsid w:val="00A116E5"/>
    <w:rsid w:val="00A11837"/>
    <w:rsid w:val="00A16B4F"/>
    <w:rsid w:val="00A20F1A"/>
    <w:rsid w:val="00A30FD2"/>
    <w:rsid w:val="00A31660"/>
    <w:rsid w:val="00A372D2"/>
    <w:rsid w:val="00A40EFF"/>
    <w:rsid w:val="00A40FEA"/>
    <w:rsid w:val="00A46EC4"/>
    <w:rsid w:val="00A4730F"/>
    <w:rsid w:val="00A47C34"/>
    <w:rsid w:val="00A506D6"/>
    <w:rsid w:val="00A529BF"/>
    <w:rsid w:val="00A52F4B"/>
    <w:rsid w:val="00A541E2"/>
    <w:rsid w:val="00A64C3D"/>
    <w:rsid w:val="00A70880"/>
    <w:rsid w:val="00A70EAF"/>
    <w:rsid w:val="00A7158F"/>
    <w:rsid w:val="00A73560"/>
    <w:rsid w:val="00A75074"/>
    <w:rsid w:val="00A77701"/>
    <w:rsid w:val="00A85E5A"/>
    <w:rsid w:val="00A85E5E"/>
    <w:rsid w:val="00A92469"/>
    <w:rsid w:val="00A92BDE"/>
    <w:rsid w:val="00A92F72"/>
    <w:rsid w:val="00A94EB3"/>
    <w:rsid w:val="00A9678C"/>
    <w:rsid w:val="00AA124B"/>
    <w:rsid w:val="00AA7DC3"/>
    <w:rsid w:val="00AB25CB"/>
    <w:rsid w:val="00AB54BA"/>
    <w:rsid w:val="00AB5998"/>
    <w:rsid w:val="00AB6FE9"/>
    <w:rsid w:val="00AB772C"/>
    <w:rsid w:val="00AB7DE8"/>
    <w:rsid w:val="00AC4B62"/>
    <w:rsid w:val="00AC5622"/>
    <w:rsid w:val="00AC6106"/>
    <w:rsid w:val="00AD055A"/>
    <w:rsid w:val="00AD1556"/>
    <w:rsid w:val="00AD1CB1"/>
    <w:rsid w:val="00AD1CE5"/>
    <w:rsid w:val="00AD2BE3"/>
    <w:rsid w:val="00AD3237"/>
    <w:rsid w:val="00AD37FF"/>
    <w:rsid w:val="00AE2F0C"/>
    <w:rsid w:val="00AF06D0"/>
    <w:rsid w:val="00AF09FF"/>
    <w:rsid w:val="00AF26D1"/>
    <w:rsid w:val="00AF5ABE"/>
    <w:rsid w:val="00AF625E"/>
    <w:rsid w:val="00AF7CD4"/>
    <w:rsid w:val="00B010D6"/>
    <w:rsid w:val="00B01EFD"/>
    <w:rsid w:val="00B06091"/>
    <w:rsid w:val="00B06C07"/>
    <w:rsid w:val="00B11950"/>
    <w:rsid w:val="00B1424B"/>
    <w:rsid w:val="00B23964"/>
    <w:rsid w:val="00B2569B"/>
    <w:rsid w:val="00B27313"/>
    <w:rsid w:val="00B31D7A"/>
    <w:rsid w:val="00B341DE"/>
    <w:rsid w:val="00B34AAC"/>
    <w:rsid w:val="00B41345"/>
    <w:rsid w:val="00B46192"/>
    <w:rsid w:val="00B520C3"/>
    <w:rsid w:val="00B520D0"/>
    <w:rsid w:val="00B5337C"/>
    <w:rsid w:val="00B54697"/>
    <w:rsid w:val="00B550DA"/>
    <w:rsid w:val="00B55CF6"/>
    <w:rsid w:val="00B577A9"/>
    <w:rsid w:val="00B62AF7"/>
    <w:rsid w:val="00B65077"/>
    <w:rsid w:val="00B6605C"/>
    <w:rsid w:val="00B66EC0"/>
    <w:rsid w:val="00B67B9A"/>
    <w:rsid w:val="00B71475"/>
    <w:rsid w:val="00B71651"/>
    <w:rsid w:val="00B74419"/>
    <w:rsid w:val="00B76A9D"/>
    <w:rsid w:val="00B77534"/>
    <w:rsid w:val="00B844DB"/>
    <w:rsid w:val="00B87213"/>
    <w:rsid w:val="00B91ACC"/>
    <w:rsid w:val="00B94E70"/>
    <w:rsid w:val="00BA02D3"/>
    <w:rsid w:val="00BA4863"/>
    <w:rsid w:val="00BA4C52"/>
    <w:rsid w:val="00BA708A"/>
    <w:rsid w:val="00BA7BAF"/>
    <w:rsid w:val="00BB3098"/>
    <w:rsid w:val="00BB312B"/>
    <w:rsid w:val="00BB69C1"/>
    <w:rsid w:val="00BC1C06"/>
    <w:rsid w:val="00BC3EA5"/>
    <w:rsid w:val="00BC512D"/>
    <w:rsid w:val="00BD4B44"/>
    <w:rsid w:val="00BE3308"/>
    <w:rsid w:val="00BE3FE4"/>
    <w:rsid w:val="00BE7684"/>
    <w:rsid w:val="00BF0EB4"/>
    <w:rsid w:val="00BF47F4"/>
    <w:rsid w:val="00BF5A2C"/>
    <w:rsid w:val="00BF7615"/>
    <w:rsid w:val="00C024F1"/>
    <w:rsid w:val="00C1337C"/>
    <w:rsid w:val="00C166E3"/>
    <w:rsid w:val="00C217B6"/>
    <w:rsid w:val="00C21CF4"/>
    <w:rsid w:val="00C21F2B"/>
    <w:rsid w:val="00C2216E"/>
    <w:rsid w:val="00C24B73"/>
    <w:rsid w:val="00C3188D"/>
    <w:rsid w:val="00C31AD3"/>
    <w:rsid w:val="00C32DE7"/>
    <w:rsid w:val="00C36B6B"/>
    <w:rsid w:val="00C375DE"/>
    <w:rsid w:val="00C37A9A"/>
    <w:rsid w:val="00C37CE7"/>
    <w:rsid w:val="00C4023E"/>
    <w:rsid w:val="00C4076B"/>
    <w:rsid w:val="00C41424"/>
    <w:rsid w:val="00C4458C"/>
    <w:rsid w:val="00C446CC"/>
    <w:rsid w:val="00C45CA6"/>
    <w:rsid w:val="00C462CB"/>
    <w:rsid w:val="00C50A3E"/>
    <w:rsid w:val="00C51CBE"/>
    <w:rsid w:val="00C5243E"/>
    <w:rsid w:val="00C52725"/>
    <w:rsid w:val="00C53EF5"/>
    <w:rsid w:val="00C564E0"/>
    <w:rsid w:val="00C60369"/>
    <w:rsid w:val="00C61490"/>
    <w:rsid w:val="00C63D4A"/>
    <w:rsid w:val="00C7051D"/>
    <w:rsid w:val="00C71CFC"/>
    <w:rsid w:val="00C73F1E"/>
    <w:rsid w:val="00C76B39"/>
    <w:rsid w:val="00C77927"/>
    <w:rsid w:val="00C822FA"/>
    <w:rsid w:val="00C82DC8"/>
    <w:rsid w:val="00C85E61"/>
    <w:rsid w:val="00C92AB1"/>
    <w:rsid w:val="00C951F1"/>
    <w:rsid w:val="00CA1740"/>
    <w:rsid w:val="00CA7DCD"/>
    <w:rsid w:val="00CB1247"/>
    <w:rsid w:val="00CB2782"/>
    <w:rsid w:val="00CB37BA"/>
    <w:rsid w:val="00CB37F4"/>
    <w:rsid w:val="00CB4B3B"/>
    <w:rsid w:val="00CB7A2F"/>
    <w:rsid w:val="00CC017C"/>
    <w:rsid w:val="00CC10E1"/>
    <w:rsid w:val="00CC4F9D"/>
    <w:rsid w:val="00CC7CF5"/>
    <w:rsid w:val="00CD033A"/>
    <w:rsid w:val="00CD1F0E"/>
    <w:rsid w:val="00CD33EE"/>
    <w:rsid w:val="00CD4C20"/>
    <w:rsid w:val="00CD5A7F"/>
    <w:rsid w:val="00CE2279"/>
    <w:rsid w:val="00CE3B75"/>
    <w:rsid w:val="00CE75B0"/>
    <w:rsid w:val="00CF2B21"/>
    <w:rsid w:val="00CF35BD"/>
    <w:rsid w:val="00CF563F"/>
    <w:rsid w:val="00CF580C"/>
    <w:rsid w:val="00D0177E"/>
    <w:rsid w:val="00D0257F"/>
    <w:rsid w:val="00D03800"/>
    <w:rsid w:val="00D07773"/>
    <w:rsid w:val="00D07CB6"/>
    <w:rsid w:val="00D11886"/>
    <w:rsid w:val="00D13C5F"/>
    <w:rsid w:val="00D14B51"/>
    <w:rsid w:val="00D216D3"/>
    <w:rsid w:val="00D21D7E"/>
    <w:rsid w:val="00D229A4"/>
    <w:rsid w:val="00D2379A"/>
    <w:rsid w:val="00D2462E"/>
    <w:rsid w:val="00D24A44"/>
    <w:rsid w:val="00D2564D"/>
    <w:rsid w:val="00D344FB"/>
    <w:rsid w:val="00D36568"/>
    <w:rsid w:val="00D376B6"/>
    <w:rsid w:val="00D37D0A"/>
    <w:rsid w:val="00D41D4A"/>
    <w:rsid w:val="00D43C01"/>
    <w:rsid w:val="00D43D17"/>
    <w:rsid w:val="00D51336"/>
    <w:rsid w:val="00D5726E"/>
    <w:rsid w:val="00D578F9"/>
    <w:rsid w:val="00D601AB"/>
    <w:rsid w:val="00D60AFF"/>
    <w:rsid w:val="00D622E2"/>
    <w:rsid w:val="00D626BB"/>
    <w:rsid w:val="00D67CC7"/>
    <w:rsid w:val="00D77006"/>
    <w:rsid w:val="00D80567"/>
    <w:rsid w:val="00D85ECA"/>
    <w:rsid w:val="00D87ACB"/>
    <w:rsid w:val="00D909D9"/>
    <w:rsid w:val="00D92148"/>
    <w:rsid w:val="00D92614"/>
    <w:rsid w:val="00D973B4"/>
    <w:rsid w:val="00DA0C6F"/>
    <w:rsid w:val="00DA1158"/>
    <w:rsid w:val="00DA29B0"/>
    <w:rsid w:val="00DA3490"/>
    <w:rsid w:val="00DA4090"/>
    <w:rsid w:val="00DA4421"/>
    <w:rsid w:val="00DA7290"/>
    <w:rsid w:val="00DB5CD0"/>
    <w:rsid w:val="00DB6057"/>
    <w:rsid w:val="00DB6D6A"/>
    <w:rsid w:val="00DC25EC"/>
    <w:rsid w:val="00DC35A7"/>
    <w:rsid w:val="00DC40D9"/>
    <w:rsid w:val="00DC529E"/>
    <w:rsid w:val="00DD0ACC"/>
    <w:rsid w:val="00DD19EE"/>
    <w:rsid w:val="00DD41F4"/>
    <w:rsid w:val="00DD522B"/>
    <w:rsid w:val="00DD5C1E"/>
    <w:rsid w:val="00DD604C"/>
    <w:rsid w:val="00DD7F89"/>
    <w:rsid w:val="00DE06DC"/>
    <w:rsid w:val="00DE3282"/>
    <w:rsid w:val="00DE60CD"/>
    <w:rsid w:val="00DE64B6"/>
    <w:rsid w:val="00DE7181"/>
    <w:rsid w:val="00DF18DD"/>
    <w:rsid w:val="00DF5FAF"/>
    <w:rsid w:val="00DF6619"/>
    <w:rsid w:val="00DF7436"/>
    <w:rsid w:val="00DF77F1"/>
    <w:rsid w:val="00E00EE7"/>
    <w:rsid w:val="00E019E5"/>
    <w:rsid w:val="00E039BA"/>
    <w:rsid w:val="00E0606B"/>
    <w:rsid w:val="00E111E7"/>
    <w:rsid w:val="00E12105"/>
    <w:rsid w:val="00E142B3"/>
    <w:rsid w:val="00E1456D"/>
    <w:rsid w:val="00E1709E"/>
    <w:rsid w:val="00E201DC"/>
    <w:rsid w:val="00E2083A"/>
    <w:rsid w:val="00E213A6"/>
    <w:rsid w:val="00E265FF"/>
    <w:rsid w:val="00E2774C"/>
    <w:rsid w:val="00E27D89"/>
    <w:rsid w:val="00E30BDD"/>
    <w:rsid w:val="00E33593"/>
    <w:rsid w:val="00E37C85"/>
    <w:rsid w:val="00E47A70"/>
    <w:rsid w:val="00E5772A"/>
    <w:rsid w:val="00E62387"/>
    <w:rsid w:val="00E629FD"/>
    <w:rsid w:val="00E71D92"/>
    <w:rsid w:val="00E732DB"/>
    <w:rsid w:val="00E73320"/>
    <w:rsid w:val="00E7663E"/>
    <w:rsid w:val="00E77E1F"/>
    <w:rsid w:val="00E818E5"/>
    <w:rsid w:val="00E826DD"/>
    <w:rsid w:val="00E82E18"/>
    <w:rsid w:val="00E85998"/>
    <w:rsid w:val="00E85B80"/>
    <w:rsid w:val="00E861FD"/>
    <w:rsid w:val="00E87C7C"/>
    <w:rsid w:val="00E91025"/>
    <w:rsid w:val="00E95085"/>
    <w:rsid w:val="00E95DD7"/>
    <w:rsid w:val="00E96F06"/>
    <w:rsid w:val="00E971B3"/>
    <w:rsid w:val="00E97401"/>
    <w:rsid w:val="00EA2621"/>
    <w:rsid w:val="00EA3757"/>
    <w:rsid w:val="00EA79EF"/>
    <w:rsid w:val="00EB23D4"/>
    <w:rsid w:val="00EB4328"/>
    <w:rsid w:val="00EB50B5"/>
    <w:rsid w:val="00EB742F"/>
    <w:rsid w:val="00EC4FD0"/>
    <w:rsid w:val="00EC656F"/>
    <w:rsid w:val="00EC694C"/>
    <w:rsid w:val="00EC6DDE"/>
    <w:rsid w:val="00ED0397"/>
    <w:rsid w:val="00ED07D1"/>
    <w:rsid w:val="00ED09F0"/>
    <w:rsid w:val="00ED2FE3"/>
    <w:rsid w:val="00ED4EAA"/>
    <w:rsid w:val="00EE562A"/>
    <w:rsid w:val="00EF1C77"/>
    <w:rsid w:val="00EF6F32"/>
    <w:rsid w:val="00F00E71"/>
    <w:rsid w:val="00F027BF"/>
    <w:rsid w:val="00F03F89"/>
    <w:rsid w:val="00F05058"/>
    <w:rsid w:val="00F06A43"/>
    <w:rsid w:val="00F06E2C"/>
    <w:rsid w:val="00F07580"/>
    <w:rsid w:val="00F12860"/>
    <w:rsid w:val="00F2459F"/>
    <w:rsid w:val="00F24F22"/>
    <w:rsid w:val="00F2685F"/>
    <w:rsid w:val="00F26A68"/>
    <w:rsid w:val="00F270DF"/>
    <w:rsid w:val="00F3112C"/>
    <w:rsid w:val="00F35380"/>
    <w:rsid w:val="00F3685C"/>
    <w:rsid w:val="00F37068"/>
    <w:rsid w:val="00F40672"/>
    <w:rsid w:val="00F42192"/>
    <w:rsid w:val="00F4386D"/>
    <w:rsid w:val="00F44CFF"/>
    <w:rsid w:val="00F45F2D"/>
    <w:rsid w:val="00F46280"/>
    <w:rsid w:val="00F47BFB"/>
    <w:rsid w:val="00F505C7"/>
    <w:rsid w:val="00F55122"/>
    <w:rsid w:val="00F562B1"/>
    <w:rsid w:val="00F56342"/>
    <w:rsid w:val="00F57007"/>
    <w:rsid w:val="00F57092"/>
    <w:rsid w:val="00F6021F"/>
    <w:rsid w:val="00F62840"/>
    <w:rsid w:val="00F64D87"/>
    <w:rsid w:val="00F650E7"/>
    <w:rsid w:val="00F65122"/>
    <w:rsid w:val="00F657A6"/>
    <w:rsid w:val="00F66186"/>
    <w:rsid w:val="00F738E3"/>
    <w:rsid w:val="00F7471B"/>
    <w:rsid w:val="00F75A20"/>
    <w:rsid w:val="00F91E38"/>
    <w:rsid w:val="00F9332F"/>
    <w:rsid w:val="00F93E33"/>
    <w:rsid w:val="00F94991"/>
    <w:rsid w:val="00FA176C"/>
    <w:rsid w:val="00FA2B23"/>
    <w:rsid w:val="00FA341C"/>
    <w:rsid w:val="00FA7468"/>
    <w:rsid w:val="00FB0E65"/>
    <w:rsid w:val="00FB2F12"/>
    <w:rsid w:val="00FB53D5"/>
    <w:rsid w:val="00FB53FE"/>
    <w:rsid w:val="00FB6CDF"/>
    <w:rsid w:val="00FB76E3"/>
    <w:rsid w:val="00FC4BFC"/>
    <w:rsid w:val="00FC70ED"/>
    <w:rsid w:val="00FD08FE"/>
    <w:rsid w:val="00FD4646"/>
    <w:rsid w:val="00FD6F96"/>
    <w:rsid w:val="00FE014B"/>
    <w:rsid w:val="00FE5860"/>
    <w:rsid w:val="00FE660E"/>
    <w:rsid w:val="00FE7304"/>
    <w:rsid w:val="00FF1DBE"/>
    <w:rsid w:val="00FF4393"/>
    <w:rsid w:val="00FF6422"/>
    <w:rsid w:val="00FF7B02"/>
    <w:rsid w:val="00FF7C6D"/>
    <w:rsid w:val="01101737"/>
    <w:rsid w:val="011251DC"/>
    <w:rsid w:val="01131727"/>
    <w:rsid w:val="014C449F"/>
    <w:rsid w:val="014C5555"/>
    <w:rsid w:val="017E4863"/>
    <w:rsid w:val="01BC6A20"/>
    <w:rsid w:val="01C7100D"/>
    <w:rsid w:val="01C9762B"/>
    <w:rsid w:val="01E032C3"/>
    <w:rsid w:val="01EE2167"/>
    <w:rsid w:val="0219343C"/>
    <w:rsid w:val="021A6E37"/>
    <w:rsid w:val="023E79D6"/>
    <w:rsid w:val="02497BD3"/>
    <w:rsid w:val="02651A52"/>
    <w:rsid w:val="02681EEE"/>
    <w:rsid w:val="026F2AF1"/>
    <w:rsid w:val="02792541"/>
    <w:rsid w:val="027D7B65"/>
    <w:rsid w:val="027D7F3F"/>
    <w:rsid w:val="028366EA"/>
    <w:rsid w:val="028543A4"/>
    <w:rsid w:val="029334F8"/>
    <w:rsid w:val="02B45538"/>
    <w:rsid w:val="02D36FE6"/>
    <w:rsid w:val="02E1797B"/>
    <w:rsid w:val="0300703E"/>
    <w:rsid w:val="030A1C8E"/>
    <w:rsid w:val="0317445F"/>
    <w:rsid w:val="031A0EF9"/>
    <w:rsid w:val="03364FA2"/>
    <w:rsid w:val="033B6A17"/>
    <w:rsid w:val="033F0CF1"/>
    <w:rsid w:val="034D5694"/>
    <w:rsid w:val="03501D50"/>
    <w:rsid w:val="036B36F3"/>
    <w:rsid w:val="036F7DF1"/>
    <w:rsid w:val="0383224F"/>
    <w:rsid w:val="03AC6F3D"/>
    <w:rsid w:val="03AF0B4E"/>
    <w:rsid w:val="03E612AE"/>
    <w:rsid w:val="03F63585"/>
    <w:rsid w:val="0427763E"/>
    <w:rsid w:val="0463380B"/>
    <w:rsid w:val="046979E4"/>
    <w:rsid w:val="047115B8"/>
    <w:rsid w:val="047C0B5A"/>
    <w:rsid w:val="04886A06"/>
    <w:rsid w:val="04976EB3"/>
    <w:rsid w:val="04AA2438"/>
    <w:rsid w:val="04C01DBA"/>
    <w:rsid w:val="04E73BC1"/>
    <w:rsid w:val="050667C4"/>
    <w:rsid w:val="051B4381"/>
    <w:rsid w:val="052E15C4"/>
    <w:rsid w:val="053649D4"/>
    <w:rsid w:val="053C489E"/>
    <w:rsid w:val="053D0D93"/>
    <w:rsid w:val="05443C86"/>
    <w:rsid w:val="055356B7"/>
    <w:rsid w:val="0564022A"/>
    <w:rsid w:val="056776BF"/>
    <w:rsid w:val="057B6AA1"/>
    <w:rsid w:val="05944B49"/>
    <w:rsid w:val="05B675DE"/>
    <w:rsid w:val="05C15C39"/>
    <w:rsid w:val="05C76297"/>
    <w:rsid w:val="05DA65E4"/>
    <w:rsid w:val="05DB15DF"/>
    <w:rsid w:val="05DD0995"/>
    <w:rsid w:val="05F265E5"/>
    <w:rsid w:val="06124968"/>
    <w:rsid w:val="0614650A"/>
    <w:rsid w:val="061E6143"/>
    <w:rsid w:val="06234646"/>
    <w:rsid w:val="062F19BB"/>
    <w:rsid w:val="06562957"/>
    <w:rsid w:val="065B75D0"/>
    <w:rsid w:val="066A54E1"/>
    <w:rsid w:val="0676319A"/>
    <w:rsid w:val="0698307D"/>
    <w:rsid w:val="06A070CA"/>
    <w:rsid w:val="06A9448A"/>
    <w:rsid w:val="06B5346B"/>
    <w:rsid w:val="06B91A92"/>
    <w:rsid w:val="06CD3CB0"/>
    <w:rsid w:val="06DB01E0"/>
    <w:rsid w:val="06DC7AE9"/>
    <w:rsid w:val="06DE0D2A"/>
    <w:rsid w:val="06E00165"/>
    <w:rsid w:val="06E3564A"/>
    <w:rsid w:val="06F371C5"/>
    <w:rsid w:val="0707159B"/>
    <w:rsid w:val="07164CBB"/>
    <w:rsid w:val="07310640"/>
    <w:rsid w:val="0778641C"/>
    <w:rsid w:val="0787181D"/>
    <w:rsid w:val="07C1619F"/>
    <w:rsid w:val="07DA0300"/>
    <w:rsid w:val="08025806"/>
    <w:rsid w:val="082B6C30"/>
    <w:rsid w:val="08355D7F"/>
    <w:rsid w:val="08776816"/>
    <w:rsid w:val="08E1285D"/>
    <w:rsid w:val="08F9073D"/>
    <w:rsid w:val="090266A2"/>
    <w:rsid w:val="091F3786"/>
    <w:rsid w:val="092403B3"/>
    <w:rsid w:val="092B6CB9"/>
    <w:rsid w:val="093A0FD5"/>
    <w:rsid w:val="09466751"/>
    <w:rsid w:val="09655794"/>
    <w:rsid w:val="098E46D6"/>
    <w:rsid w:val="09D06D0A"/>
    <w:rsid w:val="0A2546C3"/>
    <w:rsid w:val="0A2547FE"/>
    <w:rsid w:val="0A285A00"/>
    <w:rsid w:val="0A51166B"/>
    <w:rsid w:val="0AB531AD"/>
    <w:rsid w:val="0AEE3671"/>
    <w:rsid w:val="0AFD2629"/>
    <w:rsid w:val="0B155F38"/>
    <w:rsid w:val="0B2C7C04"/>
    <w:rsid w:val="0B3622AE"/>
    <w:rsid w:val="0B3D3370"/>
    <w:rsid w:val="0B4667D2"/>
    <w:rsid w:val="0B6747C5"/>
    <w:rsid w:val="0B6C58CF"/>
    <w:rsid w:val="0B890938"/>
    <w:rsid w:val="0B8E227E"/>
    <w:rsid w:val="0BCA1280"/>
    <w:rsid w:val="0BDC52B0"/>
    <w:rsid w:val="0BDE6107"/>
    <w:rsid w:val="0BF06808"/>
    <w:rsid w:val="0C281EA5"/>
    <w:rsid w:val="0C4227D8"/>
    <w:rsid w:val="0C48510F"/>
    <w:rsid w:val="0C4D0D7D"/>
    <w:rsid w:val="0C5C16B7"/>
    <w:rsid w:val="0C623BF9"/>
    <w:rsid w:val="0C7B39BC"/>
    <w:rsid w:val="0CB47CE6"/>
    <w:rsid w:val="0CB76DD8"/>
    <w:rsid w:val="0CC32160"/>
    <w:rsid w:val="0CC36129"/>
    <w:rsid w:val="0D047821"/>
    <w:rsid w:val="0D086688"/>
    <w:rsid w:val="0D2F28E4"/>
    <w:rsid w:val="0D6E2E1F"/>
    <w:rsid w:val="0D866970"/>
    <w:rsid w:val="0D8915AE"/>
    <w:rsid w:val="0DB5644C"/>
    <w:rsid w:val="0DBB32CF"/>
    <w:rsid w:val="0DC638FF"/>
    <w:rsid w:val="0DCC7BB0"/>
    <w:rsid w:val="0E042FAC"/>
    <w:rsid w:val="0E085E65"/>
    <w:rsid w:val="0E560BBC"/>
    <w:rsid w:val="0E715DA3"/>
    <w:rsid w:val="0E76062C"/>
    <w:rsid w:val="0E7B4C4E"/>
    <w:rsid w:val="0EAD7EC8"/>
    <w:rsid w:val="0EB16297"/>
    <w:rsid w:val="0EC337B2"/>
    <w:rsid w:val="0EEC6D9F"/>
    <w:rsid w:val="0F1708FE"/>
    <w:rsid w:val="0F3574BD"/>
    <w:rsid w:val="0F4A77D3"/>
    <w:rsid w:val="0F530C04"/>
    <w:rsid w:val="0F576959"/>
    <w:rsid w:val="0F5D721E"/>
    <w:rsid w:val="0F5F696D"/>
    <w:rsid w:val="0F6B533F"/>
    <w:rsid w:val="0F8F5B35"/>
    <w:rsid w:val="0FEC7B7B"/>
    <w:rsid w:val="1009636A"/>
    <w:rsid w:val="10113ED1"/>
    <w:rsid w:val="10A24D2E"/>
    <w:rsid w:val="10A33C44"/>
    <w:rsid w:val="10A3717B"/>
    <w:rsid w:val="10BC3504"/>
    <w:rsid w:val="10C426C8"/>
    <w:rsid w:val="10E514C0"/>
    <w:rsid w:val="11126430"/>
    <w:rsid w:val="11143D92"/>
    <w:rsid w:val="11251EF9"/>
    <w:rsid w:val="11534B4D"/>
    <w:rsid w:val="11674C63"/>
    <w:rsid w:val="116B1306"/>
    <w:rsid w:val="1170731A"/>
    <w:rsid w:val="11855748"/>
    <w:rsid w:val="11B60891"/>
    <w:rsid w:val="11BC060C"/>
    <w:rsid w:val="11DC4534"/>
    <w:rsid w:val="120241AB"/>
    <w:rsid w:val="12024B56"/>
    <w:rsid w:val="12543C14"/>
    <w:rsid w:val="126C5BD3"/>
    <w:rsid w:val="12747814"/>
    <w:rsid w:val="12860427"/>
    <w:rsid w:val="12B108E7"/>
    <w:rsid w:val="12B77161"/>
    <w:rsid w:val="12FE0FC2"/>
    <w:rsid w:val="130F1DFD"/>
    <w:rsid w:val="13107BFD"/>
    <w:rsid w:val="13160531"/>
    <w:rsid w:val="132E4A49"/>
    <w:rsid w:val="133A0F70"/>
    <w:rsid w:val="133A6388"/>
    <w:rsid w:val="13584020"/>
    <w:rsid w:val="135E7101"/>
    <w:rsid w:val="137F3919"/>
    <w:rsid w:val="13AA5C06"/>
    <w:rsid w:val="13AB79CE"/>
    <w:rsid w:val="13AC10D7"/>
    <w:rsid w:val="14005890"/>
    <w:rsid w:val="141346F7"/>
    <w:rsid w:val="143439D0"/>
    <w:rsid w:val="143C5416"/>
    <w:rsid w:val="14422CC3"/>
    <w:rsid w:val="145C7B4A"/>
    <w:rsid w:val="14997297"/>
    <w:rsid w:val="149F086D"/>
    <w:rsid w:val="14A151C5"/>
    <w:rsid w:val="14BD60C0"/>
    <w:rsid w:val="14C81F86"/>
    <w:rsid w:val="14E439C5"/>
    <w:rsid w:val="14EC3E7C"/>
    <w:rsid w:val="151B61CD"/>
    <w:rsid w:val="15392FD1"/>
    <w:rsid w:val="15503C5D"/>
    <w:rsid w:val="15535BCA"/>
    <w:rsid w:val="15652BD6"/>
    <w:rsid w:val="15815DFB"/>
    <w:rsid w:val="159A1002"/>
    <w:rsid w:val="159B590D"/>
    <w:rsid w:val="15A620AF"/>
    <w:rsid w:val="15E7370D"/>
    <w:rsid w:val="15F17CA7"/>
    <w:rsid w:val="15FB2849"/>
    <w:rsid w:val="160253FE"/>
    <w:rsid w:val="16096A32"/>
    <w:rsid w:val="1618314B"/>
    <w:rsid w:val="16260075"/>
    <w:rsid w:val="16323985"/>
    <w:rsid w:val="16774F8F"/>
    <w:rsid w:val="16785B2F"/>
    <w:rsid w:val="1698228D"/>
    <w:rsid w:val="16A849EC"/>
    <w:rsid w:val="16C27720"/>
    <w:rsid w:val="1717267A"/>
    <w:rsid w:val="17176A23"/>
    <w:rsid w:val="171C6D27"/>
    <w:rsid w:val="172B50DB"/>
    <w:rsid w:val="173B3D41"/>
    <w:rsid w:val="17405214"/>
    <w:rsid w:val="174E0AD4"/>
    <w:rsid w:val="176663AA"/>
    <w:rsid w:val="17842657"/>
    <w:rsid w:val="17965453"/>
    <w:rsid w:val="17B21EE1"/>
    <w:rsid w:val="17C73F40"/>
    <w:rsid w:val="17D40CDE"/>
    <w:rsid w:val="17E61477"/>
    <w:rsid w:val="17EB63ED"/>
    <w:rsid w:val="17F730CF"/>
    <w:rsid w:val="17F76978"/>
    <w:rsid w:val="17F869A1"/>
    <w:rsid w:val="17FB17D3"/>
    <w:rsid w:val="17FB70D4"/>
    <w:rsid w:val="181775AB"/>
    <w:rsid w:val="181B4B8C"/>
    <w:rsid w:val="18435EC6"/>
    <w:rsid w:val="18640D53"/>
    <w:rsid w:val="18670993"/>
    <w:rsid w:val="186E3410"/>
    <w:rsid w:val="18774029"/>
    <w:rsid w:val="188439AB"/>
    <w:rsid w:val="189C18D9"/>
    <w:rsid w:val="189F3BB5"/>
    <w:rsid w:val="189F411C"/>
    <w:rsid w:val="18B51346"/>
    <w:rsid w:val="18CB4559"/>
    <w:rsid w:val="18CC3E3D"/>
    <w:rsid w:val="18D42FB4"/>
    <w:rsid w:val="18F25E7A"/>
    <w:rsid w:val="1907143C"/>
    <w:rsid w:val="19071461"/>
    <w:rsid w:val="190B3146"/>
    <w:rsid w:val="192140D1"/>
    <w:rsid w:val="192614F3"/>
    <w:rsid w:val="19440890"/>
    <w:rsid w:val="19593B9C"/>
    <w:rsid w:val="195B6C51"/>
    <w:rsid w:val="19735423"/>
    <w:rsid w:val="197F0960"/>
    <w:rsid w:val="19876592"/>
    <w:rsid w:val="19904CBE"/>
    <w:rsid w:val="19AC2CEC"/>
    <w:rsid w:val="19AC678C"/>
    <w:rsid w:val="19B6060C"/>
    <w:rsid w:val="19B75684"/>
    <w:rsid w:val="19D12625"/>
    <w:rsid w:val="19D921E7"/>
    <w:rsid w:val="19E826C6"/>
    <w:rsid w:val="19FD5252"/>
    <w:rsid w:val="1A0644EE"/>
    <w:rsid w:val="1A0D0D47"/>
    <w:rsid w:val="1A24594F"/>
    <w:rsid w:val="1A30296B"/>
    <w:rsid w:val="1A52256C"/>
    <w:rsid w:val="1A5E59D5"/>
    <w:rsid w:val="1A6C7205"/>
    <w:rsid w:val="1A9017A8"/>
    <w:rsid w:val="1A945DF1"/>
    <w:rsid w:val="1ADE1803"/>
    <w:rsid w:val="1ADF1E82"/>
    <w:rsid w:val="1B0B3CC8"/>
    <w:rsid w:val="1B12204E"/>
    <w:rsid w:val="1B1F194E"/>
    <w:rsid w:val="1B2743BA"/>
    <w:rsid w:val="1B2D6339"/>
    <w:rsid w:val="1B37575E"/>
    <w:rsid w:val="1B605058"/>
    <w:rsid w:val="1B6815E9"/>
    <w:rsid w:val="1B7612C9"/>
    <w:rsid w:val="1B843297"/>
    <w:rsid w:val="1B8B183D"/>
    <w:rsid w:val="1BB274C3"/>
    <w:rsid w:val="1BB438B8"/>
    <w:rsid w:val="1BDD2616"/>
    <w:rsid w:val="1BF20F98"/>
    <w:rsid w:val="1BF324B6"/>
    <w:rsid w:val="1BFD11E3"/>
    <w:rsid w:val="1C2459FA"/>
    <w:rsid w:val="1C292828"/>
    <w:rsid w:val="1C3762EE"/>
    <w:rsid w:val="1C4365E9"/>
    <w:rsid w:val="1C6506BB"/>
    <w:rsid w:val="1C8155A9"/>
    <w:rsid w:val="1C943D44"/>
    <w:rsid w:val="1CA62D52"/>
    <w:rsid w:val="1CB60034"/>
    <w:rsid w:val="1CCE0CDE"/>
    <w:rsid w:val="1CDB7807"/>
    <w:rsid w:val="1CEF1D35"/>
    <w:rsid w:val="1D3D302A"/>
    <w:rsid w:val="1D4F23CA"/>
    <w:rsid w:val="1E0B5EE8"/>
    <w:rsid w:val="1E2D3656"/>
    <w:rsid w:val="1E4C33C6"/>
    <w:rsid w:val="1E6E054E"/>
    <w:rsid w:val="1E721BEF"/>
    <w:rsid w:val="1E956CEE"/>
    <w:rsid w:val="1E9F07E9"/>
    <w:rsid w:val="1ED45D0D"/>
    <w:rsid w:val="1EDB6960"/>
    <w:rsid w:val="1EFF44E0"/>
    <w:rsid w:val="1F3A6EB1"/>
    <w:rsid w:val="1F4D1576"/>
    <w:rsid w:val="1F574963"/>
    <w:rsid w:val="1F687876"/>
    <w:rsid w:val="1F6920B7"/>
    <w:rsid w:val="1F90088B"/>
    <w:rsid w:val="1FD05F20"/>
    <w:rsid w:val="1FED7C0E"/>
    <w:rsid w:val="1FF00CA8"/>
    <w:rsid w:val="2000740A"/>
    <w:rsid w:val="200B5BCC"/>
    <w:rsid w:val="201A1353"/>
    <w:rsid w:val="202575C1"/>
    <w:rsid w:val="20322916"/>
    <w:rsid w:val="203B3BDD"/>
    <w:rsid w:val="207214E8"/>
    <w:rsid w:val="20813B3B"/>
    <w:rsid w:val="209B254E"/>
    <w:rsid w:val="20A04226"/>
    <w:rsid w:val="20C906D4"/>
    <w:rsid w:val="20E4443B"/>
    <w:rsid w:val="21081A2B"/>
    <w:rsid w:val="211251FC"/>
    <w:rsid w:val="214A0260"/>
    <w:rsid w:val="214D7D5C"/>
    <w:rsid w:val="21723438"/>
    <w:rsid w:val="21C548FF"/>
    <w:rsid w:val="21E60504"/>
    <w:rsid w:val="21FD4EF2"/>
    <w:rsid w:val="22237C18"/>
    <w:rsid w:val="222448E5"/>
    <w:rsid w:val="222F297B"/>
    <w:rsid w:val="223E273D"/>
    <w:rsid w:val="22816EBB"/>
    <w:rsid w:val="22864A12"/>
    <w:rsid w:val="22B92E1F"/>
    <w:rsid w:val="22C460EE"/>
    <w:rsid w:val="22C93F89"/>
    <w:rsid w:val="22D12080"/>
    <w:rsid w:val="22E4336D"/>
    <w:rsid w:val="230D4227"/>
    <w:rsid w:val="231D2C2F"/>
    <w:rsid w:val="23255317"/>
    <w:rsid w:val="23354C5E"/>
    <w:rsid w:val="234E34B5"/>
    <w:rsid w:val="23640905"/>
    <w:rsid w:val="23654C96"/>
    <w:rsid w:val="2366369B"/>
    <w:rsid w:val="23771463"/>
    <w:rsid w:val="237F7CA8"/>
    <w:rsid w:val="239E3352"/>
    <w:rsid w:val="23B120CB"/>
    <w:rsid w:val="23B94F9C"/>
    <w:rsid w:val="23D66F52"/>
    <w:rsid w:val="23E17F11"/>
    <w:rsid w:val="24253F45"/>
    <w:rsid w:val="243B08D0"/>
    <w:rsid w:val="24443EDE"/>
    <w:rsid w:val="244E1E4B"/>
    <w:rsid w:val="24763AA5"/>
    <w:rsid w:val="24986AA1"/>
    <w:rsid w:val="24CE3632"/>
    <w:rsid w:val="24CF19FA"/>
    <w:rsid w:val="25190760"/>
    <w:rsid w:val="251D03BB"/>
    <w:rsid w:val="25230478"/>
    <w:rsid w:val="2543506E"/>
    <w:rsid w:val="255801FC"/>
    <w:rsid w:val="258A4735"/>
    <w:rsid w:val="25A3410B"/>
    <w:rsid w:val="25A91633"/>
    <w:rsid w:val="25CE46E5"/>
    <w:rsid w:val="25D75C90"/>
    <w:rsid w:val="25F372B9"/>
    <w:rsid w:val="25F8736D"/>
    <w:rsid w:val="260D2E59"/>
    <w:rsid w:val="26151292"/>
    <w:rsid w:val="261923B1"/>
    <w:rsid w:val="261D4860"/>
    <w:rsid w:val="264912BD"/>
    <w:rsid w:val="266C7558"/>
    <w:rsid w:val="26736681"/>
    <w:rsid w:val="269E62FB"/>
    <w:rsid w:val="26A2140C"/>
    <w:rsid w:val="26A36CEF"/>
    <w:rsid w:val="26AE54EF"/>
    <w:rsid w:val="26AF04C6"/>
    <w:rsid w:val="26B17F38"/>
    <w:rsid w:val="26C94563"/>
    <w:rsid w:val="26D8276D"/>
    <w:rsid w:val="26E87DA4"/>
    <w:rsid w:val="272A6D68"/>
    <w:rsid w:val="2794457E"/>
    <w:rsid w:val="279C3AF5"/>
    <w:rsid w:val="279E6F80"/>
    <w:rsid w:val="27A3155E"/>
    <w:rsid w:val="27A421FB"/>
    <w:rsid w:val="27EE2EC6"/>
    <w:rsid w:val="280761C8"/>
    <w:rsid w:val="282711E3"/>
    <w:rsid w:val="283232BF"/>
    <w:rsid w:val="28334063"/>
    <w:rsid w:val="28371223"/>
    <w:rsid w:val="285A5631"/>
    <w:rsid w:val="28724FDA"/>
    <w:rsid w:val="2898513E"/>
    <w:rsid w:val="28A8158D"/>
    <w:rsid w:val="28B45D9A"/>
    <w:rsid w:val="28DA4018"/>
    <w:rsid w:val="28DC4351"/>
    <w:rsid w:val="28E02224"/>
    <w:rsid w:val="28E133DA"/>
    <w:rsid w:val="28F3504D"/>
    <w:rsid w:val="28F63757"/>
    <w:rsid w:val="2907367A"/>
    <w:rsid w:val="29086432"/>
    <w:rsid w:val="29197AFE"/>
    <w:rsid w:val="297A6C1C"/>
    <w:rsid w:val="298B3CFC"/>
    <w:rsid w:val="29953E2E"/>
    <w:rsid w:val="29BE7447"/>
    <w:rsid w:val="2A0B1F22"/>
    <w:rsid w:val="2A20514A"/>
    <w:rsid w:val="2A3710BA"/>
    <w:rsid w:val="2A3B4728"/>
    <w:rsid w:val="2A5F0366"/>
    <w:rsid w:val="2AFA55A3"/>
    <w:rsid w:val="2AFE063E"/>
    <w:rsid w:val="2B1D0B12"/>
    <w:rsid w:val="2B3A3EA8"/>
    <w:rsid w:val="2B580889"/>
    <w:rsid w:val="2B7315AC"/>
    <w:rsid w:val="2B7F7F15"/>
    <w:rsid w:val="2B822931"/>
    <w:rsid w:val="2B960A80"/>
    <w:rsid w:val="2BA1350A"/>
    <w:rsid w:val="2BB528EF"/>
    <w:rsid w:val="2BCF0D79"/>
    <w:rsid w:val="2BDF5E25"/>
    <w:rsid w:val="2BF25C80"/>
    <w:rsid w:val="2BFB5795"/>
    <w:rsid w:val="2C215A36"/>
    <w:rsid w:val="2C6E2DD0"/>
    <w:rsid w:val="2C7F13D5"/>
    <w:rsid w:val="2C936A32"/>
    <w:rsid w:val="2CBF369E"/>
    <w:rsid w:val="2CC6470B"/>
    <w:rsid w:val="2CC808AE"/>
    <w:rsid w:val="2CCA0EC0"/>
    <w:rsid w:val="2D1345E6"/>
    <w:rsid w:val="2D1D32E5"/>
    <w:rsid w:val="2D210513"/>
    <w:rsid w:val="2D211A07"/>
    <w:rsid w:val="2D251214"/>
    <w:rsid w:val="2D255D13"/>
    <w:rsid w:val="2D2E77CD"/>
    <w:rsid w:val="2D5E3A63"/>
    <w:rsid w:val="2D8F28E2"/>
    <w:rsid w:val="2D93103D"/>
    <w:rsid w:val="2D944040"/>
    <w:rsid w:val="2D98663B"/>
    <w:rsid w:val="2DB31E23"/>
    <w:rsid w:val="2E1E0921"/>
    <w:rsid w:val="2E305A8D"/>
    <w:rsid w:val="2E7C74E5"/>
    <w:rsid w:val="2E8E42C2"/>
    <w:rsid w:val="2E9F20C2"/>
    <w:rsid w:val="2EAD6097"/>
    <w:rsid w:val="2EE1349E"/>
    <w:rsid w:val="2EE97173"/>
    <w:rsid w:val="2EEE7C96"/>
    <w:rsid w:val="2F622542"/>
    <w:rsid w:val="2F636465"/>
    <w:rsid w:val="2F6D1C40"/>
    <w:rsid w:val="2F722D4C"/>
    <w:rsid w:val="2F765081"/>
    <w:rsid w:val="2FCE0FAC"/>
    <w:rsid w:val="2FD37DDD"/>
    <w:rsid w:val="2FD86319"/>
    <w:rsid w:val="303032C8"/>
    <w:rsid w:val="3031195E"/>
    <w:rsid w:val="30395197"/>
    <w:rsid w:val="30406E47"/>
    <w:rsid w:val="30540EE4"/>
    <w:rsid w:val="305838A4"/>
    <w:rsid w:val="307D6270"/>
    <w:rsid w:val="308111C3"/>
    <w:rsid w:val="30861424"/>
    <w:rsid w:val="30AB624A"/>
    <w:rsid w:val="30AD0910"/>
    <w:rsid w:val="30B14226"/>
    <w:rsid w:val="30B429CC"/>
    <w:rsid w:val="30CD73AD"/>
    <w:rsid w:val="30D56F85"/>
    <w:rsid w:val="30DB27A9"/>
    <w:rsid w:val="30F33FD1"/>
    <w:rsid w:val="30FA6CE3"/>
    <w:rsid w:val="30FC502A"/>
    <w:rsid w:val="312532FD"/>
    <w:rsid w:val="31605CDF"/>
    <w:rsid w:val="31646C9B"/>
    <w:rsid w:val="316F60EF"/>
    <w:rsid w:val="31980E90"/>
    <w:rsid w:val="31A54AB3"/>
    <w:rsid w:val="31A56BEB"/>
    <w:rsid w:val="31A6669D"/>
    <w:rsid w:val="31CD665B"/>
    <w:rsid w:val="31E071A7"/>
    <w:rsid w:val="31E816A0"/>
    <w:rsid w:val="32081B43"/>
    <w:rsid w:val="324202D2"/>
    <w:rsid w:val="329055F3"/>
    <w:rsid w:val="32A1736B"/>
    <w:rsid w:val="32AB42BA"/>
    <w:rsid w:val="32BA3FB9"/>
    <w:rsid w:val="32D10A8F"/>
    <w:rsid w:val="33097410"/>
    <w:rsid w:val="33194870"/>
    <w:rsid w:val="331F31AD"/>
    <w:rsid w:val="334D6A25"/>
    <w:rsid w:val="339B2E7D"/>
    <w:rsid w:val="33A645AD"/>
    <w:rsid w:val="33B342BA"/>
    <w:rsid w:val="33B5145D"/>
    <w:rsid w:val="33E95CBD"/>
    <w:rsid w:val="340545BF"/>
    <w:rsid w:val="34095F46"/>
    <w:rsid w:val="3438411A"/>
    <w:rsid w:val="3450046B"/>
    <w:rsid w:val="34880806"/>
    <w:rsid w:val="34981B20"/>
    <w:rsid w:val="34D91C74"/>
    <w:rsid w:val="34DB1989"/>
    <w:rsid w:val="34E1766B"/>
    <w:rsid w:val="34E6265A"/>
    <w:rsid w:val="34F26FD7"/>
    <w:rsid w:val="34F277FF"/>
    <w:rsid w:val="35003C41"/>
    <w:rsid w:val="35055290"/>
    <w:rsid w:val="351E4234"/>
    <w:rsid w:val="352B74C9"/>
    <w:rsid w:val="35324166"/>
    <w:rsid w:val="355B2491"/>
    <w:rsid w:val="35684727"/>
    <w:rsid w:val="3574668E"/>
    <w:rsid w:val="357D592F"/>
    <w:rsid w:val="359370A8"/>
    <w:rsid w:val="35966F6C"/>
    <w:rsid w:val="359D25CA"/>
    <w:rsid w:val="35A41684"/>
    <w:rsid w:val="35A803A5"/>
    <w:rsid w:val="35B4398B"/>
    <w:rsid w:val="35CC5FC2"/>
    <w:rsid w:val="35D16F08"/>
    <w:rsid w:val="35EB79D0"/>
    <w:rsid w:val="35F87634"/>
    <w:rsid w:val="36285F18"/>
    <w:rsid w:val="363259E8"/>
    <w:rsid w:val="3633774F"/>
    <w:rsid w:val="365925C9"/>
    <w:rsid w:val="366C5C33"/>
    <w:rsid w:val="369B39F1"/>
    <w:rsid w:val="36A4608D"/>
    <w:rsid w:val="36E10011"/>
    <w:rsid w:val="36FF2C90"/>
    <w:rsid w:val="37055FC5"/>
    <w:rsid w:val="37421883"/>
    <w:rsid w:val="376D0231"/>
    <w:rsid w:val="37794789"/>
    <w:rsid w:val="37CB2EED"/>
    <w:rsid w:val="37D66B4A"/>
    <w:rsid w:val="3804552A"/>
    <w:rsid w:val="380641A7"/>
    <w:rsid w:val="381C030D"/>
    <w:rsid w:val="3833721A"/>
    <w:rsid w:val="38751795"/>
    <w:rsid w:val="38B0576E"/>
    <w:rsid w:val="38B46CA3"/>
    <w:rsid w:val="38B81F4B"/>
    <w:rsid w:val="38C91464"/>
    <w:rsid w:val="38D23B3A"/>
    <w:rsid w:val="38F1550E"/>
    <w:rsid w:val="38F8407F"/>
    <w:rsid w:val="39145644"/>
    <w:rsid w:val="39151231"/>
    <w:rsid w:val="39185A06"/>
    <w:rsid w:val="398226DA"/>
    <w:rsid w:val="39A61955"/>
    <w:rsid w:val="39B6204E"/>
    <w:rsid w:val="39D063D4"/>
    <w:rsid w:val="3A536AED"/>
    <w:rsid w:val="3A67009A"/>
    <w:rsid w:val="3A6B633B"/>
    <w:rsid w:val="3AA00288"/>
    <w:rsid w:val="3AA7292F"/>
    <w:rsid w:val="3AAB676A"/>
    <w:rsid w:val="3AB6755F"/>
    <w:rsid w:val="3AD0391B"/>
    <w:rsid w:val="3AD241EA"/>
    <w:rsid w:val="3AD97460"/>
    <w:rsid w:val="3AE67BC0"/>
    <w:rsid w:val="3B287170"/>
    <w:rsid w:val="3B3C5F2A"/>
    <w:rsid w:val="3B7A6F9B"/>
    <w:rsid w:val="3B81689C"/>
    <w:rsid w:val="3B844A54"/>
    <w:rsid w:val="3B917759"/>
    <w:rsid w:val="3BC15E4C"/>
    <w:rsid w:val="3BD67A3D"/>
    <w:rsid w:val="3BF53D7D"/>
    <w:rsid w:val="3BFE3753"/>
    <w:rsid w:val="3C031296"/>
    <w:rsid w:val="3C034072"/>
    <w:rsid w:val="3C256ACC"/>
    <w:rsid w:val="3C346AD4"/>
    <w:rsid w:val="3C731DD3"/>
    <w:rsid w:val="3C7943AE"/>
    <w:rsid w:val="3C860228"/>
    <w:rsid w:val="3CA13083"/>
    <w:rsid w:val="3CA705AA"/>
    <w:rsid w:val="3CA96507"/>
    <w:rsid w:val="3CC4557F"/>
    <w:rsid w:val="3CCE6CB1"/>
    <w:rsid w:val="3CD1719B"/>
    <w:rsid w:val="3CE56A51"/>
    <w:rsid w:val="3D080E08"/>
    <w:rsid w:val="3D2B53D0"/>
    <w:rsid w:val="3D33651E"/>
    <w:rsid w:val="3D4D5A6B"/>
    <w:rsid w:val="3D671619"/>
    <w:rsid w:val="3D722A8E"/>
    <w:rsid w:val="3D7A3A8E"/>
    <w:rsid w:val="3D920D81"/>
    <w:rsid w:val="3D955FC4"/>
    <w:rsid w:val="3DB20C7F"/>
    <w:rsid w:val="3DB80B7A"/>
    <w:rsid w:val="3DBC36C8"/>
    <w:rsid w:val="3DC34B0E"/>
    <w:rsid w:val="3E023F52"/>
    <w:rsid w:val="3E0902A6"/>
    <w:rsid w:val="3E0C383E"/>
    <w:rsid w:val="3E2009E8"/>
    <w:rsid w:val="3E275611"/>
    <w:rsid w:val="3E2D1D53"/>
    <w:rsid w:val="3E32279F"/>
    <w:rsid w:val="3E323036"/>
    <w:rsid w:val="3E4C46D5"/>
    <w:rsid w:val="3E570350"/>
    <w:rsid w:val="3E5D2CDB"/>
    <w:rsid w:val="3E7F4B13"/>
    <w:rsid w:val="3E9371A7"/>
    <w:rsid w:val="3EC2182D"/>
    <w:rsid w:val="3ED54663"/>
    <w:rsid w:val="3ED6021B"/>
    <w:rsid w:val="3EF521CA"/>
    <w:rsid w:val="3F001CB8"/>
    <w:rsid w:val="3F041E8F"/>
    <w:rsid w:val="3F33607F"/>
    <w:rsid w:val="3F760CDB"/>
    <w:rsid w:val="3F791579"/>
    <w:rsid w:val="3F861AC8"/>
    <w:rsid w:val="3F9F4835"/>
    <w:rsid w:val="3FB05ED5"/>
    <w:rsid w:val="3FBC3EDE"/>
    <w:rsid w:val="3FC373CC"/>
    <w:rsid w:val="3FD53FFC"/>
    <w:rsid w:val="3FF575B5"/>
    <w:rsid w:val="3FFB595D"/>
    <w:rsid w:val="40003719"/>
    <w:rsid w:val="402B4757"/>
    <w:rsid w:val="4035176E"/>
    <w:rsid w:val="405D12F7"/>
    <w:rsid w:val="407757C3"/>
    <w:rsid w:val="408B1F56"/>
    <w:rsid w:val="40937515"/>
    <w:rsid w:val="409F2555"/>
    <w:rsid w:val="4116250A"/>
    <w:rsid w:val="41367A07"/>
    <w:rsid w:val="413C1F75"/>
    <w:rsid w:val="415A3DC2"/>
    <w:rsid w:val="41617D81"/>
    <w:rsid w:val="416869B5"/>
    <w:rsid w:val="41942A65"/>
    <w:rsid w:val="41A22A05"/>
    <w:rsid w:val="42061B14"/>
    <w:rsid w:val="420E26F9"/>
    <w:rsid w:val="42105A60"/>
    <w:rsid w:val="42114055"/>
    <w:rsid w:val="4268266A"/>
    <w:rsid w:val="427377B9"/>
    <w:rsid w:val="427A4354"/>
    <w:rsid w:val="427B723C"/>
    <w:rsid w:val="428B28CA"/>
    <w:rsid w:val="42966AC1"/>
    <w:rsid w:val="42A80EE5"/>
    <w:rsid w:val="42AA7455"/>
    <w:rsid w:val="42CE1AD4"/>
    <w:rsid w:val="42E3677B"/>
    <w:rsid w:val="42FD06F6"/>
    <w:rsid w:val="4303060C"/>
    <w:rsid w:val="43090023"/>
    <w:rsid w:val="433E35C5"/>
    <w:rsid w:val="43796D18"/>
    <w:rsid w:val="43A4575B"/>
    <w:rsid w:val="43AF7CBC"/>
    <w:rsid w:val="43E04A6C"/>
    <w:rsid w:val="43F33758"/>
    <w:rsid w:val="440E7287"/>
    <w:rsid w:val="4411626A"/>
    <w:rsid w:val="44353237"/>
    <w:rsid w:val="44495B70"/>
    <w:rsid w:val="444A6D0B"/>
    <w:rsid w:val="445C1F1C"/>
    <w:rsid w:val="447A4F84"/>
    <w:rsid w:val="447B63E8"/>
    <w:rsid w:val="44D02C0B"/>
    <w:rsid w:val="44DC2639"/>
    <w:rsid w:val="452B6DBF"/>
    <w:rsid w:val="4549502C"/>
    <w:rsid w:val="45556D9C"/>
    <w:rsid w:val="4564652C"/>
    <w:rsid w:val="459E49E0"/>
    <w:rsid w:val="45C65501"/>
    <w:rsid w:val="45DC45E4"/>
    <w:rsid w:val="45FD1774"/>
    <w:rsid w:val="462F6C86"/>
    <w:rsid w:val="465F5D66"/>
    <w:rsid w:val="466D3268"/>
    <w:rsid w:val="46936522"/>
    <w:rsid w:val="469626B6"/>
    <w:rsid w:val="469909C4"/>
    <w:rsid w:val="46B3703E"/>
    <w:rsid w:val="46CE29C2"/>
    <w:rsid w:val="46DD6C5B"/>
    <w:rsid w:val="46E1330F"/>
    <w:rsid w:val="46F75E63"/>
    <w:rsid w:val="47001853"/>
    <w:rsid w:val="47216221"/>
    <w:rsid w:val="47361B32"/>
    <w:rsid w:val="476C0758"/>
    <w:rsid w:val="478245C0"/>
    <w:rsid w:val="47AE40CB"/>
    <w:rsid w:val="47B17B1A"/>
    <w:rsid w:val="47B754FD"/>
    <w:rsid w:val="47F16EFC"/>
    <w:rsid w:val="484E1AC6"/>
    <w:rsid w:val="48502D8D"/>
    <w:rsid w:val="48633171"/>
    <w:rsid w:val="48745328"/>
    <w:rsid w:val="48914960"/>
    <w:rsid w:val="489C6B40"/>
    <w:rsid w:val="48A00EA8"/>
    <w:rsid w:val="48B002BA"/>
    <w:rsid w:val="48B11319"/>
    <w:rsid w:val="48C53402"/>
    <w:rsid w:val="48C561EC"/>
    <w:rsid w:val="48E81208"/>
    <w:rsid w:val="48FD47BB"/>
    <w:rsid w:val="49016ED6"/>
    <w:rsid w:val="49085768"/>
    <w:rsid w:val="490E7392"/>
    <w:rsid w:val="492D3A3D"/>
    <w:rsid w:val="49321523"/>
    <w:rsid w:val="49501EED"/>
    <w:rsid w:val="495B1602"/>
    <w:rsid w:val="497A0172"/>
    <w:rsid w:val="498040F4"/>
    <w:rsid w:val="4A1C356A"/>
    <w:rsid w:val="4A301213"/>
    <w:rsid w:val="4A4031F8"/>
    <w:rsid w:val="4A7467A2"/>
    <w:rsid w:val="4A8C4524"/>
    <w:rsid w:val="4A960CFA"/>
    <w:rsid w:val="4AAA60D5"/>
    <w:rsid w:val="4ADD0115"/>
    <w:rsid w:val="4AFA636E"/>
    <w:rsid w:val="4B1F627E"/>
    <w:rsid w:val="4B203649"/>
    <w:rsid w:val="4B210B23"/>
    <w:rsid w:val="4B76704F"/>
    <w:rsid w:val="4B7779CF"/>
    <w:rsid w:val="4B784EB3"/>
    <w:rsid w:val="4B7C0402"/>
    <w:rsid w:val="4B846334"/>
    <w:rsid w:val="4BA10E78"/>
    <w:rsid w:val="4BA27E35"/>
    <w:rsid w:val="4BB81230"/>
    <w:rsid w:val="4BC168D9"/>
    <w:rsid w:val="4BCF540F"/>
    <w:rsid w:val="4BD307C4"/>
    <w:rsid w:val="4BDD02E0"/>
    <w:rsid w:val="4C0757F6"/>
    <w:rsid w:val="4C334837"/>
    <w:rsid w:val="4C377C8E"/>
    <w:rsid w:val="4C8074BA"/>
    <w:rsid w:val="4C8754A1"/>
    <w:rsid w:val="4CC000FA"/>
    <w:rsid w:val="4CCA4C88"/>
    <w:rsid w:val="4CE07535"/>
    <w:rsid w:val="4CEB1FCD"/>
    <w:rsid w:val="4D1C41D4"/>
    <w:rsid w:val="4D1D44A5"/>
    <w:rsid w:val="4D2F48F9"/>
    <w:rsid w:val="4D30318D"/>
    <w:rsid w:val="4D3B369E"/>
    <w:rsid w:val="4D543869"/>
    <w:rsid w:val="4D675957"/>
    <w:rsid w:val="4D7968D4"/>
    <w:rsid w:val="4DA157A2"/>
    <w:rsid w:val="4DA47200"/>
    <w:rsid w:val="4DAC5F81"/>
    <w:rsid w:val="4DAF5485"/>
    <w:rsid w:val="4DB56C16"/>
    <w:rsid w:val="4DDB3F0C"/>
    <w:rsid w:val="4DDD0AC1"/>
    <w:rsid w:val="4DEC4F47"/>
    <w:rsid w:val="4E3D0A38"/>
    <w:rsid w:val="4E476F89"/>
    <w:rsid w:val="4E560B7F"/>
    <w:rsid w:val="4E601051"/>
    <w:rsid w:val="4E62691B"/>
    <w:rsid w:val="4E87103E"/>
    <w:rsid w:val="4E890125"/>
    <w:rsid w:val="4E8A085A"/>
    <w:rsid w:val="4EAE2230"/>
    <w:rsid w:val="4EBD752B"/>
    <w:rsid w:val="4ED13B54"/>
    <w:rsid w:val="4ED877E8"/>
    <w:rsid w:val="4EE870C9"/>
    <w:rsid w:val="4EE92938"/>
    <w:rsid w:val="4EFE4021"/>
    <w:rsid w:val="4F163DBF"/>
    <w:rsid w:val="4F337001"/>
    <w:rsid w:val="4F452D4F"/>
    <w:rsid w:val="4F6D515E"/>
    <w:rsid w:val="4F7C73C8"/>
    <w:rsid w:val="4FA03F49"/>
    <w:rsid w:val="4FAB3562"/>
    <w:rsid w:val="4FCF6BA6"/>
    <w:rsid w:val="4FD57776"/>
    <w:rsid w:val="4FE17635"/>
    <w:rsid w:val="4FE55DF9"/>
    <w:rsid w:val="4FE676CD"/>
    <w:rsid w:val="4FEC3D23"/>
    <w:rsid w:val="50410C11"/>
    <w:rsid w:val="50590BBF"/>
    <w:rsid w:val="50994970"/>
    <w:rsid w:val="50A951FE"/>
    <w:rsid w:val="50BF18C6"/>
    <w:rsid w:val="50D77DF7"/>
    <w:rsid w:val="50FA0EB0"/>
    <w:rsid w:val="51007CDE"/>
    <w:rsid w:val="510E2A50"/>
    <w:rsid w:val="51572343"/>
    <w:rsid w:val="517A27F7"/>
    <w:rsid w:val="51905DB7"/>
    <w:rsid w:val="51910447"/>
    <w:rsid w:val="51B51123"/>
    <w:rsid w:val="51B550BE"/>
    <w:rsid w:val="51B71E1E"/>
    <w:rsid w:val="51B83495"/>
    <w:rsid w:val="51BE7556"/>
    <w:rsid w:val="51C15A30"/>
    <w:rsid w:val="51D722D8"/>
    <w:rsid w:val="51ED2A7E"/>
    <w:rsid w:val="51F830B6"/>
    <w:rsid w:val="522C1164"/>
    <w:rsid w:val="523A5D03"/>
    <w:rsid w:val="52470D86"/>
    <w:rsid w:val="52682885"/>
    <w:rsid w:val="52992F05"/>
    <w:rsid w:val="529B372C"/>
    <w:rsid w:val="52A37CD4"/>
    <w:rsid w:val="52BE5E28"/>
    <w:rsid w:val="52F11253"/>
    <w:rsid w:val="52FF335F"/>
    <w:rsid w:val="532F578C"/>
    <w:rsid w:val="5357774B"/>
    <w:rsid w:val="53730472"/>
    <w:rsid w:val="53861574"/>
    <w:rsid w:val="53DA0B5B"/>
    <w:rsid w:val="53FE4C63"/>
    <w:rsid w:val="540804EF"/>
    <w:rsid w:val="54105012"/>
    <w:rsid w:val="5415637A"/>
    <w:rsid w:val="542739C7"/>
    <w:rsid w:val="543148AD"/>
    <w:rsid w:val="54397942"/>
    <w:rsid w:val="544047BB"/>
    <w:rsid w:val="54420D5A"/>
    <w:rsid w:val="54562207"/>
    <w:rsid w:val="546634CE"/>
    <w:rsid w:val="546F1F8C"/>
    <w:rsid w:val="54820164"/>
    <w:rsid w:val="548A5375"/>
    <w:rsid w:val="54945EE0"/>
    <w:rsid w:val="54B0354A"/>
    <w:rsid w:val="54C34692"/>
    <w:rsid w:val="54C85773"/>
    <w:rsid w:val="54CE3BBD"/>
    <w:rsid w:val="55266DEE"/>
    <w:rsid w:val="552A4A73"/>
    <w:rsid w:val="55417605"/>
    <w:rsid w:val="55456FB1"/>
    <w:rsid w:val="554E27C6"/>
    <w:rsid w:val="554E46E3"/>
    <w:rsid w:val="55513C6B"/>
    <w:rsid w:val="555944CB"/>
    <w:rsid w:val="559272B2"/>
    <w:rsid w:val="559B4E2C"/>
    <w:rsid w:val="55AF5621"/>
    <w:rsid w:val="55C82341"/>
    <w:rsid w:val="55C83162"/>
    <w:rsid w:val="55D416DD"/>
    <w:rsid w:val="55D944EC"/>
    <w:rsid w:val="560B1812"/>
    <w:rsid w:val="561F6865"/>
    <w:rsid w:val="563C0BD9"/>
    <w:rsid w:val="56774869"/>
    <w:rsid w:val="56943910"/>
    <w:rsid w:val="569E65AC"/>
    <w:rsid w:val="56C152E4"/>
    <w:rsid w:val="56DF50D4"/>
    <w:rsid w:val="56E73681"/>
    <w:rsid w:val="56EC0B74"/>
    <w:rsid w:val="56F4710D"/>
    <w:rsid w:val="570B3B3D"/>
    <w:rsid w:val="57146F0C"/>
    <w:rsid w:val="57384DCF"/>
    <w:rsid w:val="5740379F"/>
    <w:rsid w:val="57493284"/>
    <w:rsid w:val="57512CC5"/>
    <w:rsid w:val="57624602"/>
    <w:rsid w:val="57724613"/>
    <w:rsid w:val="578A3ACF"/>
    <w:rsid w:val="57B60644"/>
    <w:rsid w:val="57E57523"/>
    <w:rsid w:val="57F12E78"/>
    <w:rsid w:val="57F41406"/>
    <w:rsid w:val="58011618"/>
    <w:rsid w:val="580947AA"/>
    <w:rsid w:val="580C6C6F"/>
    <w:rsid w:val="582B3613"/>
    <w:rsid w:val="58461FBA"/>
    <w:rsid w:val="587554BE"/>
    <w:rsid w:val="58876522"/>
    <w:rsid w:val="58A7742D"/>
    <w:rsid w:val="58C81D27"/>
    <w:rsid w:val="58DF281C"/>
    <w:rsid w:val="58EB19A5"/>
    <w:rsid w:val="58EB23B0"/>
    <w:rsid w:val="590D2634"/>
    <w:rsid w:val="59323ADB"/>
    <w:rsid w:val="59341AF1"/>
    <w:rsid w:val="59525F6C"/>
    <w:rsid w:val="595C4EE9"/>
    <w:rsid w:val="595F7CD6"/>
    <w:rsid w:val="59634148"/>
    <w:rsid w:val="59653FD7"/>
    <w:rsid w:val="596C4966"/>
    <w:rsid w:val="59711E73"/>
    <w:rsid w:val="59722238"/>
    <w:rsid w:val="597621FC"/>
    <w:rsid w:val="597A3E2B"/>
    <w:rsid w:val="59D66545"/>
    <w:rsid w:val="59F757AF"/>
    <w:rsid w:val="5A3E7CE9"/>
    <w:rsid w:val="5A457944"/>
    <w:rsid w:val="5A5757C5"/>
    <w:rsid w:val="5A5D1C1A"/>
    <w:rsid w:val="5A6513FC"/>
    <w:rsid w:val="5A8D5029"/>
    <w:rsid w:val="5AAA52E4"/>
    <w:rsid w:val="5ABC181F"/>
    <w:rsid w:val="5AF27587"/>
    <w:rsid w:val="5AFB60D0"/>
    <w:rsid w:val="5B1A3613"/>
    <w:rsid w:val="5B3D5300"/>
    <w:rsid w:val="5B4777EC"/>
    <w:rsid w:val="5B517EE9"/>
    <w:rsid w:val="5B642A75"/>
    <w:rsid w:val="5B6A40F0"/>
    <w:rsid w:val="5BAF7E16"/>
    <w:rsid w:val="5BB6654F"/>
    <w:rsid w:val="5BBC2754"/>
    <w:rsid w:val="5BBF0E06"/>
    <w:rsid w:val="5BCC0338"/>
    <w:rsid w:val="5BCD3F96"/>
    <w:rsid w:val="5BE219D4"/>
    <w:rsid w:val="5BE51B4D"/>
    <w:rsid w:val="5C0C7DAD"/>
    <w:rsid w:val="5C3F7C1D"/>
    <w:rsid w:val="5C73018C"/>
    <w:rsid w:val="5C81014C"/>
    <w:rsid w:val="5C81257F"/>
    <w:rsid w:val="5CE253B2"/>
    <w:rsid w:val="5CF22B74"/>
    <w:rsid w:val="5D0429F2"/>
    <w:rsid w:val="5D1835DB"/>
    <w:rsid w:val="5D2213BF"/>
    <w:rsid w:val="5D38046E"/>
    <w:rsid w:val="5D4555D7"/>
    <w:rsid w:val="5D46287E"/>
    <w:rsid w:val="5D4F7161"/>
    <w:rsid w:val="5D9C1D9C"/>
    <w:rsid w:val="5DA000C2"/>
    <w:rsid w:val="5DAD57B0"/>
    <w:rsid w:val="5DEA67A2"/>
    <w:rsid w:val="5E0E1F68"/>
    <w:rsid w:val="5E0F71B2"/>
    <w:rsid w:val="5E2B17EA"/>
    <w:rsid w:val="5E2C6C95"/>
    <w:rsid w:val="5E511B28"/>
    <w:rsid w:val="5EAC4802"/>
    <w:rsid w:val="5EB0482E"/>
    <w:rsid w:val="5ED03998"/>
    <w:rsid w:val="5EE16CD9"/>
    <w:rsid w:val="5F0B3BA2"/>
    <w:rsid w:val="5F17784A"/>
    <w:rsid w:val="5F32023C"/>
    <w:rsid w:val="5F485D88"/>
    <w:rsid w:val="5F4C47B6"/>
    <w:rsid w:val="5F6413B5"/>
    <w:rsid w:val="5F6D18DD"/>
    <w:rsid w:val="5F891640"/>
    <w:rsid w:val="5F891B8B"/>
    <w:rsid w:val="5F9A3652"/>
    <w:rsid w:val="5FB37D16"/>
    <w:rsid w:val="5FE85710"/>
    <w:rsid w:val="60087FF4"/>
    <w:rsid w:val="604A63DA"/>
    <w:rsid w:val="607D1A1A"/>
    <w:rsid w:val="60B41050"/>
    <w:rsid w:val="60D973FA"/>
    <w:rsid w:val="60DD308D"/>
    <w:rsid w:val="60E3280A"/>
    <w:rsid w:val="60E96B2D"/>
    <w:rsid w:val="61051CEC"/>
    <w:rsid w:val="61494760"/>
    <w:rsid w:val="6150087E"/>
    <w:rsid w:val="617A7340"/>
    <w:rsid w:val="618845D6"/>
    <w:rsid w:val="619D3B2E"/>
    <w:rsid w:val="61C056BF"/>
    <w:rsid w:val="61D32122"/>
    <w:rsid w:val="61E96832"/>
    <w:rsid w:val="61FE73DE"/>
    <w:rsid w:val="62003EF5"/>
    <w:rsid w:val="620947F7"/>
    <w:rsid w:val="621731B5"/>
    <w:rsid w:val="62195E03"/>
    <w:rsid w:val="622309F6"/>
    <w:rsid w:val="624C02C7"/>
    <w:rsid w:val="626F029B"/>
    <w:rsid w:val="627A6536"/>
    <w:rsid w:val="62966581"/>
    <w:rsid w:val="62C73E17"/>
    <w:rsid w:val="62D12BA9"/>
    <w:rsid w:val="62F803AF"/>
    <w:rsid w:val="62FF6BFA"/>
    <w:rsid w:val="630473DD"/>
    <w:rsid w:val="63296A5D"/>
    <w:rsid w:val="632D5443"/>
    <w:rsid w:val="632D5C0C"/>
    <w:rsid w:val="633601B4"/>
    <w:rsid w:val="63520DC4"/>
    <w:rsid w:val="635B6832"/>
    <w:rsid w:val="63700133"/>
    <w:rsid w:val="637D16AB"/>
    <w:rsid w:val="63EA2386"/>
    <w:rsid w:val="64044369"/>
    <w:rsid w:val="64081D27"/>
    <w:rsid w:val="64116B68"/>
    <w:rsid w:val="64121BFB"/>
    <w:rsid w:val="64466129"/>
    <w:rsid w:val="6473627A"/>
    <w:rsid w:val="647804B5"/>
    <w:rsid w:val="6499714A"/>
    <w:rsid w:val="64A86476"/>
    <w:rsid w:val="64AA7302"/>
    <w:rsid w:val="64C06227"/>
    <w:rsid w:val="64D53E62"/>
    <w:rsid w:val="64F12F62"/>
    <w:rsid w:val="655178EC"/>
    <w:rsid w:val="6565334D"/>
    <w:rsid w:val="65683D8E"/>
    <w:rsid w:val="656B59D2"/>
    <w:rsid w:val="6580479D"/>
    <w:rsid w:val="658101E6"/>
    <w:rsid w:val="658748E6"/>
    <w:rsid w:val="65992E2C"/>
    <w:rsid w:val="65A67EBD"/>
    <w:rsid w:val="65A820E8"/>
    <w:rsid w:val="65E058E9"/>
    <w:rsid w:val="65EE68D7"/>
    <w:rsid w:val="65FC64AD"/>
    <w:rsid w:val="66033B69"/>
    <w:rsid w:val="6637788A"/>
    <w:rsid w:val="66536A92"/>
    <w:rsid w:val="66592E4B"/>
    <w:rsid w:val="665F12AB"/>
    <w:rsid w:val="66702C12"/>
    <w:rsid w:val="667805C2"/>
    <w:rsid w:val="66831BB8"/>
    <w:rsid w:val="66993E56"/>
    <w:rsid w:val="670809CA"/>
    <w:rsid w:val="670E4D30"/>
    <w:rsid w:val="671B3196"/>
    <w:rsid w:val="67295AFE"/>
    <w:rsid w:val="678F754A"/>
    <w:rsid w:val="67FE6586"/>
    <w:rsid w:val="680742D7"/>
    <w:rsid w:val="681368DC"/>
    <w:rsid w:val="681F7E4E"/>
    <w:rsid w:val="68216473"/>
    <w:rsid w:val="686D7D89"/>
    <w:rsid w:val="687E3DA7"/>
    <w:rsid w:val="68C57D5C"/>
    <w:rsid w:val="68D52E10"/>
    <w:rsid w:val="68E03B95"/>
    <w:rsid w:val="68F41D33"/>
    <w:rsid w:val="690627DA"/>
    <w:rsid w:val="6906681C"/>
    <w:rsid w:val="690E0C45"/>
    <w:rsid w:val="6913488B"/>
    <w:rsid w:val="692568E7"/>
    <w:rsid w:val="692B5BE9"/>
    <w:rsid w:val="69384D98"/>
    <w:rsid w:val="6958659D"/>
    <w:rsid w:val="696757C5"/>
    <w:rsid w:val="698A1B50"/>
    <w:rsid w:val="69A82DCE"/>
    <w:rsid w:val="69B206B6"/>
    <w:rsid w:val="69B8782D"/>
    <w:rsid w:val="69C417AC"/>
    <w:rsid w:val="69C93A4E"/>
    <w:rsid w:val="69DF795F"/>
    <w:rsid w:val="69EE18E1"/>
    <w:rsid w:val="69F17802"/>
    <w:rsid w:val="6A1103E3"/>
    <w:rsid w:val="6A123ECC"/>
    <w:rsid w:val="6A266C71"/>
    <w:rsid w:val="6A2C0B85"/>
    <w:rsid w:val="6A47074D"/>
    <w:rsid w:val="6A70368B"/>
    <w:rsid w:val="6A7235DB"/>
    <w:rsid w:val="6A922E25"/>
    <w:rsid w:val="6AAB2698"/>
    <w:rsid w:val="6AAC7CE1"/>
    <w:rsid w:val="6ABC6F57"/>
    <w:rsid w:val="6AC756B2"/>
    <w:rsid w:val="6AF05EE2"/>
    <w:rsid w:val="6B1A2C65"/>
    <w:rsid w:val="6B1F5B4A"/>
    <w:rsid w:val="6B2B6FDF"/>
    <w:rsid w:val="6B371301"/>
    <w:rsid w:val="6B5D6F90"/>
    <w:rsid w:val="6B8C2AB9"/>
    <w:rsid w:val="6BAC4A30"/>
    <w:rsid w:val="6BB15578"/>
    <w:rsid w:val="6BC14A05"/>
    <w:rsid w:val="6C1C181E"/>
    <w:rsid w:val="6C2556F8"/>
    <w:rsid w:val="6C4A40EE"/>
    <w:rsid w:val="6C501579"/>
    <w:rsid w:val="6C542569"/>
    <w:rsid w:val="6C65745D"/>
    <w:rsid w:val="6C7F6710"/>
    <w:rsid w:val="6C865D58"/>
    <w:rsid w:val="6C883A48"/>
    <w:rsid w:val="6C997652"/>
    <w:rsid w:val="6CA41A6F"/>
    <w:rsid w:val="6CA67320"/>
    <w:rsid w:val="6CAB5B18"/>
    <w:rsid w:val="6CC6728B"/>
    <w:rsid w:val="6CD96D30"/>
    <w:rsid w:val="6CDB459B"/>
    <w:rsid w:val="6CE7433B"/>
    <w:rsid w:val="6D007988"/>
    <w:rsid w:val="6D083751"/>
    <w:rsid w:val="6D091A25"/>
    <w:rsid w:val="6D19083B"/>
    <w:rsid w:val="6D1D6D71"/>
    <w:rsid w:val="6D41626B"/>
    <w:rsid w:val="6D535020"/>
    <w:rsid w:val="6D594A5B"/>
    <w:rsid w:val="6D7B0C3F"/>
    <w:rsid w:val="6DA11FF4"/>
    <w:rsid w:val="6DA3492E"/>
    <w:rsid w:val="6DB27E25"/>
    <w:rsid w:val="6DB860B1"/>
    <w:rsid w:val="6DBB1BC3"/>
    <w:rsid w:val="6DC35036"/>
    <w:rsid w:val="6DE312BD"/>
    <w:rsid w:val="6DFA6587"/>
    <w:rsid w:val="6E005779"/>
    <w:rsid w:val="6E216FED"/>
    <w:rsid w:val="6E227C3D"/>
    <w:rsid w:val="6E315718"/>
    <w:rsid w:val="6E350FCD"/>
    <w:rsid w:val="6E3A136F"/>
    <w:rsid w:val="6E437B8B"/>
    <w:rsid w:val="6E494B01"/>
    <w:rsid w:val="6E66439A"/>
    <w:rsid w:val="6E6D2677"/>
    <w:rsid w:val="6E766AFA"/>
    <w:rsid w:val="6E830A40"/>
    <w:rsid w:val="6EA57BC1"/>
    <w:rsid w:val="6EBD021A"/>
    <w:rsid w:val="6F01520A"/>
    <w:rsid w:val="6F076055"/>
    <w:rsid w:val="6F0F027C"/>
    <w:rsid w:val="6F275CD5"/>
    <w:rsid w:val="6F3A6926"/>
    <w:rsid w:val="6F490D9F"/>
    <w:rsid w:val="6F8941C5"/>
    <w:rsid w:val="6F984BB9"/>
    <w:rsid w:val="6FB93999"/>
    <w:rsid w:val="6FBC317D"/>
    <w:rsid w:val="6FC66478"/>
    <w:rsid w:val="6FF34854"/>
    <w:rsid w:val="6FFB7FE5"/>
    <w:rsid w:val="70072715"/>
    <w:rsid w:val="702730FE"/>
    <w:rsid w:val="702A2C81"/>
    <w:rsid w:val="70372FDD"/>
    <w:rsid w:val="707C0372"/>
    <w:rsid w:val="70993B9E"/>
    <w:rsid w:val="70C7085E"/>
    <w:rsid w:val="70C7382D"/>
    <w:rsid w:val="70CD16ED"/>
    <w:rsid w:val="70E13933"/>
    <w:rsid w:val="70E5168C"/>
    <w:rsid w:val="70F52F4C"/>
    <w:rsid w:val="70FB6955"/>
    <w:rsid w:val="71133D70"/>
    <w:rsid w:val="71237FDD"/>
    <w:rsid w:val="712D3B31"/>
    <w:rsid w:val="714F0F61"/>
    <w:rsid w:val="716776A2"/>
    <w:rsid w:val="71B90B42"/>
    <w:rsid w:val="71C26994"/>
    <w:rsid w:val="71E7573C"/>
    <w:rsid w:val="71FD2FD3"/>
    <w:rsid w:val="721133CD"/>
    <w:rsid w:val="723058D8"/>
    <w:rsid w:val="72771DDB"/>
    <w:rsid w:val="72783E8E"/>
    <w:rsid w:val="72CF29C2"/>
    <w:rsid w:val="72CF549E"/>
    <w:rsid w:val="72D80F1B"/>
    <w:rsid w:val="72E332B8"/>
    <w:rsid w:val="72EB143A"/>
    <w:rsid w:val="72F93C7D"/>
    <w:rsid w:val="72FC7024"/>
    <w:rsid w:val="731B117F"/>
    <w:rsid w:val="732A5B0E"/>
    <w:rsid w:val="73556962"/>
    <w:rsid w:val="737C1FCC"/>
    <w:rsid w:val="738F7497"/>
    <w:rsid w:val="73A23AE3"/>
    <w:rsid w:val="73AC5594"/>
    <w:rsid w:val="73B72725"/>
    <w:rsid w:val="73BA7408"/>
    <w:rsid w:val="73CF2134"/>
    <w:rsid w:val="73DF7C64"/>
    <w:rsid w:val="73E917DC"/>
    <w:rsid w:val="741541A9"/>
    <w:rsid w:val="74167605"/>
    <w:rsid w:val="74397CD4"/>
    <w:rsid w:val="74453C64"/>
    <w:rsid w:val="745C6ABF"/>
    <w:rsid w:val="746B1894"/>
    <w:rsid w:val="747D5A44"/>
    <w:rsid w:val="74AA2825"/>
    <w:rsid w:val="74AB20EC"/>
    <w:rsid w:val="74D930C5"/>
    <w:rsid w:val="74D962AC"/>
    <w:rsid w:val="74E67E76"/>
    <w:rsid w:val="74EC6695"/>
    <w:rsid w:val="75084752"/>
    <w:rsid w:val="751467C7"/>
    <w:rsid w:val="751F2925"/>
    <w:rsid w:val="75204CB4"/>
    <w:rsid w:val="75273831"/>
    <w:rsid w:val="753E3775"/>
    <w:rsid w:val="75685743"/>
    <w:rsid w:val="758029AB"/>
    <w:rsid w:val="75BE57B7"/>
    <w:rsid w:val="75CF6D6C"/>
    <w:rsid w:val="75F11D28"/>
    <w:rsid w:val="761F5DF9"/>
    <w:rsid w:val="76577444"/>
    <w:rsid w:val="76645630"/>
    <w:rsid w:val="768148D2"/>
    <w:rsid w:val="769D552C"/>
    <w:rsid w:val="76A11871"/>
    <w:rsid w:val="76A71D80"/>
    <w:rsid w:val="76CC018E"/>
    <w:rsid w:val="76D25090"/>
    <w:rsid w:val="76E332EA"/>
    <w:rsid w:val="77061F71"/>
    <w:rsid w:val="771E3243"/>
    <w:rsid w:val="771E4A38"/>
    <w:rsid w:val="772A0D14"/>
    <w:rsid w:val="77313CC5"/>
    <w:rsid w:val="77314185"/>
    <w:rsid w:val="773B338A"/>
    <w:rsid w:val="77422769"/>
    <w:rsid w:val="77422BCE"/>
    <w:rsid w:val="776C1670"/>
    <w:rsid w:val="777C6755"/>
    <w:rsid w:val="77837EF8"/>
    <w:rsid w:val="778C29F3"/>
    <w:rsid w:val="77974BE0"/>
    <w:rsid w:val="77A60547"/>
    <w:rsid w:val="77AE6F90"/>
    <w:rsid w:val="77BB0330"/>
    <w:rsid w:val="77BC34FE"/>
    <w:rsid w:val="77C451C2"/>
    <w:rsid w:val="77D1292E"/>
    <w:rsid w:val="77EB55F1"/>
    <w:rsid w:val="77F16483"/>
    <w:rsid w:val="78063FF4"/>
    <w:rsid w:val="781F5048"/>
    <w:rsid w:val="78296820"/>
    <w:rsid w:val="783A6FA8"/>
    <w:rsid w:val="787B20E2"/>
    <w:rsid w:val="788B7738"/>
    <w:rsid w:val="789C1E9D"/>
    <w:rsid w:val="78C64066"/>
    <w:rsid w:val="78D01274"/>
    <w:rsid w:val="78DA4477"/>
    <w:rsid w:val="79481EC5"/>
    <w:rsid w:val="7992487D"/>
    <w:rsid w:val="799733D7"/>
    <w:rsid w:val="79C714A6"/>
    <w:rsid w:val="79CD03F3"/>
    <w:rsid w:val="79D1554C"/>
    <w:rsid w:val="79D77845"/>
    <w:rsid w:val="7A02230C"/>
    <w:rsid w:val="7A147B79"/>
    <w:rsid w:val="7A273312"/>
    <w:rsid w:val="7A297D25"/>
    <w:rsid w:val="7A2A1414"/>
    <w:rsid w:val="7A4E6A62"/>
    <w:rsid w:val="7A5D1EE0"/>
    <w:rsid w:val="7A63115E"/>
    <w:rsid w:val="7A660DBF"/>
    <w:rsid w:val="7A684306"/>
    <w:rsid w:val="7A733676"/>
    <w:rsid w:val="7A766B33"/>
    <w:rsid w:val="7A7B571F"/>
    <w:rsid w:val="7A94536B"/>
    <w:rsid w:val="7ABC67EC"/>
    <w:rsid w:val="7ABF4A39"/>
    <w:rsid w:val="7ACB3ED3"/>
    <w:rsid w:val="7ACE0B87"/>
    <w:rsid w:val="7AD93EE7"/>
    <w:rsid w:val="7ADB7CD3"/>
    <w:rsid w:val="7AE621F1"/>
    <w:rsid w:val="7B326015"/>
    <w:rsid w:val="7B726952"/>
    <w:rsid w:val="7B8E63C1"/>
    <w:rsid w:val="7B951F03"/>
    <w:rsid w:val="7BDB29AB"/>
    <w:rsid w:val="7BEC7BE7"/>
    <w:rsid w:val="7C1D69A8"/>
    <w:rsid w:val="7C580738"/>
    <w:rsid w:val="7C5E2922"/>
    <w:rsid w:val="7C69583F"/>
    <w:rsid w:val="7C6E46FD"/>
    <w:rsid w:val="7C7D0089"/>
    <w:rsid w:val="7C9A1B00"/>
    <w:rsid w:val="7CB23CB4"/>
    <w:rsid w:val="7CBB777C"/>
    <w:rsid w:val="7CD30952"/>
    <w:rsid w:val="7CE7207E"/>
    <w:rsid w:val="7CEB1668"/>
    <w:rsid w:val="7CEF58EF"/>
    <w:rsid w:val="7CF35511"/>
    <w:rsid w:val="7CFA4273"/>
    <w:rsid w:val="7D337B9C"/>
    <w:rsid w:val="7D661225"/>
    <w:rsid w:val="7D823D79"/>
    <w:rsid w:val="7D8E22C3"/>
    <w:rsid w:val="7D8F5E7E"/>
    <w:rsid w:val="7DA531EC"/>
    <w:rsid w:val="7DAA3B8B"/>
    <w:rsid w:val="7DB955CF"/>
    <w:rsid w:val="7DC56762"/>
    <w:rsid w:val="7DCF5230"/>
    <w:rsid w:val="7DDA10C6"/>
    <w:rsid w:val="7DE90035"/>
    <w:rsid w:val="7DEA11F2"/>
    <w:rsid w:val="7DFA6BE0"/>
    <w:rsid w:val="7E0B7771"/>
    <w:rsid w:val="7E173067"/>
    <w:rsid w:val="7E327A21"/>
    <w:rsid w:val="7E3E14EA"/>
    <w:rsid w:val="7E45105A"/>
    <w:rsid w:val="7E67024C"/>
    <w:rsid w:val="7E7D5228"/>
    <w:rsid w:val="7E8F3067"/>
    <w:rsid w:val="7EA147C4"/>
    <w:rsid w:val="7EA25FE0"/>
    <w:rsid w:val="7EB743BA"/>
    <w:rsid w:val="7EC17DDE"/>
    <w:rsid w:val="7EDA6769"/>
    <w:rsid w:val="7EEB4969"/>
    <w:rsid w:val="7EFC1195"/>
    <w:rsid w:val="7F000E20"/>
    <w:rsid w:val="7F220FDC"/>
    <w:rsid w:val="7F281DFF"/>
    <w:rsid w:val="7FA600AD"/>
    <w:rsid w:val="7FB7483F"/>
    <w:rsid w:val="7FBC1DC3"/>
    <w:rsid w:val="7FC025DD"/>
    <w:rsid w:val="7FC70942"/>
    <w:rsid w:val="7FEF4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27"/>
    <w:qFormat/>
    <w:uiPriority w:val="0"/>
    <w:pPr>
      <w:keepNext/>
      <w:keepLines/>
      <w:spacing w:after="50" w:afterLines="50" w:line="520" w:lineRule="exact"/>
      <w:ind w:firstLine="0" w:firstLineChars="0"/>
      <w:jc w:val="center"/>
      <w:outlineLvl w:val="0"/>
    </w:pPr>
    <w:rPr>
      <w:b/>
      <w:bCs/>
      <w:kern w:val="44"/>
      <w:sz w:val="32"/>
      <w:szCs w:val="44"/>
    </w:rPr>
  </w:style>
  <w:style w:type="paragraph" w:styleId="3">
    <w:name w:val="heading 2"/>
    <w:basedOn w:val="1"/>
    <w:next w:val="1"/>
    <w:link w:val="28"/>
    <w:qFormat/>
    <w:uiPriority w:val="0"/>
    <w:pPr>
      <w:keepNext/>
      <w:keepLines/>
      <w:ind w:firstLine="0" w:firstLineChars="0"/>
      <w:jc w:val="center"/>
      <w:outlineLvl w:val="1"/>
    </w:pPr>
    <w:rPr>
      <w:b/>
      <w:bCs/>
      <w:kern w:val="0"/>
      <w:sz w:val="30"/>
      <w:szCs w:val="32"/>
    </w:rPr>
  </w:style>
  <w:style w:type="paragraph" w:styleId="4">
    <w:name w:val="heading 3"/>
    <w:basedOn w:val="1"/>
    <w:next w:val="1"/>
    <w:link w:val="29"/>
    <w:qFormat/>
    <w:uiPriority w:val="0"/>
    <w:pPr>
      <w:keepNext/>
      <w:keepLines/>
      <w:ind w:firstLine="0" w:firstLineChars="0"/>
      <w:outlineLvl w:val="2"/>
    </w:pPr>
    <w:rPr>
      <w:b/>
    </w:rPr>
  </w:style>
  <w:style w:type="paragraph" w:styleId="5">
    <w:name w:val="heading 4"/>
    <w:basedOn w:val="1"/>
    <w:next w:val="1"/>
    <w:link w:val="30"/>
    <w:qFormat/>
    <w:uiPriority w:val="0"/>
    <w:pPr>
      <w:keepNext/>
      <w:keepLines/>
      <w:spacing w:before="280" w:after="290" w:line="372" w:lineRule="auto"/>
      <w:outlineLvl w:val="3"/>
    </w:pPr>
    <w:rPr>
      <w:rFonts w:ascii="Arial" w:hAnsi="Arial" w:eastAsia="黑体"/>
      <w:b/>
    </w:rPr>
  </w:style>
  <w:style w:type="paragraph" w:styleId="6">
    <w:name w:val="heading 5"/>
    <w:basedOn w:val="1"/>
    <w:next w:val="1"/>
    <w:link w:val="45"/>
    <w:qFormat/>
    <w:uiPriority w:val="0"/>
    <w:pPr>
      <w:keepNext/>
      <w:keepLines/>
      <w:spacing w:line="500" w:lineRule="exact"/>
      <w:jc w:val="center"/>
      <w:outlineLvl w:val="4"/>
    </w:pPr>
    <w:rPr>
      <w:b/>
      <w:bCs/>
      <w:kern w:val="0"/>
      <w:sz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36"/>
    <w:qFormat/>
    <w:uiPriority w:val="0"/>
    <w:pPr>
      <w:jc w:val="left"/>
    </w:pPr>
  </w:style>
  <w:style w:type="paragraph" w:styleId="9">
    <w:name w:val="Body Text"/>
    <w:basedOn w:val="1"/>
    <w:link w:val="57"/>
    <w:qFormat/>
    <w:uiPriority w:val="1"/>
    <w:pPr>
      <w:autoSpaceDE w:val="0"/>
      <w:autoSpaceDN w:val="0"/>
      <w:adjustRightInd w:val="0"/>
      <w:spacing w:line="240" w:lineRule="auto"/>
      <w:ind w:left="220" w:firstLine="0" w:firstLineChars="0"/>
      <w:jc w:val="left"/>
    </w:pPr>
    <w:rPr>
      <w:rFonts w:ascii="仿宋" w:cs="仿宋"/>
      <w:kern w:val="0"/>
      <w:sz w:val="30"/>
      <w:szCs w:val="30"/>
    </w:rPr>
  </w:style>
  <w:style w:type="paragraph" w:styleId="10">
    <w:name w:val="toc 3"/>
    <w:basedOn w:val="1"/>
    <w:next w:val="1"/>
    <w:qFormat/>
    <w:uiPriority w:val="39"/>
    <w:pPr>
      <w:ind w:left="840" w:leftChars="400"/>
    </w:pPr>
  </w:style>
  <w:style w:type="paragraph" w:styleId="11">
    <w:name w:val="Plain Text"/>
    <w:basedOn w:val="1"/>
    <w:link w:val="38"/>
    <w:qFormat/>
    <w:uiPriority w:val="99"/>
    <w:pPr>
      <w:adjustRightInd w:val="0"/>
      <w:snapToGrid w:val="0"/>
      <w:spacing w:line="312" w:lineRule="auto"/>
    </w:pPr>
    <w:rPr>
      <w:rFonts w:ascii="宋体" w:hAnsi="Courier New" w:eastAsia="宋体"/>
      <w:snapToGrid w:val="0"/>
      <w:kern w:val="0"/>
      <w:sz w:val="21"/>
      <w:szCs w:val="21"/>
    </w:rPr>
  </w:style>
  <w:style w:type="paragraph" w:styleId="12">
    <w:name w:val="Date"/>
    <w:basedOn w:val="1"/>
    <w:next w:val="1"/>
    <w:link w:val="41"/>
    <w:qFormat/>
    <w:uiPriority w:val="0"/>
    <w:pPr>
      <w:ind w:left="100" w:leftChars="2500"/>
    </w:pPr>
  </w:style>
  <w:style w:type="paragraph" w:styleId="13">
    <w:name w:val="Balloon Text"/>
    <w:basedOn w:val="1"/>
    <w:link w:val="43"/>
    <w:qFormat/>
    <w:uiPriority w:val="0"/>
    <w:rPr>
      <w:sz w:val="18"/>
      <w:szCs w:val="18"/>
    </w:rPr>
  </w:style>
  <w:style w:type="paragraph" w:styleId="14">
    <w:name w:val="footer"/>
    <w:basedOn w:val="1"/>
    <w:link w:val="32"/>
    <w:qFormat/>
    <w:uiPriority w:val="99"/>
    <w:pPr>
      <w:tabs>
        <w:tab w:val="center" w:pos="4153"/>
        <w:tab w:val="right" w:pos="8306"/>
      </w:tabs>
      <w:snapToGrid w:val="0"/>
      <w:jc w:val="left"/>
    </w:pPr>
    <w:rPr>
      <w:sz w:val="18"/>
      <w:szCs w:val="18"/>
    </w:rPr>
  </w:style>
  <w:style w:type="paragraph" w:styleId="15">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able of figures"/>
    <w:basedOn w:val="1"/>
    <w:next w:val="1"/>
    <w:qFormat/>
    <w:uiPriority w:val="99"/>
    <w:pPr>
      <w:spacing w:line="240" w:lineRule="auto"/>
      <w:ind w:left="840" w:leftChars="200" w:hanging="420" w:hangingChars="200"/>
    </w:pPr>
    <w:rPr>
      <w:rFonts w:eastAsia="宋体"/>
      <w:sz w:val="21"/>
    </w:rPr>
  </w:style>
  <w:style w:type="paragraph" w:styleId="18">
    <w:name w:val="toc 2"/>
    <w:basedOn w:val="1"/>
    <w:next w:val="1"/>
    <w:qFormat/>
    <w:uiPriority w:val="39"/>
    <w:pPr>
      <w:ind w:left="420" w:leftChars="200"/>
    </w:pPr>
  </w:style>
  <w:style w:type="paragraph" w:styleId="19">
    <w:name w:val="Normal (Web)"/>
    <w:basedOn w:val="1"/>
    <w:qFormat/>
    <w:uiPriority w:val="99"/>
    <w:pPr>
      <w:spacing w:before="100" w:beforeAutospacing="1" w:after="100" w:afterAutospacing="1"/>
      <w:jc w:val="left"/>
    </w:pPr>
    <w:rPr>
      <w:kern w:val="0"/>
      <w:sz w:val="24"/>
    </w:rPr>
  </w:style>
  <w:style w:type="paragraph" w:styleId="20">
    <w:name w:val="annotation subject"/>
    <w:basedOn w:val="8"/>
    <w:next w:val="8"/>
    <w:link w:val="42"/>
    <w:qFormat/>
    <w:uiPriority w:val="0"/>
    <w:rPr>
      <w:b/>
      <w:bC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rPr>
      <w:rFonts w:ascii="Verdana" w:hAnsi="Verdana"/>
      <w:kern w:val="0"/>
      <w:sz w:val="20"/>
      <w:szCs w:val="20"/>
      <w:lang w:eastAsia="en-US"/>
    </w:rPr>
  </w:style>
  <w:style w:type="character" w:styleId="25">
    <w:name w:val="Hyperlink"/>
    <w:unhideWhenUsed/>
    <w:qFormat/>
    <w:uiPriority w:val="99"/>
    <w:rPr>
      <w:rFonts w:ascii="Verdana" w:hAnsi="Verdana"/>
      <w:color w:val="0563C1"/>
      <w:kern w:val="0"/>
      <w:sz w:val="20"/>
      <w:szCs w:val="20"/>
      <w:u w:val="single"/>
      <w:lang w:eastAsia="en-US"/>
    </w:rPr>
  </w:style>
  <w:style w:type="character" w:styleId="26">
    <w:name w:val="annotation reference"/>
    <w:qFormat/>
    <w:uiPriority w:val="0"/>
    <w:rPr>
      <w:rFonts w:ascii="Verdana" w:hAnsi="Verdana"/>
      <w:kern w:val="0"/>
      <w:sz w:val="21"/>
      <w:szCs w:val="21"/>
      <w:lang w:eastAsia="en-US"/>
    </w:rPr>
  </w:style>
  <w:style w:type="character" w:customStyle="1" w:styleId="27">
    <w:name w:val="标题 1 字符"/>
    <w:link w:val="2"/>
    <w:qFormat/>
    <w:uiPriority w:val="0"/>
    <w:rPr>
      <w:rFonts w:eastAsia="仿宋"/>
      <w:b/>
      <w:bCs/>
      <w:kern w:val="44"/>
      <w:sz w:val="32"/>
      <w:szCs w:val="44"/>
    </w:rPr>
  </w:style>
  <w:style w:type="character" w:customStyle="1" w:styleId="28">
    <w:name w:val="标题 2 字符"/>
    <w:link w:val="3"/>
    <w:qFormat/>
    <w:uiPriority w:val="0"/>
    <w:rPr>
      <w:rFonts w:eastAsia="仿宋"/>
      <w:b/>
      <w:bCs/>
      <w:sz w:val="30"/>
      <w:szCs w:val="32"/>
    </w:rPr>
  </w:style>
  <w:style w:type="character" w:customStyle="1" w:styleId="29">
    <w:name w:val="标题 3 字符"/>
    <w:link w:val="4"/>
    <w:qFormat/>
    <w:uiPriority w:val="0"/>
    <w:rPr>
      <w:rFonts w:eastAsia="仿宋"/>
      <w:b/>
      <w:kern w:val="2"/>
      <w:sz w:val="28"/>
      <w:szCs w:val="24"/>
    </w:rPr>
  </w:style>
  <w:style w:type="character" w:customStyle="1" w:styleId="30">
    <w:name w:val="标题 4 字符"/>
    <w:link w:val="5"/>
    <w:qFormat/>
    <w:uiPriority w:val="0"/>
    <w:rPr>
      <w:rFonts w:ascii="Arial" w:hAnsi="Arial" w:eastAsia="黑体"/>
      <w:b/>
      <w:kern w:val="2"/>
      <w:sz w:val="28"/>
      <w:szCs w:val="24"/>
    </w:rPr>
  </w:style>
  <w:style w:type="character" w:customStyle="1" w:styleId="31">
    <w:name w:val="font41"/>
    <w:qFormat/>
    <w:uiPriority w:val="0"/>
    <w:rPr>
      <w:rFonts w:hint="eastAsia" w:ascii="宋体" w:hAnsi="宋体" w:eastAsia="宋体" w:cs="宋体"/>
      <w:color w:val="000000"/>
      <w:kern w:val="0"/>
      <w:sz w:val="24"/>
      <w:szCs w:val="24"/>
      <w:u w:val="none"/>
      <w:vertAlign w:val="superscript"/>
      <w:lang w:eastAsia="en-US"/>
    </w:rPr>
  </w:style>
  <w:style w:type="character" w:customStyle="1" w:styleId="32">
    <w:name w:val="页脚 字符"/>
    <w:link w:val="14"/>
    <w:qFormat/>
    <w:uiPriority w:val="99"/>
    <w:rPr>
      <w:kern w:val="2"/>
      <w:sz w:val="18"/>
      <w:szCs w:val="18"/>
    </w:rPr>
  </w:style>
  <w:style w:type="character" w:customStyle="1" w:styleId="33">
    <w:name w:val="font01"/>
    <w:qFormat/>
    <w:uiPriority w:val="0"/>
    <w:rPr>
      <w:rFonts w:hint="eastAsia" w:ascii="宋体" w:hAnsi="宋体" w:eastAsia="宋体" w:cs="宋体"/>
      <w:color w:val="000000"/>
      <w:sz w:val="21"/>
      <w:szCs w:val="21"/>
      <w:u w:val="none"/>
    </w:rPr>
  </w:style>
  <w:style w:type="character" w:customStyle="1" w:styleId="34">
    <w:name w:val="font31"/>
    <w:qFormat/>
    <w:uiPriority w:val="0"/>
    <w:rPr>
      <w:rFonts w:hint="eastAsia" w:ascii="宋体" w:hAnsi="宋体" w:eastAsia="宋体" w:cs="宋体"/>
      <w:color w:val="000000"/>
      <w:sz w:val="22"/>
      <w:szCs w:val="22"/>
      <w:u w:val="none"/>
    </w:rPr>
  </w:style>
  <w:style w:type="character" w:customStyle="1" w:styleId="35">
    <w:name w:val="批注主题 Char1"/>
    <w:semiHidden/>
    <w:qFormat/>
    <w:uiPriority w:val="99"/>
    <w:rPr>
      <w:rFonts w:ascii="Verdana" w:hAnsi="Verdana"/>
      <w:b/>
      <w:bCs/>
      <w:kern w:val="2"/>
      <w:sz w:val="21"/>
      <w:szCs w:val="24"/>
      <w:lang w:eastAsia="en-US"/>
    </w:rPr>
  </w:style>
  <w:style w:type="character" w:customStyle="1" w:styleId="36">
    <w:name w:val="批注文字 字符"/>
    <w:link w:val="8"/>
    <w:qFormat/>
    <w:uiPriority w:val="0"/>
    <w:rPr>
      <w:rFonts w:ascii="Verdana" w:hAnsi="Verdana"/>
      <w:kern w:val="2"/>
      <w:sz w:val="21"/>
      <w:szCs w:val="24"/>
      <w:lang w:eastAsia="en-US"/>
    </w:rPr>
  </w:style>
  <w:style w:type="character" w:customStyle="1" w:styleId="37">
    <w:name w:val="批注框文本 Char1"/>
    <w:semiHidden/>
    <w:qFormat/>
    <w:uiPriority w:val="99"/>
    <w:rPr>
      <w:rFonts w:ascii="Verdana" w:hAnsi="Verdana"/>
      <w:kern w:val="2"/>
      <w:sz w:val="18"/>
      <w:szCs w:val="18"/>
      <w:lang w:eastAsia="en-US"/>
    </w:rPr>
  </w:style>
  <w:style w:type="character" w:customStyle="1" w:styleId="38">
    <w:name w:val="纯文本 字符"/>
    <w:link w:val="11"/>
    <w:qFormat/>
    <w:uiPriority w:val="99"/>
    <w:rPr>
      <w:rFonts w:ascii="宋体" w:hAnsi="Courier New"/>
      <w:snapToGrid/>
      <w:sz w:val="21"/>
      <w:szCs w:val="21"/>
    </w:rPr>
  </w:style>
  <w:style w:type="character" w:customStyle="1" w:styleId="39">
    <w:name w:val="页眉 字符"/>
    <w:link w:val="15"/>
    <w:qFormat/>
    <w:uiPriority w:val="0"/>
    <w:rPr>
      <w:kern w:val="2"/>
      <w:sz w:val="18"/>
      <w:szCs w:val="18"/>
    </w:rPr>
  </w:style>
  <w:style w:type="character" w:customStyle="1" w:styleId="40">
    <w:name w:val="font11"/>
    <w:qFormat/>
    <w:uiPriority w:val="0"/>
    <w:rPr>
      <w:rFonts w:hint="default" w:ascii="Times New Roman" w:hAnsi="Times New Roman" w:cs="Times New Roman"/>
      <w:color w:val="000000"/>
      <w:kern w:val="0"/>
      <w:sz w:val="24"/>
      <w:szCs w:val="24"/>
      <w:u w:val="none"/>
      <w:lang w:eastAsia="en-US"/>
    </w:rPr>
  </w:style>
  <w:style w:type="character" w:customStyle="1" w:styleId="41">
    <w:name w:val="日期 字符"/>
    <w:link w:val="12"/>
    <w:qFormat/>
    <w:uiPriority w:val="0"/>
    <w:rPr>
      <w:rFonts w:ascii="Verdana" w:hAnsi="Verdana"/>
      <w:kern w:val="2"/>
      <w:sz w:val="21"/>
      <w:szCs w:val="24"/>
      <w:lang w:eastAsia="en-US"/>
    </w:rPr>
  </w:style>
  <w:style w:type="character" w:customStyle="1" w:styleId="42">
    <w:name w:val="批注主题 字符"/>
    <w:link w:val="20"/>
    <w:qFormat/>
    <w:uiPriority w:val="0"/>
    <w:rPr>
      <w:rFonts w:ascii="Verdana" w:hAnsi="Verdana"/>
      <w:b/>
      <w:bCs/>
      <w:kern w:val="2"/>
      <w:sz w:val="21"/>
      <w:szCs w:val="24"/>
      <w:lang w:eastAsia="en-US"/>
    </w:rPr>
  </w:style>
  <w:style w:type="character" w:customStyle="1" w:styleId="43">
    <w:name w:val="批注框文本 字符"/>
    <w:link w:val="13"/>
    <w:qFormat/>
    <w:uiPriority w:val="0"/>
    <w:rPr>
      <w:rFonts w:ascii="Verdana" w:hAnsi="Verdana"/>
      <w:kern w:val="2"/>
      <w:sz w:val="18"/>
      <w:szCs w:val="18"/>
      <w:lang w:eastAsia="en-US"/>
    </w:rPr>
  </w:style>
  <w:style w:type="character" w:customStyle="1" w:styleId="44">
    <w:name w:val="批注文字 Char1"/>
    <w:semiHidden/>
    <w:qFormat/>
    <w:uiPriority w:val="99"/>
    <w:rPr>
      <w:rFonts w:ascii="Verdana" w:hAnsi="Verdana"/>
      <w:kern w:val="2"/>
      <w:sz w:val="21"/>
      <w:szCs w:val="24"/>
      <w:lang w:eastAsia="en-US"/>
    </w:rPr>
  </w:style>
  <w:style w:type="character" w:customStyle="1" w:styleId="45">
    <w:name w:val="标题 5 字符"/>
    <w:link w:val="6"/>
    <w:qFormat/>
    <w:uiPriority w:val="0"/>
    <w:rPr>
      <w:b/>
      <w:bCs/>
      <w:sz w:val="24"/>
      <w:szCs w:val="24"/>
    </w:rPr>
  </w:style>
  <w:style w:type="character" w:customStyle="1" w:styleId="46">
    <w:name w:val="font21"/>
    <w:qFormat/>
    <w:uiPriority w:val="0"/>
    <w:rPr>
      <w:rFonts w:hint="default" w:ascii="仿宋_GB2312" w:hAnsi="Verdana" w:eastAsia="仿宋_GB2312" w:cs="仿宋_GB2312"/>
      <w:color w:val="000000"/>
      <w:kern w:val="0"/>
      <w:sz w:val="24"/>
      <w:szCs w:val="24"/>
      <w:u w:val="none"/>
      <w:lang w:eastAsia="en-US"/>
    </w:rPr>
  </w:style>
  <w:style w:type="paragraph" w:customStyle="1" w:styleId="47">
    <w:name w:val="表文字"/>
    <w:basedOn w:val="1"/>
    <w:qFormat/>
    <w:uiPriority w:val="0"/>
    <w:pPr>
      <w:spacing w:line="240" w:lineRule="exact"/>
      <w:ind w:firstLine="0"/>
    </w:pPr>
    <w:rPr>
      <w:sz w:val="21"/>
    </w:rPr>
  </w:style>
  <w:style w:type="paragraph" w:customStyle="1" w:styleId="48">
    <w:name w:val="_正文_土地复垦"/>
    <w:qFormat/>
    <w:uiPriority w:val="0"/>
    <w:pPr>
      <w:spacing w:line="360" w:lineRule="auto"/>
      <w:ind w:firstLine="200" w:firstLineChars="200"/>
    </w:pPr>
    <w:rPr>
      <w:rFonts w:ascii="Times New Roman" w:hAnsi="Times New Roman" w:eastAsia="仿宋" w:cs="Times New Roman"/>
      <w:kern w:val="2"/>
      <w:sz w:val="24"/>
      <w:szCs w:val="24"/>
      <w:lang w:val="en-US" w:eastAsia="zh-CN" w:bidi="ar-SA"/>
    </w:rPr>
  </w:style>
  <w:style w:type="paragraph" w:customStyle="1" w:styleId="49">
    <w:name w:val="目录 31"/>
    <w:basedOn w:val="1"/>
    <w:next w:val="1"/>
    <w:qFormat/>
    <w:uiPriority w:val="39"/>
    <w:pPr>
      <w:ind w:left="840" w:leftChars="400"/>
    </w:pPr>
  </w:style>
  <w:style w:type="paragraph" w:customStyle="1" w:styleId="50">
    <w:name w:val="目录 21"/>
    <w:basedOn w:val="1"/>
    <w:next w:val="1"/>
    <w:qFormat/>
    <w:uiPriority w:val="39"/>
    <w:pPr>
      <w:ind w:left="420" w:leftChars="200"/>
    </w:pPr>
  </w:style>
  <w:style w:type="paragraph" w:customStyle="1" w:styleId="51">
    <w:name w:val="目录 81"/>
    <w:basedOn w:val="1"/>
    <w:next w:val="1"/>
    <w:qFormat/>
    <w:uiPriority w:val="0"/>
    <w:pPr>
      <w:ind w:left="2940" w:leftChars="1400"/>
    </w:pPr>
  </w:style>
  <w:style w:type="paragraph" w:customStyle="1" w:styleId="52">
    <w:name w:val="TOC 标题1"/>
    <w:basedOn w:val="2"/>
    <w:next w:val="1"/>
    <w:qFormat/>
    <w:uiPriority w:val="39"/>
    <w:pPr>
      <w:widowControl/>
      <w:spacing w:before="240" w:after="0" w:line="259" w:lineRule="auto"/>
      <w:jc w:val="left"/>
      <w:outlineLvl w:val="9"/>
    </w:pPr>
    <w:rPr>
      <w:rFonts w:ascii="Calibri Light" w:hAnsi="Calibri Light" w:eastAsia="宋体"/>
      <w:b w:val="0"/>
      <w:bCs w:val="0"/>
      <w:color w:val="2E74B5"/>
      <w:kern w:val="0"/>
      <w:szCs w:val="32"/>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Char1 Char Char Char"/>
    <w:basedOn w:val="1"/>
    <w:qFormat/>
    <w:uiPriority w:val="0"/>
    <w:pPr>
      <w:ind w:left="105" w:leftChars="50" w:right="105" w:rightChars="50" w:firstLine="560"/>
    </w:pPr>
    <w:rPr>
      <w:rFonts w:ascii="宋体" w:hAnsi="宋体" w:cs="仿宋"/>
      <w:szCs w:val="32"/>
    </w:rPr>
  </w:style>
  <w:style w:type="paragraph" w:customStyle="1" w:styleId="55">
    <w:name w:val="目录 11"/>
    <w:basedOn w:val="1"/>
    <w:next w:val="1"/>
    <w:qFormat/>
    <w:uiPriority w:val="39"/>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正文文本 字符"/>
    <w:link w:val="9"/>
    <w:qFormat/>
    <w:uiPriority w:val="1"/>
    <w:rPr>
      <w:rFonts w:ascii="仿宋" w:hAnsi="Verdana" w:eastAsia="仿宋" w:cs="仿宋"/>
      <w:kern w:val="0"/>
      <w:sz w:val="30"/>
      <w:szCs w:val="3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43AFE-AAE5-4128-B358-47EAC3F76AFA}">
  <ds:schemaRefs/>
</ds:datastoreItem>
</file>

<file path=docProps/app.xml><?xml version="1.0" encoding="utf-8"?>
<Properties xmlns="http://schemas.openxmlformats.org/officeDocument/2006/extended-properties" xmlns:vt="http://schemas.openxmlformats.org/officeDocument/2006/docPropsVTypes">
  <Template>0.docx</Template>
  <Company>Microsoft</Company>
  <Pages>29</Pages>
  <Words>2678</Words>
  <Characters>15267</Characters>
  <Lines>127</Lines>
  <Paragraphs>35</Paragraphs>
  <TotalTime>2</TotalTime>
  <ScaleCrop>false</ScaleCrop>
  <LinksUpToDate>false</LinksUpToDate>
  <CharactersWithSpaces>17910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2020-11-26T03:20:00Z</dcterms:created>
  <dc:creator>Administrator</dc:creator>
  <cp:lastModifiedBy>Administrator</cp:lastModifiedBy>
  <cp:lastPrinted>2020-12-11T02:45:00Z</cp:lastPrinted>
  <dcterms:modified xsi:type="dcterms:W3CDTF">2021-02-01T02:19:12Z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