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DE" w:rsidRDefault="00B332DE">
      <w:pPr>
        <w:spacing w:line="60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p w:rsidR="00B332DE" w:rsidRDefault="00B332DE" w:rsidP="00B332DE">
      <w:pPr>
        <w:rPr>
          <w:rFonts w:eastAsia="仿宋_GB2312" w:hAnsi="仿宋_GB2312" w:hint="eastAsia"/>
          <w:sz w:val="32"/>
          <w:szCs w:val="32"/>
        </w:rPr>
      </w:pPr>
      <w:r w:rsidRPr="00EE1071">
        <w:rPr>
          <w:rFonts w:ascii="Times New Roman" w:eastAsia="仿宋_GB2312" w:hAnsi="仿宋_GB2312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EE1071">
        <w:rPr>
          <w:rFonts w:ascii="Times New Roman" w:eastAsia="仿宋_GB2312" w:hAnsi="仿宋_GB2312"/>
          <w:sz w:val="32"/>
          <w:szCs w:val="32"/>
        </w:rPr>
        <w:t>：</w:t>
      </w:r>
    </w:p>
    <w:p w:rsidR="00BB4122" w:rsidRPr="00B332DE" w:rsidRDefault="0091325F">
      <w:pPr>
        <w:spacing w:line="600" w:lineRule="exact"/>
        <w:jc w:val="center"/>
        <w:rPr>
          <w:rFonts w:ascii="方正大标宋简体" w:eastAsia="方正大标宋简体" w:hAnsi="仿宋" w:hint="eastAsia"/>
          <w:sz w:val="44"/>
          <w:szCs w:val="44"/>
        </w:rPr>
      </w:pPr>
      <w:r w:rsidRPr="00B332DE">
        <w:rPr>
          <w:rFonts w:ascii="方正大标宋简体" w:eastAsia="方正大标宋简体" w:hAnsi="仿宋" w:hint="eastAsia"/>
          <w:sz w:val="44"/>
          <w:szCs w:val="44"/>
        </w:rPr>
        <w:t>公平竞争审查基本流程</w: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BB4122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5.25pt;margin-top:28.8pt;width:229.5pt;height:74.25pt;z-index:251661312">
            <v:textbox>
              <w:txbxContent>
                <w:p w:rsidR="00BB4122" w:rsidRDefault="0091325F">
                  <w:pPr>
                    <w:spacing w:line="3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是否涉及市场</w:t>
                  </w:r>
                </w:p>
                <w:p w:rsidR="00BB4122" w:rsidRDefault="0091325F">
                  <w:pPr>
                    <w:spacing w:line="3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主体经济活动</w:t>
                  </w:r>
                </w:p>
              </w:txbxContent>
            </v:textbox>
          </v:shape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roundrect id="_x0000_s1030" style="position:absolute;left:0;text-align:left;margin-left:276.15pt;margin-top:4.35pt;width:139.85pt;height:60.75pt;z-index:251664384;v-text-anchor:middle" arcsize="10923f">
            <v:textbox>
              <w:txbxContent>
                <w:p w:rsidR="00BB4122" w:rsidRDefault="0091325F">
                  <w:pPr>
                    <w:jc w:val="center"/>
                  </w:pPr>
                  <w:r>
                    <w:rPr>
                      <w:rFonts w:hint="eastAsia"/>
                    </w:rPr>
                    <w:t>不需要公平竞争审查</w:t>
                  </w:r>
                </w:p>
                <w:p w:rsidR="00BB4122" w:rsidRDefault="0091325F">
                  <w:pPr>
                    <w:jc w:val="center"/>
                  </w:pPr>
                  <w:r>
                    <w:rPr>
                      <w:rFonts w:hint="eastAsia"/>
                    </w:rPr>
                    <w:t>（说明理由，审核人签字）</w:t>
                  </w:r>
                </w:p>
              </w:txbxContent>
            </v:textbox>
          </v:roundrect>
        </w:pict>
      </w:r>
      <w:r w:rsidRPr="00BB41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31" type="#_x0000_t202" style="position:absolute;left:0;text-align:left;margin-left:238.5pt;margin-top:11.85pt;width:31.9pt;height:24.45pt;z-index:251665408" filled="f" stroked="f" strokeweight=".5pt">
            <v:textbox>
              <w:txbxContent>
                <w:p w:rsidR="00BB4122" w:rsidRDefault="0091325F">
                  <w:pPr>
                    <w:jc w:val="center"/>
                    <w:rPr>
                      <w:rFonts w:ascii="黑体" w:eastAsia="黑体" w:hAnsi="黑体"/>
                      <w:color w:val="000000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</w:rPr>
                    <w:t>否</w:t>
                  </w:r>
                </w:p>
              </w:txbxContent>
            </v:textbox>
          </v:shape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4.75pt;margin-top:3.15pt;width:41.25pt;height:.75pt;z-index:251662336" o:connectortype="straight">
            <v:stroke endarrow="block"/>
          </v:shape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shape id="_x0000_s1032" type="#_x0000_t202" style="position:absolute;left:0;text-align:left;margin-left:92.6pt;margin-top:7.95pt;width:31.9pt;height:24.4pt;z-index:251666432" filled="f" stroked="f" strokeweight=".5pt">
            <v:textbox>
              <w:txbxContent>
                <w:p w:rsidR="00BB4122" w:rsidRDefault="0091325F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rFonts w:ascii="黑体" w:eastAsia="黑体" w:hAnsi="黑体" w:cs="Times New Roman" w:hint="eastAsia"/>
                      <w:color w:val="000000"/>
                      <w:kern w:val="2"/>
                      <w:sz w:val="21"/>
                      <w:szCs w:val="21"/>
                      <w:lang w:eastAsia="zh-CN"/>
                    </w:rPr>
                    <w:t>是</w:t>
                  </w:r>
                </w:p>
              </w:txbxContent>
            </v:textbox>
          </v:shape>
        </w:pict>
      </w:r>
      <w:r w:rsidRPr="00BB4122">
        <w:pict>
          <v:shape id="_x0000_s1029" type="#_x0000_t32" style="position:absolute;left:0;text-align:left;margin-left:120pt;margin-top:10.2pt;width:.05pt;height:19.5pt;z-index:251663360" o:connectortype="straight">
            <v:stroke endarrow="block"/>
          </v:shape>
        </w:pict>
      </w:r>
      <w:r w:rsidRPr="00BB4122">
        <w:pict>
          <v:rect id="_x0000_s1026" style="position:absolute;left:0;text-align:left;margin-left:.75pt;margin-top:29.55pt;width:237.75pt;height:200.25pt;z-index:251660288"/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shape id="_x0000_s1033" type="#_x0000_t4" style="position:absolute;left:0;text-align:left;margin-left:5.4pt;margin-top:-.15pt;width:229.5pt;height:74.25pt;z-index:251667456;v-text-anchor:middle">
            <v:textbox>
              <w:txbxContent>
                <w:p w:rsidR="00BB4122" w:rsidRDefault="0091325F">
                  <w:pPr>
                    <w:spacing w:line="3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对市场公平竞争</w:t>
                  </w:r>
                </w:p>
                <w:p w:rsidR="00BB4122" w:rsidRDefault="0091325F">
                  <w:pPr>
                    <w:spacing w:line="3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的影响评估</w:t>
                  </w:r>
                </w:p>
              </w:txbxContent>
            </v:textbox>
          </v:shape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roundrect id="_x0000_s1041" style="position:absolute;left:0;text-align:left;margin-left:322.5pt;margin-top:18.45pt;width:107.25pt;height:39pt;z-index:251675648;v-text-anchor:middle" arcsize="10923f">
            <v:textbox>
              <w:txbxContent>
                <w:p w:rsidR="00BB4122" w:rsidRDefault="0091325F">
                  <w:pPr>
                    <w:jc w:val="center"/>
                  </w:pPr>
                  <w:r>
                    <w:rPr>
                      <w:rFonts w:hint="eastAsia"/>
                    </w:rPr>
                    <w:t>可以出台实施</w:t>
                  </w:r>
                </w:p>
              </w:txbxContent>
            </v:textbox>
          </v:roundrect>
        </w:pict>
      </w:r>
      <w:r w:rsidRPr="00BB4122">
        <w:pict>
          <v:shape id="_x0000_s1040" type="#_x0000_t202" style="position:absolute;left:0;text-align:left;margin-left:245.5pt;margin-top:2.75pt;width:70.25pt;height:56.95pt;z-index:251674624" filled="f" stroked="f" strokeweight=".5pt">
            <v:textbox>
              <w:txbxContent>
                <w:p w:rsidR="00BB4122" w:rsidRDefault="0091325F">
                  <w:pPr>
                    <w:pStyle w:val="a3"/>
                    <w:snapToGrid w:val="0"/>
                    <w:spacing w:before="0" w:beforeAutospacing="0" w:after="0" w:afterAutospacing="0"/>
                    <w:rPr>
                      <w:rFonts w:eastAsia="宋体" w:hAnsi="黑体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eastAsia="宋体" w:hAnsi="黑体" w:cs="Times New Roman" w:hint="eastAsia"/>
                      <w:color w:val="000000"/>
                      <w:sz w:val="21"/>
                      <w:szCs w:val="21"/>
                      <w:lang w:eastAsia="zh-CN"/>
                    </w:rPr>
                    <w:t>不违反任何一项标准</w:t>
                  </w:r>
                </w:p>
              </w:txbxContent>
            </v:textbox>
          </v:shape>
        </w:pict>
      </w:r>
      <w:r w:rsidRPr="00BB4122">
        <w:pict>
          <v:rect id="_x0000_s1034" style="position:absolute;left:0;text-align:left;margin-left:15.75pt;margin-top:11.7pt;width:212.25pt;height:25.5pt;z-index:251668480">
            <v:textbox>
              <w:txbxContent>
                <w:p w:rsidR="00BB4122" w:rsidRDefault="0091325F">
                  <w:pPr>
                    <w:ind w:firstLineChars="400" w:firstLine="8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①市场准入与退出标准</w:t>
                  </w:r>
                </w:p>
              </w:txbxContent>
            </v:textbox>
          </v:rect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shape id="_x0000_s1039" type="#_x0000_t32" style="position:absolute;left:0;text-align:left;margin-left:238.5pt;margin-top:6pt;width:84pt;height:0;z-index:251673600" o:connectortype="straight">
            <v:stroke endarrow="block"/>
          </v:shape>
        </w:pict>
      </w:r>
      <w:r w:rsidRPr="00BB4122">
        <w:pict>
          <v:rect id="_x0000_s1035" style="position:absolute;left:0;text-align:left;margin-left:15.75pt;margin-top:10.5pt;width:212.25pt;height:25.5pt;z-index:251669504">
            <v:textbox>
              <w:txbxContent>
                <w:p w:rsidR="00BB4122" w:rsidRDefault="0091325F">
                  <w:pPr>
                    <w:jc w:val="center"/>
                  </w:pPr>
                  <w:r>
                    <w:rPr>
                      <w:rFonts w:hint="eastAsia"/>
                    </w:rPr>
                    <w:t>②商品要素自由流通标准</w:t>
                  </w:r>
                </w:p>
              </w:txbxContent>
            </v:textbox>
          </v:rect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rect id="_x0000_s1036" style="position:absolute;left:0;text-align:left;margin-left:15.75pt;margin-top:9.3pt;width:212.25pt;height:25.5pt;z-index:251670528">
            <v:textbox>
              <w:txbxContent>
                <w:p w:rsidR="00BB4122" w:rsidRDefault="0091325F">
                  <w:pPr>
                    <w:jc w:val="center"/>
                  </w:pPr>
                  <w:r>
                    <w:rPr>
                      <w:rFonts w:hint="eastAsia"/>
                    </w:rPr>
                    <w:t>③影响生产经营成本标准</w:t>
                  </w:r>
                </w:p>
              </w:txbxContent>
            </v:textbox>
          </v:rect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rect id="_x0000_s1037" style="position:absolute;left:0;text-align:left;margin-left:15.75pt;margin-top:8.1pt;width:212.25pt;height:25.5pt;z-index:251671552">
            <v:textbox>
              <w:txbxContent>
                <w:p w:rsidR="00BB4122" w:rsidRDefault="0091325F">
                  <w:pPr>
                    <w:jc w:val="center"/>
                  </w:pPr>
                  <w:r>
                    <w:rPr>
                      <w:rFonts w:hint="eastAsia"/>
                    </w:rPr>
                    <w:t>④影响生产经营行为标准</w:t>
                  </w:r>
                </w:p>
              </w:txbxContent>
            </v:textbox>
          </v:rect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shape id="_x0000_s1042" type="#_x0000_t202" style="position:absolute;left:0;text-align:left;margin-left:59.35pt;margin-top:19.65pt;width:70.25pt;height:56.95pt;z-index:251676672" filled="f" stroked="f" strokeweight=".5pt">
            <v:textbox>
              <w:txbxContent>
                <w:p w:rsidR="00BB4122" w:rsidRDefault="0091325F">
                  <w:pPr>
                    <w:pStyle w:val="a3"/>
                    <w:snapToGrid w:val="0"/>
                    <w:spacing w:before="0" w:beforeAutospacing="0" w:after="0" w:afterAutospacing="0"/>
                    <w:rPr>
                      <w:rFonts w:eastAsia="宋体" w:hAnsi="黑体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eastAsia="宋体" w:hAnsi="黑体" w:cs="Times New Roman" w:hint="eastAsia"/>
                      <w:color w:val="000000"/>
                      <w:sz w:val="21"/>
                      <w:szCs w:val="21"/>
                      <w:lang w:eastAsia="zh-CN"/>
                    </w:rPr>
                    <w:t>违反任何</w:t>
                  </w:r>
                </w:p>
                <w:p w:rsidR="00BB4122" w:rsidRDefault="0091325F">
                  <w:pPr>
                    <w:pStyle w:val="a3"/>
                    <w:snapToGrid w:val="0"/>
                    <w:spacing w:before="0" w:beforeAutospacing="0" w:after="0" w:afterAutospacing="0"/>
                    <w:rPr>
                      <w:rFonts w:eastAsia="宋体" w:hAnsi="黑体" w:cs="Times New Roman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eastAsia="宋体" w:hAnsi="黑体" w:cs="Times New Roman" w:hint="eastAsia"/>
                      <w:color w:val="000000"/>
                      <w:sz w:val="21"/>
                      <w:szCs w:val="21"/>
                      <w:lang w:eastAsia="zh-CN"/>
                    </w:rPr>
                    <w:t>一项标准</w:t>
                  </w:r>
                </w:p>
              </w:txbxContent>
            </v:textbox>
          </v:shape>
        </w:pict>
      </w:r>
      <w:r w:rsidRPr="00BB4122">
        <w:pict>
          <v:shape id="_x0000_s1038" type="#_x0000_t32" style="position:absolute;left:0;text-align:left;margin-left:120pt;margin-top:11.4pt;width:.05pt;height:43.5pt;z-index:251672576" o:connectortype="straight">
            <v:stroke endarrow="block"/>
          </v:shape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roundrect id="_x0000_s1043" style="position:absolute;left:0;text-align:left;margin-left:15pt;margin-top:23.7pt;width:210.75pt;height:39.75pt;z-index:251677696;v-text-anchor:middle" arcsize="10923f">
            <v:textbox>
              <w:txbxContent>
                <w:p w:rsidR="00BB4122" w:rsidRDefault="0091325F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详细说明违反哪一项标准</w:t>
                  </w:r>
                </w:p>
                <w:p w:rsidR="00BB4122" w:rsidRDefault="0091325F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对市场竞争产生什么影响</w:t>
                  </w:r>
                </w:p>
              </w:txbxContent>
            </v:textbox>
          </v:roundrect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shape id="_x0000_s1045" type="#_x0000_t4" style="position:absolute;left:0;text-align:left;margin-left:5.4pt;margin-top:22.05pt;width:229.5pt;height:74.25pt;z-index:251679744;v-text-anchor:middle">
            <v:textbox>
              <w:txbxContent>
                <w:p w:rsidR="00BB4122" w:rsidRDefault="009132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是否符合例外规定</w:t>
                  </w:r>
                </w:p>
              </w:txbxContent>
            </v:textbox>
          </v:shape>
        </w:pict>
      </w:r>
      <w:r w:rsidRPr="00BB4122">
        <w:pict>
          <v:shape id="_x0000_s1044" type="#_x0000_t32" style="position:absolute;left:0;text-align:left;margin-left:119.95pt;margin-top:1.05pt;width:.05pt;height:21.75pt;z-index:251678720" o:connectortype="straight">
            <v:stroke endarrow="block"/>
          </v:shape>
        </w:pict>
      </w:r>
    </w:p>
    <w:p w:rsidR="00BB4122" w:rsidRDefault="00BB4122">
      <w:pPr>
        <w:tabs>
          <w:tab w:val="left" w:pos="5220"/>
          <w:tab w:val="left" w:pos="6270"/>
        </w:tabs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shape id="_x0000_s1047" type="#_x0000_t202" style="position:absolute;left:0;text-align:left;margin-left:242.5pt;margin-top:4.65pt;width:31.9pt;height:24.45pt;z-index:251681792" filled="f" stroked="f" strokeweight=".5pt">
            <v:textbox>
              <w:txbxContent>
                <w:p w:rsidR="00BB4122" w:rsidRDefault="0091325F">
                  <w:pPr>
                    <w:jc w:val="center"/>
                    <w:rPr>
                      <w:rFonts w:ascii="黑体" w:eastAsia="黑体" w:hAnsi="黑体"/>
                      <w:color w:val="000000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</w:rPr>
                    <w:t>否</w:t>
                  </w:r>
                </w:p>
              </w:txbxContent>
            </v:textbox>
          </v:shape>
        </w:pict>
      </w:r>
      <w:r w:rsidRPr="00BB4122">
        <w:pict>
          <v:roundrect id="_x0000_s1048" style="position:absolute;left:0;text-align:left;margin-left:281.25pt;margin-top:8.85pt;width:152.25pt;height:39pt;z-index:251682816;v-text-anchor:middle" arcsize="10923f">
            <v:textbox>
              <w:txbxContent>
                <w:p w:rsidR="00BB4122" w:rsidRDefault="0091325F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不得出台或者调整至符合要求后再出台</w:t>
                  </w:r>
                </w:p>
              </w:txbxContent>
            </v:textbox>
          </v:roundrect>
        </w:pict>
      </w:r>
      <w:r w:rsidRPr="00BB4122">
        <w:pict>
          <v:shape id="_x0000_s1046" type="#_x0000_t32" style="position:absolute;left:0;text-align:left;margin-left:235.5pt;margin-top:27.6pt;width:46.4pt;height:0;z-index:251680768" o:connectortype="straight">
            <v:stroke endarrow="block"/>
          </v:shape>
        </w:pict>
      </w:r>
      <w:r w:rsidR="0091325F">
        <w:rPr>
          <w:rFonts w:ascii="仿宋_GB2312" w:eastAsia="仿宋_GB2312" w:hAnsi="仿宋"/>
          <w:sz w:val="32"/>
          <w:szCs w:val="32"/>
        </w:rPr>
        <w:tab/>
      </w:r>
      <w:r w:rsidR="0091325F">
        <w:rPr>
          <w:rFonts w:ascii="仿宋_GB2312" w:eastAsia="仿宋_GB2312" w:hAnsi="仿宋"/>
          <w:sz w:val="32"/>
          <w:szCs w:val="32"/>
        </w:rPr>
        <w:tab/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B4122">
        <w:pict>
          <v:roundrect id="_x0000_s1051" style="position:absolute;left:0;text-align:left;margin-left:14.25pt;margin-top:24.45pt;width:211.5pt;height:42.75pt;z-index:251685888" arcsize="10923f">
            <v:textbox>
              <w:txbxContent>
                <w:p w:rsidR="00BB4122" w:rsidRDefault="0091325F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可以出台，但充分说明符合例外规定的条件，并明确实施期限</w:t>
                  </w:r>
                </w:p>
              </w:txbxContent>
            </v:textbox>
          </v:roundrect>
        </w:pict>
      </w:r>
      <w:r w:rsidRPr="00BB4122">
        <w:pict>
          <v:shape id="_x0000_s1050" type="#_x0000_t202" style="position:absolute;left:0;text-align:left;margin-left:88pt;margin-top:2.7pt;width:31.9pt;height:24.4pt;z-index:251684864" filled="f" stroked="f" strokeweight=".5pt">
            <v:textbox>
              <w:txbxContent>
                <w:p w:rsidR="00BB4122" w:rsidRDefault="0091325F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rFonts w:ascii="黑体" w:eastAsia="黑体" w:hAnsi="黑体" w:cs="Times New Roman" w:hint="eastAsia"/>
                      <w:color w:val="000000"/>
                      <w:kern w:val="2"/>
                      <w:sz w:val="21"/>
                      <w:szCs w:val="21"/>
                      <w:lang w:eastAsia="zh-CN"/>
                    </w:rPr>
                    <w:t>是</w:t>
                  </w:r>
                </w:p>
              </w:txbxContent>
            </v:textbox>
          </v:shape>
        </w:pict>
      </w:r>
      <w:r w:rsidRPr="00BB4122">
        <w:pict>
          <v:shape id="_x0000_s1049" type="#_x0000_t32" style="position:absolute;left:0;text-align:left;margin-left:119.9pt;margin-top:2.7pt;width:.05pt;height:21.75pt;z-index:251683840" o:connectortype="straight">
            <v:stroke endarrow="block"/>
          </v:shape>
        </w:pict>
      </w: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BB4122" w:rsidRDefault="00BB4122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BB4122" w:rsidRDefault="00BB4122"/>
    <w:sectPr w:rsidR="00BB4122" w:rsidSect="00B332DE">
      <w:footerReference w:type="default" r:id="rId7"/>
      <w:pgSz w:w="11906" w:h="16838" w:code="9"/>
      <w:pgMar w:top="1440" w:right="1797" w:bottom="1440" w:left="1797" w:header="851" w:footer="1134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5F" w:rsidRDefault="0091325F" w:rsidP="00B332DE">
      <w:pPr>
        <w:ind w:firstLine="640"/>
      </w:pPr>
      <w:r>
        <w:separator/>
      </w:r>
    </w:p>
  </w:endnote>
  <w:endnote w:type="continuationSeparator" w:id="1">
    <w:p w:rsidR="0091325F" w:rsidRDefault="0091325F" w:rsidP="00B332D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813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</w:rPr>
    </w:sdtEndPr>
    <w:sdtContent>
      <w:p w:rsidR="00B332DE" w:rsidRDefault="00B332DE">
        <w:pPr>
          <w:pStyle w:val="a5"/>
        </w:pPr>
        <w:r w:rsidRPr="00B332DE">
          <w:rPr>
            <w:rFonts w:ascii="宋体" w:hAnsi="宋体"/>
            <w:sz w:val="24"/>
            <w:szCs w:val="24"/>
          </w:rPr>
          <w:fldChar w:fldCharType="begin"/>
        </w:r>
        <w:r w:rsidRPr="00B332DE">
          <w:rPr>
            <w:rFonts w:ascii="宋体" w:hAnsi="宋体"/>
            <w:sz w:val="24"/>
            <w:szCs w:val="24"/>
          </w:rPr>
          <w:instrText xml:space="preserve"> PAGE   \* MERGEFORMAT </w:instrText>
        </w:r>
        <w:r w:rsidRPr="00B332DE">
          <w:rPr>
            <w:rFonts w:ascii="宋体" w:hAnsi="宋体"/>
            <w:sz w:val="24"/>
            <w:szCs w:val="24"/>
          </w:rPr>
          <w:fldChar w:fldCharType="separate"/>
        </w:r>
        <w:r w:rsidRPr="00B332DE">
          <w:rPr>
            <w:rFonts w:ascii="宋体" w:hAnsi="宋体"/>
            <w:noProof/>
            <w:sz w:val="24"/>
            <w:szCs w:val="24"/>
            <w:lang w:val="zh-CN"/>
          </w:rPr>
          <w:t>-</w:t>
        </w:r>
        <w:r>
          <w:rPr>
            <w:rFonts w:ascii="宋体" w:hAnsi="宋体"/>
            <w:noProof/>
            <w:sz w:val="24"/>
            <w:szCs w:val="24"/>
          </w:rPr>
          <w:t xml:space="preserve"> 12 -</w:t>
        </w:r>
        <w:r w:rsidRPr="00B332DE"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B332DE" w:rsidRDefault="00B332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5F" w:rsidRDefault="0091325F" w:rsidP="00B332DE">
      <w:pPr>
        <w:ind w:firstLine="640"/>
      </w:pPr>
      <w:r>
        <w:separator/>
      </w:r>
    </w:p>
  </w:footnote>
  <w:footnote w:type="continuationSeparator" w:id="1">
    <w:p w:rsidR="0091325F" w:rsidRDefault="0091325F" w:rsidP="00B332D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DC1"/>
    <w:rsid w:val="000454D0"/>
    <w:rsid w:val="003050AB"/>
    <w:rsid w:val="00421DC1"/>
    <w:rsid w:val="00566424"/>
    <w:rsid w:val="0091325F"/>
    <w:rsid w:val="00B332DE"/>
    <w:rsid w:val="00BB4122"/>
    <w:rsid w:val="3E87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8" type="connector" idref="#_x0000_s1028"/>
        <o:r id="V:Rule9" type="connector" idref="#_x0000_s1038"/>
        <o:r id="V:Rule10" type="connector" idref="#_x0000_s1029"/>
        <o:r id="V:Rule11" type="connector" idref="#_x0000_s1049"/>
        <o:r id="V:Rule12" type="connector" idref="#_x0000_s1046"/>
        <o:r id="V:Rule13" type="connector" idref="#_x0000_s1039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2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B4122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eastAsia="ja-JP"/>
    </w:rPr>
  </w:style>
  <w:style w:type="paragraph" w:styleId="a4">
    <w:name w:val="header"/>
    <w:basedOn w:val="a"/>
    <w:link w:val="Char"/>
    <w:uiPriority w:val="99"/>
    <w:semiHidden/>
    <w:unhideWhenUsed/>
    <w:rsid w:val="00B3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32D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32D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0"/>
    <customShpInfo spid="_x0000_s1031"/>
    <customShpInfo spid="_x0000_s1028"/>
    <customShpInfo spid="_x0000_s1032"/>
    <customShpInfo spid="_x0000_s1029"/>
    <customShpInfo spid="_x0000_s1026"/>
    <customShpInfo spid="_x0000_s1033"/>
    <customShpInfo spid="_x0000_s1041"/>
    <customShpInfo spid="_x0000_s1040"/>
    <customShpInfo spid="_x0000_s1034"/>
    <customShpInfo spid="_x0000_s1039"/>
    <customShpInfo spid="_x0000_s1035"/>
    <customShpInfo spid="_x0000_s1036"/>
    <customShpInfo spid="_x0000_s1037"/>
    <customShpInfo spid="_x0000_s1042"/>
    <customShpInfo spid="_x0000_s1038"/>
    <customShpInfo spid="_x0000_s1043"/>
    <customShpInfo spid="_x0000_s1045"/>
    <customShpInfo spid="_x0000_s1044"/>
    <customShpInfo spid="_x0000_s1047"/>
    <customShpInfo spid="_x0000_s1048"/>
    <customShpInfo spid="_x0000_s1046"/>
    <customShpInfo spid="_x0000_s1051"/>
    <customShpInfo spid="_x0000_s1050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Sky123.Org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2019-12-23T09:11:00Z</cp:lastPrinted>
  <dcterms:created xsi:type="dcterms:W3CDTF">2019-12-23T09:12:00Z</dcterms:created>
  <dcterms:modified xsi:type="dcterms:W3CDTF">2019-12-23T09:12:00Z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