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CA" w:rsidRDefault="00491D13">
      <w:pPr>
        <w:pStyle w:val="1"/>
        <w:widowControl/>
        <w:shd w:val="clear" w:color="070000" w:fill="FFFFFF"/>
        <w:spacing w:beforeAutospacing="0" w:afterAutospacing="0" w:line="300" w:lineRule="exact"/>
        <w:rPr>
          <w:rFonts w:ascii="仿宋" w:eastAsia="仿宋" w:hAnsi="仿宋" w:cs="仿宋" w:hint="default"/>
          <w:color w:val="000000"/>
          <w:sz w:val="28"/>
          <w:szCs w:val="28"/>
          <w:shd w:val="clear" w:color="080000" w:fill="FFFFFF"/>
        </w:rPr>
      </w:pPr>
      <w:r>
        <w:rPr>
          <w:rFonts w:ascii="仿宋" w:eastAsia="仿宋" w:hAnsi="仿宋" w:cs="仿宋"/>
          <w:color w:val="000000"/>
          <w:sz w:val="28"/>
          <w:szCs w:val="28"/>
          <w:shd w:val="clear" w:color="080000" w:fill="FFFFFF"/>
        </w:rPr>
        <w:t xml:space="preserve"> </w:t>
      </w:r>
    </w:p>
    <w:p w:rsidR="002C2ECA" w:rsidRDefault="002C2ECA">
      <w:pPr>
        <w:pStyle w:val="a5"/>
        <w:widowControl/>
        <w:spacing w:beforeAutospacing="0" w:afterAutospacing="0" w:line="560" w:lineRule="exact"/>
        <w:jc w:val="center"/>
        <w:rPr>
          <w:rFonts w:ascii="方正小标宋简体" w:eastAsia="方正小标宋简体" w:hAnsi="方正小标宋简体" w:cs="方正小标宋简体"/>
          <w:color w:val="000000"/>
          <w:sz w:val="44"/>
          <w:szCs w:val="44"/>
        </w:rPr>
      </w:pPr>
    </w:p>
    <w:p w:rsidR="002C2ECA" w:rsidRDefault="002C2ECA">
      <w:pPr>
        <w:pStyle w:val="a5"/>
        <w:widowControl/>
        <w:spacing w:beforeAutospacing="0" w:afterAutospacing="0" w:line="560" w:lineRule="exact"/>
        <w:jc w:val="center"/>
        <w:rPr>
          <w:rFonts w:ascii="黑体" w:eastAsia="黑体" w:hAnsi="黑体"/>
          <w:sz w:val="44"/>
          <w:szCs w:val="44"/>
        </w:rPr>
      </w:pPr>
    </w:p>
    <w:p w:rsidR="002C2ECA" w:rsidRDefault="00491D13">
      <w:pPr>
        <w:pStyle w:val="a5"/>
        <w:widowControl/>
        <w:spacing w:beforeAutospacing="0" w:afterAutospacing="0" w:line="560" w:lineRule="exact"/>
        <w:jc w:val="center"/>
        <w:rPr>
          <w:rFonts w:ascii="黑体" w:eastAsia="黑体" w:hAnsi="黑体"/>
          <w:color w:val="000000"/>
          <w:spacing w:val="-20"/>
          <w:sz w:val="44"/>
          <w:szCs w:val="44"/>
        </w:rPr>
      </w:pPr>
      <w:r>
        <w:rPr>
          <w:rFonts w:ascii="黑体" w:eastAsia="黑体" w:hAnsi="黑体" w:hint="eastAsia"/>
          <w:sz w:val="44"/>
          <w:szCs w:val="44"/>
        </w:rPr>
        <w:t>2021</w:t>
      </w:r>
      <w:r>
        <w:rPr>
          <w:rFonts w:ascii="黑体" w:eastAsia="黑体" w:hAnsi="黑体" w:hint="eastAsia"/>
          <w:sz w:val="44"/>
          <w:szCs w:val="44"/>
        </w:rPr>
        <w:t>年预算及“三公”经费预算公开情况</w:t>
      </w:r>
    </w:p>
    <w:p w:rsidR="002C2ECA" w:rsidRDefault="002C2ECA">
      <w:pPr>
        <w:pStyle w:val="a5"/>
        <w:widowControl/>
        <w:spacing w:beforeAutospacing="0" w:afterAutospacing="0" w:line="560" w:lineRule="exact"/>
        <w:jc w:val="both"/>
        <w:rPr>
          <w:rFonts w:ascii="方正小标宋简体" w:eastAsia="方正小标宋简体" w:hAnsi="方正小标宋简体" w:cs="方正小标宋简体"/>
          <w:color w:val="000000"/>
          <w:spacing w:val="-20"/>
          <w:sz w:val="44"/>
          <w:szCs w:val="44"/>
        </w:rPr>
      </w:pPr>
    </w:p>
    <w:p w:rsidR="002C2ECA" w:rsidRDefault="002C2ECA">
      <w:pPr>
        <w:pStyle w:val="a5"/>
        <w:widowControl/>
        <w:spacing w:beforeAutospacing="0" w:afterAutospacing="0" w:line="560" w:lineRule="exact"/>
        <w:jc w:val="center"/>
        <w:rPr>
          <w:rFonts w:ascii="方正小标宋简体" w:eastAsia="方正小标宋简体" w:hAnsi="方正小标宋简体" w:cs="方正小标宋简体"/>
          <w:color w:val="000000"/>
          <w:spacing w:val="-20"/>
          <w:sz w:val="44"/>
          <w:szCs w:val="44"/>
        </w:rPr>
      </w:pPr>
    </w:p>
    <w:p w:rsidR="002C2ECA" w:rsidRDefault="002C2ECA">
      <w:pPr>
        <w:pStyle w:val="a5"/>
        <w:widowControl/>
        <w:spacing w:beforeAutospacing="0" w:afterAutospacing="0" w:line="560" w:lineRule="exact"/>
        <w:jc w:val="center"/>
        <w:rPr>
          <w:rFonts w:ascii="方正小标宋简体" w:eastAsia="方正小标宋简体" w:hAnsi="方正小标宋简体" w:cs="方正小标宋简体"/>
          <w:color w:val="000000"/>
          <w:spacing w:val="-20"/>
          <w:sz w:val="44"/>
          <w:szCs w:val="44"/>
        </w:rPr>
      </w:pPr>
    </w:p>
    <w:p w:rsidR="002C2ECA" w:rsidRDefault="002C2ECA">
      <w:pPr>
        <w:pStyle w:val="1"/>
        <w:widowControl/>
        <w:shd w:val="clear" w:color="070000" w:fill="FFFFFF"/>
        <w:spacing w:beforeAutospacing="0" w:afterAutospacing="0" w:line="300" w:lineRule="exact"/>
        <w:rPr>
          <w:rFonts w:ascii="仿宋" w:eastAsia="仿宋" w:hAnsi="仿宋" w:cs="仿宋" w:hint="default"/>
          <w:color w:val="000000"/>
          <w:sz w:val="28"/>
          <w:szCs w:val="28"/>
          <w:shd w:val="clear" w:color="080000" w:fill="FFFFFF"/>
        </w:rPr>
      </w:pPr>
    </w:p>
    <w:p w:rsidR="002C2ECA" w:rsidRDefault="00491D13">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bookmarkStart w:id="0" w:name="_Toc6135"/>
      <w:bookmarkStart w:id="1" w:name="_Toc14297"/>
      <w:bookmarkStart w:id="2" w:name="_Toc17517"/>
      <w:bookmarkStart w:id="3" w:name="_Toc11672"/>
      <w:r>
        <w:rPr>
          <w:rFonts w:ascii="仿宋" w:eastAsia="仿宋" w:hAnsi="仿宋" w:cs="仿宋"/>
          <w:color w:val="000000"/>
          <w:sz w:val="28"/>
          <w:szCs w:val="28"/>
          <w:shd w:val="clear" w:color="080000" w:fill="FFFFFF"/>
        </w:rPr>
        <w:t> </w:t>
      </w:r>
      <w:bookmarkEnd w:id="0"/>
      <w:bookmarkEnd w:id="1"/>
      <w:bookmarkEnd w:id="2"/>
      <w:bookmarkEnd w:id="3"/>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491D13">
      <w:pPr>
        <w:pStyle w:val="1"/>
        <w:widowControl/>
        <w:shd w:val="clear" w:color="060000" w:fill="FFFFFF"/>
        <w:spacing w:beforeAutospacing="0" w:afterAutospacing="0"/>
        <w:jc w:val="center"/>
        <w:rPr>
          <w:rFonts w:hint="default"/>
          <w:b w:val="0"/>
          <w:bCs w:val="0"/>
          <w:color w:val="000000"/>
          <w:sz w:val="32"/>
          <w:szCs w:val="32"/>
          <w:shd w:val="clear" w:color="080000" w:fill="FFFFFF"/>
        </w:rPr>
      </w:pPr>
      <w:bookmarkStart w:id="4" w:name="_Toc17288"/>
      <w:bookmarkStart w:id="5" w:name="_Toc23694"/>
      <w:bookmarkStart w:id="6" w:name="_Toc1775"/>
      <w:bookmarkStart w:id="7" w:name="_Toc28378"/>
      <w:r>
        <w:rPr>
          <w:b w:val="0"/>
          <w:bCs w:val="0"/>
          <w:color w:val="000000"/>
          <w:sz w:val="32"/>
          <w:szCs w:val="32"/>
          <w:shd w:val="clear" w:color="080000" w:fill="FFFFFF"/>
        </w:rPr>
        <w:t>忻州市统计局</w:t>
      </w:r>
      <w:bookmarkEnd w:id="4"/>
      <w:bookmarkEnd w:id="5"/>
      <w:bookmarkEnd w:id="6"/>
      <w:bookmarkEnd w:id="7"/>
    </w:p>
    <w:p w:rsidR="002C2ECA" w:rsidRDefault="00491D13">
      <w:pPr>
        <w:jc w:val="center"/>
        <w:rPr>
          <w:rFonts w:ascii="宋体" w:hAnsi="宋体" w:cs="宋体"/>
          <w:color w:val="000000"/>
          <w:kern w:val="0"/>
          <w:sz w:val="32"/>
          <w:szCs w:val="32"/>
          <w:shd w:val="clear" w:color="090000" w:fill="FFFFFF"/>
        </w:rPr>
      </w:pPr>
      <w:r>
        <w:rPr>
          <w:rFonts w:ascii="宋体" w:hAnsi="宋体" w:cs="宋体" w:hint="eastAsia"/>
          <w:color w:val="000000"/>
          <w:kern w:val="0"/>
          <w:sz w:val="32"/>
          <w:szCs w:val="32"/>
          <w:shd w:val="clear" w:color="090000" w:fill="FFFFFF"/>
        </w:rPr>
        <w:t>2021</w:t>
      </w:r>
      <w:r>
        <w:rPr>
          <w:rFonts w:ascii="宋体" w:hAnsi="宋体" w:cs="宋体" w:hint="eastAsia"/>
          <w:color w:val="000000"/>
          <w:kern w:val="0"/>
          <w:sz w:val="32"/>
          <w:szCs w:val="32"/>
          <w:shd w:val="clear" w:color="090000" w:fill="FFFFFF"/>
        </w:rPr>
        <w:t>年</w:t>
      </w:r>
      <w:r>
        <w:rPr>
          <w:rFonts w:ascii="宋体" w:hAnsi="宋体" w:cs="宋体" w:hint="eastAsia"/>
          <w:color w:val="000000"/>
          <w:kern w:val="0"/>
          <w:sz w:val="32"/>
          <w:szCs w:val="32"/>
          <w:shd w:val="clear" w:color="090000" w:fill="FFFFFF"/>
        </w:rPr>
        <w:t>3</w:t>
      </w:r>
      <w:r>
        <w:rPr>
          <w:rFonts w:ascii="宋体" w:hAnsi="宋体" w:cs="宋体" w:hint="eastAsia"/>
          <w:color w:val="000000"/>
          <w:kern w:val="0"/>
          <w:sz w:val="32"/>
          <w:szCs w:val="32"/>
          <w:shd w:val="clear" w:color="090000" w:fill="FFFFFF"/>
        </w:rPr>
        <w:t>月</w:t>
      </w:r>
      <w:r>
        <w:rPr>
          <w:rFonts w:ascii="宋体" w:hAnsi="宋体" w:cs="宋体" w:hint="eastAsia"/>
          <w:color w:val="000000"/>
          <w:kern w:val="0"/>
          <w:sz w:val="32"/>
          <w:szCs w:val="32"/>
          <w:shd w:val="clear" w:color="090000" w:fill="FFFFFF"/>
        </w:rPr>
        <w:t>25</w:t>
      </w:r>
      <w:r>
        <w:rPr>
          <w:rFonts w:ascii="宋体" w:hAnsi="宋体" w:cs="宋体" w:hint="eastAsia"/>
          <w:color w:val="000000"/>
          <w:kern w:val="0"/>
          <w:sz w:val="32"/>
          <w:szCs w:val="32"/>
          <w:shd w:val="clear" w:color="090000" w:fill="FFFFFF"/>
        </w:rPr>
        <w:t>日</w:t>
      </w:r>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2C2EC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2C2ECA" w:rsidRDefault="002C2ECA">
      <w:pPr>
        <w:pStyle w:val="10"/>
        <w:tabs>
          <w:tab w:val="right" w:leader="dot" w:pos="8306"/>
        </w:tabs>
        <w:rPr>
          <w:rFonts w:ascii="仿宋" w:eastAsia="仿宋" w:hAnsi="仿宋" w:cs="仿宋"/>
          <w:color w:val="000000"/>
          <w:sz w:val="28"/>
          <w:szCs w:val="28"/>
          <w:shd w:val="clear" w:color="080000" w:fill="FFFFFF"/>
        </w:rPr>
        <w:sectPr w:rsidR="002C2ECA">
          <w:pgSz w:w="11906" w:h="16838"/>
          <w:pgMar w:top="1440" w:right="1800" w:bottom="1440" w:left="1800" w:header="851" w:footer="992" w:gutter="0"/>
          <w:cols w:space="720"/>
          <w:docGrid w:type="lines" w:linePitch="312"/>
        </w:sectPr>
      </w:pPr>
    </w:p>
    <w:p w:rsidR="002C2ECA" w:rsidRDefault="002C2ECA">
      <w:pPr>
        <w:pStyle w:val="10"/>
        <w:tabs>
          <w:tab w:val="right" w:leader="dot" w:pos="8306"/>
        </w:tabs>
        <w:spacing w:line="500" w:lineRule="exact"/>
        <w:jc w:val="center"/>
        <w:rPr>
          <w:rFonts w:ascii="Times New Roman" w:hAnsi="Times New Roman" w:cs="Times New Roman"/>
          <w:color w:val="000000"/>
          <w:sz w:val="32"/>
          <w:szCs w:val="32"/>
          <w:shd w:val="clear" w:color="080000" w:fill="FFFFFF"/>
        </w:rPr>
      </w:pPr>
    </w:p>
    <w:p w:rsidR="002C2ECA" w:rsidRDefault="00491D13">
      <w:pPr>
        <w:pStyle w:val="10"/>
        <w:tabs>
          <w:tab w:val="right" w:leader="dot" w:pos="8306"/>
        </w:tabs>
        <w:jc w:val="center"/>
        <w:rPr>
          <w:rFonts w:ascii="宋体" w:hAnsi="宋体" w:cs="宋体"/>
          <w:color w:val="000000"/>
          <w:kern w:val="44"/>
          <w:sz w:val="28"/>
          <w:szCs w:val="28"/>
          <w:shd w:val="clear" w:color="080000" w:fill="FFFFFF"/>
        </w:rPr>
      </w:pPr>
      <w:r>
        <w:rPr>
          <w:rFonts w:ascii="Times New Roman" w:hAnsi="Times New Roman" w:cs="宋体"/>
          <w:color w:val="000000"/>
          <w:sz w:val="28"/>
          <w:szCs w:val="28"/>
          <w:shd w:val="clear" w:color="080000" w:fill="FFFFFF"/>
        </w:rPr>
        <w:fldChar w:fldCharType="begin"/>
      </w:r>
      <w:r>
        <w:rPr>
          <w:rFonts w:ascii="Times New Roman" w:hAnsi="Times New Roman" w:cs="宋体"/>
          <w:color w:val="000000"/>
          <w:sz w:val="28"/>
          <w:szCs w:val="28"/>
          <w:shd w:val="clear" w:color="080000" w:fill="FFFFFF"/>
        </w:rPr>
        <w:instrText xml:space="preserve">TOC \o "1-3" \h  \u </w:instrText>
      </w:r>
      <w:r>
        <w:rPr>
          <w:rFonts w:ascii="Times New Roman" w:hAnsi="Times New Roman" w:cs="宋体"/>
          <w:color w:val="000000"/>
          <w:sz w:val="28"/>
          <w:szCs w:val="28"/>
          <w:shd w:val="clear" w:color="080000" w:fill="FFFFFF"/>
        </w:rPr>
        <w:fldChar w:fldCharType="separate"/>
      </w:r>
      <w:hyperlink w:anchor="_Toc28378" w:history="1">
        <w:r>
          <w:rPr>
            <w:rFonts w:ascii="宋体" w:hAnsi="宋体" w:cs="宋体" w:hint="eastAsia"/>
            <w:sz w:val="28"/>
            <w:szCs w:val="28"/>
            <w:shd w:val="clear" w:color="080000" w:fill="FFFFFF"/>
          </w:rPr>
          <w:t>忻州市统计局</w:t>
        </w:r>
      </w:hyperlink>
      <w:r>
        <w:rPr>
          <w:rFonts w:ascii="宋体" w:hAnsi="宋体" w:cs="宋体" w:hint="eastAsia"/>
          <w:color w:val="000000"/>
          <w:kern w:val="44"/>
          <w:sz w:val="28"/>
          <w:szCs w:val="28"/>
          <w:shd w:val="clear" w:color="080000" w:fill="FFFFFF"/>
        </w:rPr>
        <w:t>2021</w:t>
      </w:r>
      <w:r>
        <w:rPr>
          <w:rFonts w:ascii="宋体" w:hAnsi="宋体" w:cs="宋体" w:hint="eastAsia"/>
          <w:color w:val="000000"/>
          <w:kern w:val="44"/>
          <w:sz w:val="28"/>
          <w:szCs w:val="28"/>
          <w:shd w:val="clear" w:color="080000" w:fill="FFFFFF"/>
        </w:rPr>
        <w:t>部门预算及“三公”经费预算公开情况</w:t>
      </w:r>
    </w:p>
    <w:p w:rsidR="002C2ECA" w:rsidRDefault="002C2ECA">
      <w:pPr>
        <w:pStyle w:val="10"/>
        <w:tabs>
          <w:tab w:val="right" w:leader="dot" w:pos="8306"/>
        </w:tabs>
        <w:jc w:val="center"/>
        <w:rPr>
          <w:rFonts w:ascii="宋体" w:hAnsi="宋体" w:cs="宋体"/>
          <w:color w:val="000000"/>
          <w:kern w:val="44"/>
          <w:sz w:val="28"/>
          <w:szCs w:val="28"/>
          <w:shd w:val="clear" w:color="080000" w:fill="FFFFFF"/>
        </w:rPr>
      </w:pPr>
    </w:p>
    <w:p w:rsidR="002C2ECA" w:rsidRDefault="00491D13">
      <w:pPr>
        <w:pStyle w:val="10"/>
        <w:tabs>
          <w:tab w:val="right" w:leader="dot" w:pos="8306"/>
        </w:tabs>
        <w:rPr>
          <w:rFonts w:cs="宋体"/>
          <w:sz w:val="28"/>
          <w:szCs w:val="28"/>
        </w:rPr>
      </w:pPr>
      <w:hyperlink w:anchor="_Toc10114" w:history="1">
        <w:r>
          <w:rPr>
            <w:rFonts w:cs="宋体" w:hint="eastAsia"/>
            <w:sz w:val="28"/>
            <w:szCs w:val="28"/>
          </w:rPr>
          <w:t>一、忻州市统计局概况</w:t>
        </w:r>
        <w:r>
          <w:rPr>
            <w:rFonts w:cs="宋体"/>
            <w:sz w:val="28"/>
            <w:szCs w:val="28"/>
          </w:rPr>
          <w:tab/>
        </w:r>
        <w:r>
          <w:rPr>
            <w:rFonts w:cs="宋体"/>
            <w:sz w:val="28"/>
            <w:szCs w:val="28"/>
          </w:rPr>
          <w:fldChar w:fldCharType="begin"/>
        </w:r>
        <w:r>
          <w:rPr>
            <w:rFonts w:cs="宋体"/>
            <w:sz w:val="28"/>
            <w:szCs w:val="28"/>
          </w:rPr>
          <w:instrText xml:space="preserve"> PAGEREF _Toc10114 \h </w:instrText>
        </w:r>
        <w:r>
          <w:rPr>
            <w:rFonts w:cs="宋体"/>
            <w:sz w:val="28"/>
            <w:szCs w:val="28"/>
          </w:rPr>
        </w:r>
        <w:r>
          <w:rPr>
            <w:rFonts w:cs="宋体"/>
            <w:sz w:val="28"/>
            <w:szCs w:val="28"/>
          </w:rPr>
          <w:fldChar w:fldCharType="separate"/>
        </w:r>
        <w:r>
          <w:rPr>
            <w:rFonts w:cs="宋体"/>
            <w:sz w:val="28"/>
            <w:szCs w:val="28"/>
          </w:rPr>
          <w:t>1</w:t>
        </w:r>
        <w:r>
          <w:rPr>
            <w:rFonts w:cs="宋体"/>
            <w:sz w:val="28"/>
            <w:szCs w:val="28"/>
          </w:rPr>
          <w:fldChar w:fldCharType="end"/>
        </w:r>
      </w:hyperlink>
    </w:p>
    <w:p w:rsidR="002C2ECA" w:rsidRDefault="00491D13">
      <w:pPr>
        <w:pStyle w:val="20"/>
        <w:tabs>
          <w:tab w:val="right" w:leader="dot" w:pos="8306"/>
        </w:tabs>
        <w:rPr>
          <w:rFonts w:cs="宋体"/>
          <w:sz w:val="28"/>
          <w:szCs w:val="28"/>
        </w:rPr>
      </w:pPr>
      <w:hyperlink w:anchor="_Toc17077" w:history="1">
        <w:r>
          <w:rPr>
            <w:rFonts w:cs="宋体" w:hint="eastAsia"/>
            <w:sz w:val="28"/>
            <w:szCs w:val="28"/>
          </w:rPr>
          <w:t>（一）主要职责</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_Toc17077 \h </w:instrText>
        </w:r>
        <w:r>
          <w:rPr>
            <w:rFonts w:cs="宋体"/>
            <w:sz w:val="28"/>
            <w:szCs w:val="28"/>
          </w:rPr>
        </w:r>
        <w:r>
          <w:rPr>
            <w:rFonts w:cs="宋体"/>
            <w:sz w:val="28"/>
            <w:szCs w:val="28"/>
          </w:rPr>
          <w:fldChar w:fldCharType="separate"/>
        </w:r>
        <w:r>
          <w:rPr>
            <w:rFonts w:cs="宋体"/>
            <w:sz w:val="28"/>
            <w:szCs w:val="28"/>
          </w:rPr>
          <w:t>2</w:t>
        </w:r>
        <w:r>
          <w:rPr>
            <w:rFonts w:cs="宋体"/>
            <w:sz w:val="28"/>
            <w:szCs w:val="28"/>
          </w:rPr>
          <w:fldChar w:fldCharType="end"/>
        </w:r>
      </w:hyperlink>
    </w:p>
    <w:p w:rsidR="002C2ECA" w:rsidRDefault="00491D13">
      <w:pPr>
        <w:pStyle w:val="20"/>
        <w:tabs>
          <w:tab w:val="right" w:leader="dot" w:pos="8306"/>
        </w:tabs>
        <w:rPr>
          <w:rFonts w:cs="宋体"/>
          <w:sz w:val="28"/>
          <w:szCs w:val="28"/>
        </w:rPr>
      </w:pPr>
      <w:hyperlink w:anchor="_Toc12872" w:history="1">
        <w:r>
          <w:rPr>
            <w:rFonts w:cs="宋体" w:hint="eastAsia"/>
            <w:sz w:val="28"/>
            <w:szCs w:val="28"/>
          </w:rPr>
          <w:t>（二</w:t>
        </w:r>
        <w:r>
          <w:rPr>
            <w:rFonts w:cs="宋体" w:hint="eastAsia"/>
            <w:sz w:val="28"/>
            <w:szCs w:val="28"/>
          </w:rPr>
          <w:t>）部门预算单位构成</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_Toc12872 \h </w:instrText>
        </w:r>
        <w:r>
          <w:rPr>
            <w:rFonts w:cs="宋体"/>
            <w:sz w:val="28"/>
            <w:szCs w:val="28"/>
          </w:rPr>
        </w:r>
        <w:r>
          <w:rPr>
            <w:rFonts w:cs="宋体"/>
            <w:sz w:val="28"/>
            <w:szCs w:val="28"/>
          </w:rPr>
          <w:fldChar w:fldCharType="separate"/>
        </w:r>
        <w:r>
          <w:rPr>
            <w:rFonts w:cs="宋体"/>
            <w:sz w:val="28"/>
            <w:szCs w:val="28"/>
          </w:rPr>
          <w:t>4</w:t>
        </w:r>
        <w:r>
          <w:rPr>
            <w:rFonts w:cs="宋体"/>
            <w:sz w:val="28"/>
            <w:szCs w:val="28"/>
          </w:rPr>
          <w:fldChar w:fldCharType="end"/>
        </w:r>
      </w:hyperlink>
    </w:p>
    <w:p w:rsidR="002C2ECA" w:rsidRDefault="00491D13">
      <w:pPr>
        <w:pStyle w:val="10"/>
        <w:tabs>
          <w:tab w:val="right" w:leader="dot" w:pos="8306"/>
        </w:tabs>
        <w:rPr>
          <w:rFonts w:cs="宋体"/>
          <w:sz w:val="28"/>
          <w:szCs w:val="28"/>
        </w:rPr>
      </w:pPr>
      <w:hyperlink w:anchor="_Toc11774" w:history="1">
        <w:r>
          <w:rPr>
            <w:rFonts w:cs="宋体" w:hint="eastAsia"/>
            <w:sz w:val="28"/>
            <w:szCs w:val="28"/>
          </w:rPr>
          <w:t> </w:t>
        </w:r>
        <w:r>
          <w:rPr>
            <w:rFonts w:cs="宋体" w:hint="eastAsia"/>
            <w:sz w:val="28"/>
            <w:szCs w:val="28"/>
          </w:rPr>
          <w:t>二、忻州市统计局</w:t>
        </w:r>
        <w:r>
          <w:rPr>
            <w:rFonts w:cs="宋体" w:hint="eastAsia"/>
            <w:sz w:val="28"/>
            <w:szCs w:val="28"/>
          </w:rPr>
          <w:t>2021</w:t>
        </w:r>
        <w:r>
          <w:rPr>
            <w:rFonts w:cs="宋体" w:hint="eastAsia"/>
            <w:sz w:val="28"/>
            <w:szCs w:val="28"/>
          </w:rPr>
          <w:t>年部门预算表</w:t>
        </w:r>
        <w:r>
          <w:rPr>
            <w:rFonts w:cs="宋体"/>
            <w:sz w:val="28"/>
            <w:szCs w:val="28"/>
          </w:rPr>
          <w:tab/>
        </w:r>
        <w:r>
          <w:rPr>
            <w:rFonts w:cs="宋体"/>
            <w:sz w:val="28"/>
            <w:szCs w:val="28"/>
          </w:rPr>
          <w:fldChar w:fldCharType="begin"/>
        </w:r>
        <w:r>
          <w:rPr>
            <w:rFonts w:cs="宋体"/>
            <w:sz w:val="28"/>
            <w:szCs w:val="28"/>
          </w:rPr>
          <w:instrText xml:space="preserve"> PAGEREF _Toc11774 \h </w:instrText>
        </w:r>
        <w:r>
          <w:rPr>
            <w:rFonts w:cs="宋体"/>
            <w:sz w:val="28"/>
            <w:szCs w:val="28"/>
          </w:rPr>
        </w:r>
        <w:r>
          <w:rPr>
            <w:rFonts w:cs="宋体"/>
            <w:sz w:val="28"/>
            <w:szCs w:val="28"/>
          </w:rPr>
          <w:fldChar w:fldCharType="separate"/>
        </w:r>
        <w:r>
          <w:rPr>
            <w:rFonts w:cs="宋体"/>
            <w:sz w:val="28"/>
            <w:szCs w:val="28"/>
          </w:rPr>
          <w:t>4</w:t>
        </w:r>
        <w:r>
          <w:rPr>
            <w:rFonts w:cs="宋体"/>
            <w:sz w:val="28"/>
            <w:szCs w:val="28"/>
          </w:rPr>
          <w:fldChar w:fldCharType="end"/>
        </w:r>
      </w:hyperlink>
    </w:p>
    <w:p w:rsidR="002C2ECA" w:rsidRDefault="00491D13">
      <w:pPr>
        <w:pStyle w:val="10"/>
        <w:tabs>
          <w:tab w:val="right" w:leader="dot" w:pos="8306"/>
        </w:tabs>
        <w:rPr>
          <w:rFonts w:cs="宋体"/>
          <w:sz w:val="28"/>
          <w:szCs w:val="28"/>
        </w:rPr>
      </w:pPr>
      <w:hyperlink w:anchor="_Toc29117" w:history="1">
        <w:r>
          <w:rPr>
            <w:rFonts w:cs="宋体" w:hint="eastAsia"/>
            <w:sz w:val="28"/>
            <w:szCs w:val="28"/>
          </w:rPr>
          <w:t>三、忻州市统计局部门预算情况说明</w:t>
        </w:r>
        <w:r>
          <w:rPr>
            <w:rFonts w:cs="宋体"/>
            <w:sz w:val="28"/>
            <w:szCs w:val="28"/>
          </w:rPr>
          <w:tab/>
        </w:r>
        <w:r>
          <w:rPr>
            <w:rFonts w:cs="宋体"/>
            <w:sz w:val="28"/>
            <w:szCs w:val="28"/>
          </w:rPr>
          <w:fldChar w:fldCharType="begin"/>
        </w:r>
        <w:r>
          <w:rPr>
            <w:rFonts w:cs="宋体"/>
            <w:sz w:val="28"/>
            <w:szCs w:val="28"/>
          </w:rPr>
          <w:instrText xml:space="preserve"> PAGEREF _Toc29117 \h </w:instrText>
        </w:r>
        <w:r>
          <w:rPr>
            <w:rFonts w:cs="宋体"/>
            <w:sz w:val="28"/>
            <w:szCs w:val="28"/>
          </w:rPr>
        </w:r>
        <w:r>
          <w:rPr>
            <w:rFonts w:cs="宋体"/>
            <w:sz w:val="28"/>
            <w:szCs w:val="28"/>
          </w:rPr>
          <w:fldChar w:fldCharType="separate"/>
        </w:r>
        <w:r>
          <w:rPr>
            <w:rFonts w:cs="宋体"/>
            <w:sz w:val="28"/>
            <w:szCs w:val="28"/>
          </w:rPr>
          <w:t>4</w:t>
        </w:r>
        <w:r>
          <w:rPr>
            <w:rFonts w:cs="宋体"/>
            <w:sz w:val="28"/>
            <w:szCs w:val="28"/>
          </w:rPr>
          <w:fldChar w:fldCharType="end"/>
        </w:r>
      </w:hyperlink>
    </w:p>
    <w:p w:rsidR="002C2ECA" w:rsidRDefault="00491D13">
      <w:pPr>
        <w:pStyle w:val="20"/>
        <w:tabs>
          <w:tab w:val="right" w:leader="dot" w:pos="8306"/>
        </w:tabs>
        <w:rPr>
          <w:rFonts w:cs="宋体"/>
          <w:sz w:val="28"/>
          <w:szCs w:val="28"/>
        </w:rPr>
      </w:pPr>
      <w:hyperlink w:anchor="_Toc32589" w:history="1">
        <w:r>
          <w:rPr>
            <w:rFonts w:cs="宋体" w:hint="eastAsia"/>
            <w:sz w:val="28"/>
            <w:szCs w:val="28"/>
          </w:rPr>
          <w:t>（一）收入预算情况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_Toc32589 \h </w:instrText>
        </w:r>
        <w:r>
          <w:rPr>
            <w:rFonts w:cs="宋体"/>
            <w:sz w:val="28"/>
            <w:szCs w:val="28"/>
          </w:rPr>
        </w:r>
        <w:r>
          <w:rPr>
            <w:rFonts w:cs="宋体"/>
            <w:sz w:val="28"/>
            <w:szCs w:val="28"/>
          </w:rPr>
          <w:fldChar w:fldCharType="separate"/>
        </w:r>
        <w:r>
          <w:rPr>
            <w:rFonts w:cs="宋体"/>
            <w:sz w:val="28"/>
            <w:szCs w:val="28"/>
          </w:rPr>
          <w:t>5</w:t>
        </w:r>
        <w:r>
          <w:rPr>
            <w:rFonts w:cs="宋体"/>
            <w:sz w:val="28"/>
            <w:szCs w:val="28"/>
          </w:rPr>
          <w:fldChar w:fldCharType="end"/>
        </w:r>
      </w:hyperlink>
    </w:p>
    <w:p w:rsidR="002C2ECA" w:rsidRDefault="00491D13">
      <w:pPr>
        <w:pStyle w:val="20"/>
        <w:tabs>
          <w:tab w:val="right" w:leader="dot" w:pos="8306"/>
        </w:tabs>
        <w:rPr>
          <w:rFonts w:cs="宋体"/>
          <w:sz w:val="28"/>
          <w:szCs w:val="28"/>
        </w:rPr>
      </w:pPr>
      <w:hyperlink w:anchor="_Toc5092" w:history="1">
        <w:r>
          <w:rPr>
            <w:rFonts w:cs="宋体" w:hint="eastAsia"/>
            <w:sz w:val="28"/>
            <w:szCs w:val="28"/>
          </w:rPr>
          <w:t>（二）支出情况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_Toc5092 \h </w:instrText>
        </w:r>
        <w:r>
          <w:rPr>
            <w:rFonts w:cs="宋体"/>
            <w:sz w:val="28"/>
            <w:szCs w:val="28"/>
          </w:rPr>
        </w:r>
        <w:r>
          <w:rPr>
            <w:rFonts w:cs="宋体"/>
            <w:sz w:val="28"/>
            <w:szCs w:val="28"/>
          </w:rPr>
          <w:fldChar w:fldCharType="separate"/>
        </w:r>
        <w:r>
          <w:rPr>
            <w:rFonts w:cs="宋体"/>
            <w:sz w:val="28"/>
            <w:szCs w:val="28"/>
          </w:rPr>
          <w:t>5</w:t>
        </w:r>
        <w:r>
          <w:rPr>
            <w:rFonts w:cs="宋体"/>
            <w:sz w:val="28"/>
            <w:szCs w:val="28"/>
          </w:rPr>
          <w:fldChar w:fldCharType="end"/>
        </w:r>
      </w:hyperlink>
    </w:p>
    <w:p w:rsidR="002C2ECA" w:rsidRDefault="00491D13">
      <w:pPr>
        <w:pStyle w:val="20"/>
        <w:tabs>
          <w:tab w:val="right" w:leader="dot" w:pos="8306"/>
        </w:tabs>
        <w:rPr>
          <w:rFonts w:cs="宋体"/>
          <w:sz w:val="28"/>
          <w:szCs w:val="28"/>
        </w:rPr>
      </w:pPr>
      <w:hyperlink w:anchor="_Toc1853" w:history="1">
        <w:r>
          <w:rPr>
            <w:rFonts w:cs="宋体" w:hint="eastAsia"/>
            <w:sz w:val="28"/>
            <w:szCs w:val="28"/>
          </w:rPr>
          <w:t>（三）“三公”经费情况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_Toc1853 \h </w:instrText>
        </w:r>
        <w:r>
          <w:rPr>
            <w:rFonts w:cs="宋体"/>
            <w:sz w:val="28"/>
            <w:szCs w:val="28"/>
          </w:rPr>
        </w:r>
        <w:r>
          <w:rPr>
            <w:rFonts w:cs="宋体"/>
            <w:sz w:val="28"/>
            <w:szCs w:val="28"/>
          </w:rPr>
          <w:fldChar w:fldCharType="separate"/>
        </w:r>
        <w:r>
          <w:rPr>
            <w:rFonts w:cs="宋体"/>
            <w:sz w:val="28"/>
            <w:szCs w:val="28"/>
          </w:rPr>
          <w:t>5</w:t>
        </w:r>
        <w:r>
          <w:rPr>
            <w:rFonts w:cs="宋体"/>
            <w:sz w:val="28"/>
            <w:szCs w:val="28"/>
          </w:rPr>
          <w:fldChar w:fldCharType="end"/>
        </w:r>
      </w:hyperlink>
    </w:p>
    <w:p w:rsidR="002C2ECA" w:rsidRDefault="00491D13">
      <w:pPr>
        <w:pStyle w:val="20"/>
        <w:tabs>
          <w:tab w:val="right" w:leader="dot" w:pos="8306"/>
        </w:tabs>
        <w:rPr>
          <w:rFonts w:cs="宋体"/>
          <w:sz w:val="28"/>
          <w:szCs w:val="28"/>
        </w:rPr>
      </w:pPr>
      <w:hyperlink w:anchor="_Toc7941" w:history="1">
        <w:r>
          <w:rPr>
            <w:rFonts w:cs="宋体" w:hint="eastAsia"/>
            <w:sz w:val="28"/>
            <w:szCs w:val="28"/>
          </w:rPr>
          <w:t>（四）政府性基金预算情况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_Toc7941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2C2ECA" w:rsidRDefault="00491D13">
      <w:pPr>
        <w:pStyle w:val="20"/>
        <w:tabs>
          <w:tab w:val="right" w:leader="dot" w:pos="8306"/>
        </w:tabs>
        <w:rPr>
          <w:rFonts w:cs="宋体"/>
          <w:sz w:val="28"/>
          <w:szCs w:val="28"/>
        </w:rPr>
      </w:pPr>
      <w:hyperlink w:anchor="_Toc12967" w:history="1">
        <w:r>
          <w:rPr>
            <w:rFonts w:cs="宋体" w:hint="eastAsia"/>
            <w:sz w:val="28"/>
            <w:szCs w:val="28"/>
          </w:rPr>
          <w:t>（五）机关运行经费情况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_Toc12967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2C2ECA" w:rsidRDefault="00491D13">
      <w:pPr>
        <w:pStyle w:val="20"/>
        <w:tabs>
          <w:tab w:val="right" w:leader="dot" w:pos="8306"/>
        </w:tabs>
        <w:rPr>
          <w:rFonts w:cs="宋体"/>
          <w:sz w:val="28"/>
          <w:szCs w:val="28"/>
        </w:rPr>
      </w:pPr>
      <w:hyperlink w:anchor="_Toc5503" w:history="1">
        <w:r>
          <w:rPr>
            <w:rFonts w:cs="宋体" w:hint="eastAsia"/>
            <w:sz w:val="28"/>
            <w:szCs w:val="28"/>
          </w:rPr>
          <w:t>（六）绩效管理情况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_Toc5503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2C2ECA" w:rsidRDefault="00491D13">
      <w:pPr>
        <w:pStyle w:val="20"/>
        <w:tabs>
          <w:tab w:val="right" w:leader="dot" w:pos="8306"/>
        </w:tabs>
        <w:rPr>
          <w:rFonts w:cs="宋体"/>
          <w:sz w:val="28"/>
          <w:szCs w:val="28"/>
        </w:rPr>
      </w:pPr>
      <w:hyperlink w:anchor="_Toc18354" w:history="1">
        <w:r>
          <w:rPr>
            <w:rFonts w:cs="宋体" w:hint="eastAsia"/>
            <w:sz w:val="28"/>
            <w:szCs w:val="28"/>
          </w:rPr>
          <w:t>（七）政府采购情况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_Toc18354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2C2ECA" w:rsidRDefault="00491D13">
      <w:pPr>
        <w:pStyle w:val="20"/>
        <w:tabs>
          <w:tab w:val="right" w:leader="dot" w:pos="8306"/>
        </w:tabs>
        <w:rPr>
          <w:rFonts w:cs="宋体"/>
          <w:sz w:val="28"/>
          <w:szCs w:val="28"/>
        </w:rPr>
      </w:pPr>
      <w:hyperlink w:anchor="_Toc17686" w:history="1">
        <w:r>
          <w:rPr>
            <w:rFonts w:cs="宋体" w:hint="eastAsia"/>
            <w:sz w:val="28"/>
            <w:szCs w:val="28"/>
          </w:rPr>
          <w:t>（八）政府购买服务</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_Toc17686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2C2ECA" w:rsidRDefault="00491D13">
      <w:pPr>
        <w:pStyle w:val="20"/>
        <w:tabs>
          <w:tab w:val="right" w:leader="dot" w:pos="8306"/>
        </w:tabs>
        <w:rPr>
          <w:rFonts w:cs="宋体"/>
          <w:sz w:val="28"/>
          <w:szCs w:val="28"/>
        </w:rPr>
      </w:pPr>
      <w:hyperlink w:anchor="_Toc25695" w:history="1">
        <w:r>
          <w:rPr>
            <w:rFonts w:cs="宋体" w:hint="eastAsia"/>
            <w:sz w:val="28"/>
            <w:szCs w:val="28"/>
          </w:rPr>
          <w:t>（九）国有资产占有使用情况</w:t>
        </w:r>
        <w:r>
          <w:rPr>
            <w:rFonts w:cs="宋体"/>
            <w:sz w:val="28"/>
            <w:szCs w:val="28"/>
          </w:rPr>
          <w:tab/>
        </w:r>
        <w:r>
          <w:rPr>
            <w:rFonts w:cs="宋体"/>
            <w:sz w:val="28"/>
            <w:szCs w:val="28"/>
          </w:rPr>
          <w:fldChar w:fldCharType="begin"/>
        </w:r>
        <w:r>
          <w:rPr>
            <w:rFonts w:cs="宋体"/>
            <w:sz w:val="28"/>
            <w:szCs w:val="28"/>
          </w:rPr>
          <w:instrText xml:space="preserve"> PAGEREF _Toc25695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2C2ECA" w:rsidRDefault="00491D13">
      <w:pPr>
        <w:pStyle w:val="10"/>
        <w:tabs>
          <w:tab w:val="right" w:leader="dot" w:pos="8306"/>
        </w:tabs>
        <w:rPr>
          <w:rFonts w:cs="宋体"/>
          <w:sz w:val="28"/>
          <w:szCs w:val="28"/>
        </w:rPr>
      </w:pPr>
      <w:hyperlink w:anchor="_Toc4732" w:history="1">
        <w:r>
          <w:rPr>
            <w:rFonts w:cs="宋体" w:hint="eastAsia"/>
            <w:sz w:val="28"/>
            <w:szCs w:val="28"/>
          </w:rPr>
          <w:t>四、名词解释</w:t>
        </w:r>
        <w:r>
          <w:rPr>
            <w:rFonts w:cs="宋体"/>
            <w:sz w:val="28"/>
            <w:szCs w:val="28"/>
          </w:rPr>
          <w:tab/>
        </w:r>
        <w:r>
          <w:rPr>
            <w:rFonts w:cs="宋体"/>
            <w:sz w:val="28"/>
            <w:szCs w:val="28"/>
          </w:rPr>
          <w:fldChar w:fldCharType="begin"/>
        </w:r>
        <w:r>
          <w:rPr>
            <w:rFonts w:cs="宋体"/>
            <w:sz w:val="28"/>
            <w:szCs w:val="28"/>
          </w:rPr>
          <w:instrText xml:space="preserve"> PAGEREF _Toc4732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2C2ECA" w:rsidRDefault="00491D13">
      <w:pPr>
        <w:pStyle w:val="1"/>
        <w:widowControl/>
        <w:shd w:val="clear" w:color="060000" w:fill="FFFFFF"/>
        <w:spacing w:beforeAutospacing="0" w:afterAutospacing="0" w:line="500" w:lineRule="exact"/>
        <w:rPr>
          <w:rFonts w:ascii="Times New Roman" w:hAnsi="Times New Roman" w:cs="Times New Roman" w:hint="default"/>
          <w:color w:val="000000"/>
          <w:sz w:val="28"/>
          <w:szCs w:val="28"/>
          <w:shd w:val="clear" w:color="080000" w:fill="FFFFFF"/>
        </w:rPr>
      </w:pPr>
      <w:r>
        <w:rPr>
          <w:rFonts w:ascii="Times New Roman" w:hAnsi="Times New Roman" w:hint="default"/>
          <w:b w:val="0"/>
          <w:bCs w:val="0"/>
          <w:color w:val="000000"/>
          <w:sz w:val="28"/>
          <w:szCs w:val="28"/>
          <w:shd w:val="clear" w:color="080000" w:fill="FFFFFF"/>
        </w:rPr>
        <w:fldChar w:fldCharType="end"/>
      </w:r>
    </w:p>
    <w:p w:rsidR="002C2ECA" w:rsidRDefault="002C2ECA">
      <w:pPr>
        <w:pStyle w:val="1"/>
        <w:rPr>
          <w:rFonts w:hint="default"/>
          <w:sz w:val="28"/>
          <w:szCs w:val="28"/>
        </w:rPr>
      </w:pPr>
    </w:p>
    <w:p w:rsidR="002C2ECA" w:rsidRDefault="002C2ECA">
      <w:pPr>
        <w:pStyle w:val="1"/>
        <w:spacing w:afterAutospacing="0" w:line="500" w:lineRule="exact"/>
        <w:rPr>
          <w:rFonts w:hint="default"/>
        </w:rPr>
      </w:pPr>
      <w:bookmarkStart w:id="8" w:name="_Toc10114"/>
    </w:p>
    <w:p w:rsidR="002C2ECA" w:rsidRDefault="00491D13" w:rsidP="009C3D02">
      <w:pPr>
        <w:pStyle w:val="1"/>
        <w:spacing w:afterAutospacing="0" w:line="500" w:lineRule="exact"/>
        <w:ind w:firstLineChars="100" w:firstLine="482"/>
        <w:rPr>
          <w:rFonts w:hint="default"/>
        </w:rPr>
      </w:pPr>
      <w:r>
        <w:lastRenderedPageBreak/>
        <w:t>一、忻州市统计局概况</w:t>
      </w:r>
      <w:bookmarkEnd w:id="8"/>
    </w:p>
    <w:p w:rsidR="002C2ECA" w:rsidRDefault="00491D13">
      <w:pPr>
        <w:pStyle w:val="2"/>
        <w:ind w:leftChars="0" w:left="0"/>
      </w:pPr>
      <w:r>
        <w:rPr>
          <w:rFonts w:hint="eastAsia"/>
        </w:rPr>
        <w:t xml:space="preserve">  </w:t>
      </w:r>
      <w:bookmarkStart w:id="9" w:name="_Toc17077"/>
      <w:r>
        <w:rPr>
          <w:rFonts w:hint="eastAsia"/>
        </w:rPr>
        <w:t>（一）主要职责</w:t>
      </w:r>
      <w:r>
        <w:rPr>
          <w:rFonts w:hint="eastAsia"/>
        </w:rPr>
        <w:t> </w:t>
      </w:r>
      <w:bookmarkEnd w:id="9"/>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32"/>
          <w:szCs w:val="32"/>
          <w:shd w:val="clear" w:color="080000" w:fill="FFFFFF"/>
        </w:rPr>
        <w:t>1.</w:t>
      </w:r>
      <w:r>
        <w:rPr>
          <w:rFonts w:ascii="仿宋" w:eastAsia="仿宋" w:hAnsi="仿宋" w:cs="仿宋" w:hint="eastAsia"/>
          <w:color w:val="000000"/>
          <w:sz w:val="32"/>
          <w:szCs w:val="32"/>
          <w:shd w:val="clear" w:color="080000" w:fill="FFFFFF"/>
        </w:rPr>
        <w:t>承担组织领导和协调全市统计工作，确保统计数据真实、准确、及时。组织实施统计政策、规划、基本统计制度和统计标准，指导全市统计工作。</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2.</w:t>
      </w:r>
      <w:r>
        <w:rPr>
          <w:rFonts w:ascii="仿宋" w:eastAsia="仿宋" w:hAnsi="仿宋" w:cs="仿宋" w:hint="eastAsia"/>
          <w:color w:val="000000"/>
          <w:sz w:val="32"/>
          <w:szCs w:val="32"/>
          <w:shd w:val="clear" w:color="080000" w:fill="FFFFFF"/>
        </w:rPr>
        <w:t>核算全市及各县（市、区）地区生产总值，汇编提供国民经济核算资料，监督管理各县（市、区）国民经济核算工作。</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3.</w:t>
      </w:r>
      <w:r>
        <w:rPr>
          <w:rFonts w:ascii="仿宋" w:eastAsia="仿宋" w:hAnsi="仿宋" w:cs="仿宋" w:hint="eastAsia"/>
          <w:color w:val="000000"/>
          <w:sz w:val="32"/>
          <w:szCs w:val="32"/>
          <w:shd w:val="clear" w:color="080000" w:fill="FFFFFF"/>
        </w:rPr>
        <w:t>根据上级部门重大国情国力普查计划、方案，组织实施全市人口、经济、农业等重大国情国力普查，汇总、整理和提供有关全市国情国力方面的统计数据。</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4.</w:t>
      </w:r>
      <w:r>
        <w:rPr>
          <w:rFonts w:ascii="仿宋" w:eastAsia="仿宋" w:hAnsi="仿宋" w:cs="仿宋" w:hint="eastAsia"/>
          <w:color w:val="000000"/>
          <w:sz w:val="32"/>
          <w:szCs w:val="32"/>
          <w:shd w:val="clear" w:color="080000" w:fill="FFFFFF"/>
        </w:rPr>
        <w:t>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地质勘查、旅游、交通运输、邮政、教育、卫生、社会保障、公用事业等全市</w:t>
      </w:r>
      <w:r>
        <w:rPr>
          <w:rFonts w:ascii="仿宋" w:eastAsia="仿宋" w:hAnsi="仿宋" w:cs="仿宋" w:hint="eastAsia"/>
          <w:color w:val="000000"/>
          <w:sz w:val="32"/>
          <w:szCs w:val="32"/>
          <w:shd w:val="clear" w:color="080000" w:fill="FFFFFF"/>
        </w:rPr>
        <w:t>性基本统计数据。</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5.</w:t>
      </w:r>
      <w:r>
        <w:rPr>
          <w:rFonts w:ascii="仿宋" w:eastAsia="仿宋" w:hAnsi="仿宋" w:cs="仿宋" w:hint="eastAsia"/>
          <w:color w:val="000000"/>
          <w:sz w:val="32"/>
          <w:szCs w:val="32"/>
          <w:shd w:val="clear" w:color="080000" w:fill="FFFFFF"/>
        </w:rPr>
        <w:t>组织实施管理能源、投资、消费、价格、收入、科技、人口、劳动力、社会发展基本情况、环境基本状况等统计调查，收集、汇总、整理和提供有关调查的统计数据，综合整理和提供资源、房屋、对外贸易、对外经济等全市性基本统计数据。</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6.</w:t>
      </w:r>
      <w:r>
        <w:rPr>
          <w:rFonts w:ascii="仿宋" w:eastAsia="仿宋" w:hAnsi="仿宋" w:cs="仿宋" w:hint="eastAsia"/>
          <w:color w:val="000000"/>
          <w:sz w:val="32"/>
          <w:szCs w:val="32"/>
          <w:shd w:val="clear" w:color="080000" w:fill="FFFFFF"/>
        </w:rPr>
        <w:t>组织各县（市、区）、各部门的经济、社会、科技和资源环境统计调查，统一核定、管理、公布全市性基本统计</w:t>
      </w:r>
      <w:r>
        <w:rPr>
          <w:rFonts w:ascii="仿宋" w:eastAsia="仿宋" w:hAnsi="仿宋" w:cs="仿宋" w:hint="eastAsia"/>
          <w:color w:val="000000"/>
          <w:sz w:val="32"/>
          <w:szCs w:val="32"/>
          <w:shd w:val="clear" w:color="080000" w:fill="FFFFFF"/>
        </w:rPr>
        <w:lastRenderedPageBreak/>
        <w:t>资料，定期发布全市国民经济和社会发展情况的统计信息，组织建立部门间统计信息共享制度和发布制度。</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7.</w:t>
      </w:r>
      <w:r>
        <w:rPr>
          <w:rFonts w:ascii="仿宋" w:eastAsia="仿宋" w:hAnsi="仿宋" w:cs="仿宋" w:hint="eastAsia"/>
          <w:color w:val="000000"/>
          <w:sz w:val="32"/>
          <w:szCs w:val="32"/>
          <w:shd w:val="clear" w:color="080000" w:fill="FFFFFF"/>
        </w:rPr>
        <w:t>对国民经济、社会发展、科技进步和资源环境等情况进行统计分</w:t>
      </w:r>
      <w:r>
        <w:rPr>
          <w:rFonts w:ascii="仿宋" w:eastAsia="仿宋" w:hAnsi="仿宋" w:cs="仿宋" w:hint="eastAsia"/>
          <w:color w:val="000000"/>
          <w:sz w:val="32"/>
          <w:szCs w:val="32"/>
          <w:shd w:val="clear" w:color="080000" w:fill="FFFFFF"/>
        </w:rPr>
        <w:t>析、统计预测和统计监督，向市委、市政府及有关部门提供统计信息和咨询建议。</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8.</w:t>
      </w:r>
      <w:r>
        <w:rPr>
          <w:rFonts w:ascii="仿宋" w:eastAsia="仿宋" w:hAnsi="仿宋" w:cs="仿宋" w:hint="eastAsia"/>
          <w:color w:val="000000"/>
          <w:sz w:val="32"/>
          <w:szCs w:val="32"/>
          <w:shd w:val="clear" w:color="080000" w:fill="FFFFFF"/>
        </w:rPr>
        <w:t>依法审批地方统计调查项目及地方统计调查制度，指导专业统计基础工作、统计基层业务基础建设，组织建立服务业统计信息管理制度，建立健全统计数据质量审核、监控和评估制度，开展对重要统计数据的审核、监控和评估。</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9.</w:t>
      </w:r>
      <w:r>
        <w:rPr>
          <w:rFonts w:ascii="仿宋" w:eastAsia="仿宋" w:hAnsi="仿宋" w:cs="仿宋" w:hint="eastAsia"/>
          <w:color w:val="000000"/>
          <w:sz w:val="32"/>
          <w:szCs w:val="32"/>
          <w:shd w:val="clear" w:color="080000" w:fill="FFFFFF"/>
        </w:rPr>
        <w:t>协助管理各县（市、区）统计局局长、副局长，</w:t>
      </w:r>
      <w:proofErr w:type="gramStart"/>
      <w:r>
        <w:rPr>
          <w:rFonts w:ascii="仿宋" w:eastAsia="仿宋" w:hAnsi="仿宋" w:cs="仿宋" w:hint="eastAsia"/>
          <w:color w:val="000000"/>
          <w:sz w:val="32"/>
          <w:szCs w:val="32"/>
          <w:shd w:val="clear" w:color="080000" w:fill="FFFFFF"/>
        </w:rPr>
        <w:t>管理市</w:t>
      </w:r>
      <w:proofErr w:type="gramEnd"/>
      <w:r>
        <w:rPr>
          <w:rFonts w:ascii="仿宋" w:eastAsia="仿宋" w:hAnsi="仿宋" w:cs="仿宋" w:hint="eastAsia"/>
          <w:color w:val="000000"/>
          <w:sz w:val="32"/>
          <w:szCs w:val="32"/>
          <w:shd w:val="clear" w:color="080000" w:fill="FFFFFF"/>
        </w:rPr>
        <w:t>设在各县（市、区）的调查监测中心，指导全市统计专业技术队伍建设，会同有关部门组织管理全市统计专业资格考试工作，监督管理中央和省市财政提供给各县（市、区）以及乡镇统计部门的统计经费和专项基本建设投资以及固定资产投资。</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10.</w:t>
      </w:r>
      <w:r>
        <w:rPr>
          <w:rFonts w:ascii="仿宋" w:eastAsia="仿宋" w:hAnsi="仿宋" w:cs="仿宋" w:hint="eastAsia"/>
          <w:color w:val="000000"/>
          <w:sz w:val="32"/>
          <w:szCs w:val="32"/>
          <w:shd w:val="clear" w:color="080000" w:fill="FFFFFF"/>
        </w:rPr>
        <w:t>建立并管理全市统计信息自动化系统和统计数据库系统，组织实施各县（市、区）、各部门统计数据库和网络的基本标准和运行规则，指导地方统计信息化系统建设。</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11.</w:t>
      </w:r>
      <w:r>
        <w:rPr>
          <w:rFonts w:ascii="仿宋" w:eastAsia="仿宋" w:hAnsi="仿宋" w:cs="仿宋" w:hint="eastAsia"/>
          <w:color w:val="000000"/>
          <w:sz w:val="32"/>
          <w:szCs w:val="32"/>
          <w:shd w:val="clear" w:color="080000" w:fill="FFFFFF"/>
        </w:rPr>
        <w:t>完成市委、市人民政府交办的其他任务。</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12.</w:t>
      </w:r>
      <w:r>
        <w:rPr>
          <w:rFonts w:ascii="仿宋" w:eastAsia="仿宋" w:hAnsi="仿宋" w:cs="仿宋" w:hint="eastAsia"/>
          <w:color w:val="000000"/>
          <w:sz w:val="32"/>
          <w:szCs w:val="32"/>
          <w:shd w:val="clear" w:color="080000" w:fill="FFFFFF"/>
        </w:rPr>
        <w:t>职能转变。深化统计管理体制改革，提高数据真实性。建立健全用数据说话、用数据决策、用数据管理、用数据创新的管理体制。优化拓展联网直报系统，将现代信息技术融入统计工作。建立防范和惩治统计造假、弄虚作假体制机制。加强部门统计规范化建设，加大信息共享力度，提高部门统计能力和水平。加强对基层统计工作的管理、指导和监督，夯实统计基层基础建设。坚持改革创新，坚持依法统计，全面提升统计运作效率、数据质量和服务水平。</w:t>
      </w:r>
      <w:r>
        <w:rPr>
          <w:rFonts w:ascii="仿宋" w:eastAsia="仿宋" w:hAnsi="仿宋" w:cs="仿宋" w:hint="eastAsia"/>
          <w:color w:val="000000"/>
          <w:sz w:val="32"/>
          <w:szCs w:val="32"/>
          <w:shd w:val="clear" w:color="080000" w:fill="FFFFFF"/>
        </w:rPr>
        <w:t> </w:t>
      </w:r>
    </w:p>
    <w:p w:rsidR="002C2ECA" w:rsidRDefault="00491D13">
      <w:pPr>
        <w:pStyle w:val="2"/>
      </w:pPr>
      <w:bookmarkStart w:id="10" w:name="_Toc12872"/>
      <w:r>
        <w:rPr>
          <w:rFonts w:hint="eastAsia"/>
        </w:rPr>
        <w:lastRenderedPageBreak/>
        <w:t>（二）部门预算单位构成</w:t>
      </w:r>
      <w:r>
        <w:rPr>
          <w:rFonts w:hint="eastAsia"/>
        </w:rPr>
        <w:t> </w:t>
      </w:r>
      <w:bookmarkEnd w:id="10"/>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28"/>
          <w:szCs w:val="28"/>
          <w:shd w:val="clear" w:color="080000" w:fill="FFFFFF"/>
        </w:rPr>
        <w:t> </w:t>
      </w:r>
      <w:r>
        <w:rPr>
          <w:rFonts w:ascii="仿宋" w:eastAsia="仿宋" w:hAnsi="仿宋" w:cs="仿宋" w:hint="eastAsia"/>
          <w:color w:val="000000"/>
          <w:sz w:val="32"/>
          <w:szCs w:val="32"/>
          <w:shd w:val="clear" w:color="080000" w:fill="FFFFFF"/>
        </w:rPr>
        <w:t>从部门决算构成看，忻州市统计局决算主要包括局机关决算、局属事业单</w:t>
      </w:r>
      <w:r>
        <w:rPr>
          <w:rFonts w:ascii="仿宋" w:eastAsia="仿宋" w:hAnsi="仿宋" w:cs="仿宋" w:hint="eastAsia"/>
          <w:color w:val="000000"/>
          <w:sz w:val="32"/>
          <w:szCs w:val="32"/>
          <w:shd w:val="clear" w:color="080000" w:fill="FFFFFF"/>
        </w:rPr>
        <w:t>位决算。</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纳入忻州市财政局决算的单位包括：</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忻州市统计局机关</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忻州市统计局数据管理中心</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忻州市统计局核算中心</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忻州市统计局普查中心</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忻州市统计局服务业统计调查中心</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忻州市农村社会经济调查队</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忻州市统计局县级统计调查东部区域监测中心</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忻州市统计局县级统计调查西部区域监测中心</w:t>
      </w:r>
      <w:r>
        <w:rPr>
          <w:rFonts w:ascii="仿宋" w:eastAsia="仿宋" w:hAnsi="仿宋" w:cs="仿宋" w:hint="eastAsia"/>
          <w:color w:val="000000"/>
          <w:sz w:val="32"/>
          <w:szCs w:val="32"/>
          <w:shd w:val="clear" w:color="080000" w:fill="FFFFFF"/>
        </w:rPr>
        <w:t> </w:t>
      </w:r>
    </w:p>
    <w:p w:rsidR="002C2ECA" w:rsidRDefault="00491D13">
      <w:pPr>
        <w:pStyle w:val="1"/>
        <w:spacing w:afterAutospacing="0" w:line="500" w:lineRule="exact"/>
        <w:rPr>
          <w:rFonts w:hint="default"/>
        </w:rPr>
      </w:pPr>
      <w:bookmarkStart w:id="11" w:name="_Toc11774"/>
      <w:r>
        <w:t> </w:t>
      </w:r>
      <w:r>
        <w:t>二、忻州市统计局</w:t>
      </w:r>
      <w:r>
        <w:t>2021</w:t>
      </w:r>
      <w:r>
        <w:t>年部门预算表</w:t>
      </w:r>
      <w:bookmarkEnd w:id="11"/>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32"/>
          <w:szCs w:val="32"/>
          <w:shd w:val="clear" w:color="080000" w:fill="FFFFFF"/>
        </w:rPr>
        <w:t>附表</w:t>
      </w:r>
      <w:r>
        <w:rPr>
          <w:rFonts w:ascii="仿宋" w:eastAsia="仿宋" w:hAnsi="仿宋" w:cs="仿宋" w:hint="eastAsia"/>
          <w:color w:val="000000"/>
          <w:sz w:val="32"/>
          <w:szCs w:val="32"/>
          <w:shd w:val="clear" w:color="080000" w:fill="FFFFFF"/>
        </w:rPr>
        <w:t>1.2021</w:t>
      </w:r>
      <w:r>
        <w:rPr>
          <w:rFonts w:ascii="仿宋" w:eastAsia="仿宋" w:hAnsi="仿宋" w:cs="仿宋" w:hint="eastAsia"/>
          <w:color w:val="000000"/>
          <w:sz w:val="32"/>
          <w:szCs w:val="32"/>
          <w:shd w:val="clear" w:color="080000" w:fill="FFFFFF"/>
        </w:rPr>
        <w:t>年预算收支总表</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附表</w:t>
      </w:r>
      <w:r>
        <w:rPr>
          <w:rFonts w:ascii="仿宋" w:eastAsia="仿宋" w:hAnsi="仿宋" w:cs="仿宋" w:hint="eastAsia"/>
          <w:color w:val="000000"/>
          <w:sz w:val="32"/>
          <w:szCs w:val="32"/>
          <w:shd w:val="clear" w:color="080000" w:fill="FFFFFF"/>
        </w:rPr>
        <w:t>2.2021</w:t>
      </w:r>
      <w:r>
        <w:rPr>
          <w:rFonts w:ascii="仿宋" w:eastAsia="仿宋" w:hAnsi="仿宋" w:cs="仿宋" w:hint="eastAsia"/>
          <w:color w:val="000000"/>
          <w:sz w:val="32"/>
          <w:szCs w:val="32"/>
          <w:shd w:val="clear" w:color="080000" w:fill="FFFFFF"/>
        </w:rPr>
        <w:t>年预算收入总表</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附表</w:t>
      </w:r>
      <w:r>
        <w:rPr>
          <w:rFonts w:ascii="仿宋" w:eastAsia="仿宋" w:hAnsi="仿宋" w:cs="仿宋" w:hint="eastAsia"/>
          <w:color w:val="000000"/>
          <w:sz w:val="32"/>
          <w:szCs w:val="32"/>
          <w:shd w:val="clear" w:color="080000" w:fill="FFFFFF"/>
        </w:rPr>
        <w:t>3.2021</w:t>
      </w:r>
      <w:r>
        <w:rPr>
          <w:rFonts w:ascii="仿宋" w:eastAsia="仿宋" w:hAnsi="仿宋" w:cs="仿宋" w:hint="eastAsia"/>
          <w:color w:val="000000"/>
          <w:sz w:val="32"/>
          <w:szCs w:val="32"/>
          <w:shd w:val="clear" w:color="080000" w:fill="FFFFFF"/>
        </w:rPr>
        <w:t>年预算支出总表</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附表</w:t>
      </w:r>
      <w:r>
        <w:rPr>
          <w:rFonts w:ascii="仿宋" w:eastAsia="仿宋" w:hAnsi="仿宋" w:cs="仿宋" w:hint="eastAsia"/>
          <w:color w:val="000000"/>
          <w:sz w:val="32"/>
          <w:szCs w:val="32"/>
          <w:shd w:val="clear" w:color="080000" w:fill="FFFFFF"/>
        </w:rPr>
        <w:t>4.2021</w:t>
      </w:r>
      <w:r>
        <w:rPr>
          <w:rFonts w:ascii="仿宋" w:eastAsia="仿宋" w:hAnsi="仿宋" w:cs="仿宋" w:hint="eastAsia"/>
          <w:color w:val="000000"/>
          <w:sz w:val="32"/>
          <w:szCs w:val="32"/>
          <w:shd w:val="clear" w:color="080000" w:fill="FFFFFF"/>
        </w:rPr>
        <w:t>年财政拨</w:t>
      </w:r>
      <w:r>
        <w:rPr>
          <w:rFonts w:ascii="仿宋" w:eastAsia="仿宋" w:hAnsi="仿宋" w:cs="仿宋" w:hint="eastAsia"/>
          <w:color w:val="000000"/>
          <w:sz w:val="32"/>
          <w:szCs w:val="32"/>
          <w:shd w:val="clear" w:color="080000" w:fill="FFFFFF"/>
        </w:rPr>
        <w:t>款收支总表</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附表</w:t>
      </w:r>
      <w:r>
        <w:rPr>
          <w:rFonts w:ascii="仿宋" w:eastAsia="仿宋" w:hAnsi="仿宋" w:cs="仿宋" w:hint="eastAsia"/>
          <w:color w:val="000000"/>
          <w:sz w:val="32"/>
          <w:szCs w:val="32"/>
          <w:shd w:val="clear" w:color="080000" w:fill="FFFFFF"/>
        </w:rPr>
        <w:t>5.2021</w:t>
      </w:r>
      <w:r>
        <w:rPr>
          <w:rFonts w:ascii="仿宋" w:eastAsia="仿宋" w:hAnsi="仿宋" w:cs="仿宋" w:hint="eastAsia"/>
          <w:color w:val="000000"/>
          <w:sz w:val="32"/>
          <w:szCs w:val="32"/>
          <w:shd w:val="clear" w:color="080000" w:fill="FFFFFF"/>
        </w:rPr>
        <w:t>年一般预算支出预算表</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附表</w:t>
      </w:r>
      <w:r>
        <w:rPr>
          <w:rFonts w:ascii="仿宋" w:eastAsia="仿宋" w:hAnsi="仿宋" w:cs="仿宋" w:hint="eastAsia"/>
          <w:color w:val="000000"/>
          <w:sz w:val="32"/>
          <w:szCs w:val="32"/>
          <w:shd w:val="clear" w:color="080000" w:fill="FFFFFF"/>
        </w:rPr>
        <w:t>6.</w:t>
      </w:r>
      <w:r>
        <w:rPr>
          <w:rFonts w:ascii="仿宋" w:eastAsia="仿宋" w:hAnsi="仿宋" w:cs="仿宋" w:hint="eastAsia"/>
          <w:color w:val="000000"/>
          <w:sz w:val="32"/>
          <w:szCs w:val="32"/>
          <w:shd w:val="clear" w:color="080000" w:fill="FFFFFF"/>
        </w:rPr>
        <w:t>一般公共预算安排基本</w:t>
      </w:r>
      <w:proofErr w:type="gramStart"/>
      <w:r>
        <w:rPr>
          <w:rFonts w:ascii="仿宋" w:eastAsia="仿宋" w:hAnsi="仿宋" w:cs="仿宋" w:hint="eastAsia"/>
          <w:color w:val="000000"/>
          <w:sz w:val="32"/>
          <w:szCs w:val="32"/>
          <w:shd w:val="clear" w:color="080000" w:fill="FFFFFF"/>
        </w:rPr>
        <w:t>支出分</w:t>
      </w:r>
      <w:proofErr w:type="gramEnd"/>
      <w:r>
        <w:rPr>
          <w:rFonts w:ascii="仿宋" w:eastAsia="仿宋" w:hAnsi="仿宋" w:cs="仿宋" w:hint="eastAsia"/>
          <w:color w:val="000000"/>
          <w:sz w:val="32"/>
          <w:szCs w:val="32"/>
          <w:shd w:val="clear" w:color="080000" w:fill="FFFFFF"/>
        </w:rPr>
        <w:t>经济科目表</w:t>
      </w:r>
    </w:p>
    <w:p w:rsidR="002C2ECA" w:rsidRDefault="00491D13">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附表</w:t>
      </w:r>
      <w:r>
        <w:rPr>
          <w:rFonts w:ascii="仿宋" w:eastAsia="仿宋" w:hAnsi="仿宋" w:cs="仿宋" w:hint="eastAsia"/>
          <w:color w:val="000000"/>
          <w:sz w:val="32"/>
          <w:szCs w:val="32"/>
          <w:shd w:val="clear" w:color="080000" w:fill="FFFFFF"/>
        </w:rPr>
        <w:t>7.2021</w:t>
      </w:r>
      <w:r>
        <w:rPr>
          <w:rFonts w:ascii="仿宋" w:eastAsia="仿宋" w:hAnsi="仿宋" w:cs="仿宋" w:hint="eastAsia"/>
          <w:color w:val="000000"/>
          <w:sz w:val="32"/>
          <w:szCs w:val="32"/>
          <w:shd w:val="clear" w:color="080000" w:fill="FFFFFF"/>
        </w:rPr>
        <w:t>年政府性基金预算收入表</w:t>
      </w:r>
    </w:p>
    <w:p w:rsidR="002C2ECA" w:rsidRDefault="00491D13">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附表</w:t>
      </w:r>
      <w:r>
        <w:rPr>
          <w:rFonts w:ascii="仿宋" w:eastAsia="仿宋" w:hAnsi="仿宋" w:cs="仿宋" w:hint="eastAsia"/>
          <w:color w:val="000000"/>
          <w:sz w:val="32"/>
          <w:szCs w:val="32"/>
          <w:shd w:val="clear" w:color="080000" w:fill="FFFFFF"/>
        </w:rPr>
        <w:t>8.2021</w:t>
      </w:r>
      <w:r>
        <w:rPr>
          <w:rFonts w:ascii="仿宋" w:eastAsia="仿宋" w:hAnsi="仿宋" w:cs="仿宋" w:hint="eastAsia"/>
          <w:color w:val="000000"/>
          <w:sz w:val="32"/>
          <w:szCs w:val="32"/>
          <w:shd w:val="clear" w:color="080000" w:fill="FFFFFF"/>
        </w:rPr>
        <w:t>年政府性基金预算支出预算表</w:t>
      </w:r>
    </w:p>
    <w:p w:rsidR="002C2ECA" w:rsidRDefault="00491D13">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附表</w:t>
      </w:r>
      <w:r>
        <w:rPr>
          <w:rFonts w:ascii="仿宋" w:eastAsia="仿宋" w:hAnsi="仿宋" w:cs="仿宋" w:hint="eastAsia"/>
          <w:color w:val="000000"/>
          <w:sz w:val="32"/>
          <w:szCs w:val="32"/>
          <w:shd w:val="clear" w:color="080000" w:fill="FFFFFF"/>
        </w:rPr>
        <w:t>9.2021</w:t>
      </w:r>
      <w:r>
        <w:rPr>
          <w:rFonts w:ascii="仿宋" w:eastAsia="仿宋" w:hAnsi="仿宋" w:cs="仿宋" w:hint="eastAsia"/>
          <w:color w:val="000000"/>
          <w:sz w:val="32"/>
          <w:szCs w:val="32"/>
          <w:shd w:val="clear" w:color="080000" w:fill="FFFFFF"/>
        </w:rPr>
        <w:t>年一般公共预算“三公”经费支出情况统计表</w:t>
      </w:r>
    </w:p>
    <w:p w:rsidR="002C2ECA" w:rsidRDefault="00491D13">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附表</w:t>
      </w:r>
      <w:r>
        <w:rPr>
          <w:rFonts w:ascii="仿宋" w:eastAsia="仿宋" w:hAnsi="仿宋" w:cs="仿宋" w:hint="eastAsia"/>
          <w:color w:val="000000"/>
          <w:sz w:val="32"/>
          <w:szCs w:val="32"/>
          <w:shd w:val="clear" w:color="080000" w:fill="FFFFFF"/>
        </w:rPr>
        <w:t>10.2021</w:t>
      </w:r>
      <w:r>
        <w:rPr>
          <w:rFonts w:ascii="仿宋" w:eastAsia="仿宋" w:hAnsi="仿宋" w:cs="仿宋" w:hint="eastAsia"/>
          <w:color w:val="000000"/>
          <w:sz w:val="32"/>
          <w:szCs w:val="32"/>
          <w:shd w:val="clear" w:color="080000" w:fill="FFFFFF"/>
        </w:rPr>
        <w:t>年机关运行经费预算财政拨款情况统计表</w:t>
      </w:r>
      <w:r>
        <w:rPr>
          <w:rFonts w:ascii="仿宋" w:eastAsia="仿宋" w:hAnsi="仿宋" w:cs="仿宋" w:hint="eastAsia"/>
          <w:color w:val="000000"/>
          <w:sz w:val="32"/>
          <w:szCs w:val="32"/>
          <w:shd w:val="clear" w:color="080000" w:fill="FFFFFF"/>
        </w:rPr>
        <w:t> </w:t>
      </w:r>
    </w:p>
    <w:p w:rsidR="002C2ECA" w:rsidRDefault="00491D13" w:rsidP="009C3D02">
      <w:pPr>
        <w:pStyle w:val="1"/>
        <w:spacing w:afterAutospacing="0" w:line="500" w:lineRule="exact"/>
        <w:ind w:firstLineChars="100" w:firstLine="482"/>
        <w:rPr>
          <w:rFonts w:hint="default"/>
        </w:rPr>
      </w:pPr>
      <w:bookmarkStart w:id="12" w:name="_Toc29117"/>
      <w:r>
        <w:t>三、忻州市统计局部门预算情况说明</w:t>
      </w:r>
      <w:bookmarkEnd w:id="12"/>
    </w:p>
    <w:p w:rsidR="002C2ECA" w:rsidRDefault="00491D13">
      <w:pPr>
        <w:pStyle w:val="2"/>
      </w:pPr>
      <w:bookmarkStart w:id="13" w:name="_Toc32589"/>
      <w:r>
        <w:rPr>
          <w:rFonts w:hint="eastAsia"/>
        </w:rPr>
        <w:lastRenderedPageBreak/>
        <w:t>（一）收入预算情况</w:t>
      </w:r>
      <w:r>
        <w:rPr>
          <w:rFonts w:hint="eastAsia"/>
        </w:rPr>
        <w:t> </w:t>
      </w:r>
      <w:bookmarkEnd w:id="13"/>
    </w:p>
    <w:p w:rsidR="002C2ECA" w:rsidRDefault="00491D13">
      <w:pPr>
        <w:pStyle w:val="a5"/>
        <w:widowControl/>
        <w:shd w:val="clear" w:color="060000" w:fill="FFFFFF"/>
        <w:spacing w:beforeAutospacing="0" w:afterAutospacing="0" w:line="500" w:lineRule="exact"/>
        <w:ind w:firstLine="60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忻州市统计局</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年收入预算</w:t>
      </w:r>
      <w:r>
        <w:rPr>
          <w:rFonts w:ascii="仿宋" w:eastAsia="仿宋" w:hAnsi="仿宋" w:cs="仿宋" w:hint="eastAsia"/>
          <w:color w:val="000000"/>
          <w:sz w:val="32"/>
          <w:szCs w:val="32"/>
          <w:shd w:val="clear" w:color="080000" w:fill="FFFFFF"/>
        </w:rPr>
        <w:t>1160.52</w:t>
      </w:r>
      <w:r>
        <w:rPr>
          <w:rFonts w:ascii="仿宋" w:eastAsia="仿宋" w:hAnsi="仿宋" w:cs="仿宋" w:hint="eastAsia"/>
          <w:color w:val="000000"/>
          <w:sz w:val="32"/>
          <w:szCs w:val="32"/>
          <w:shd w:val="clear" w:color="080000" w:fill="FFFFFF"/>
        </w:rPr>
        <w:t>万元，全部为一般公共预算，比</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年减少</w:t>
      </w:r>
      <w:r>
        <w:rPr>
          <w:rFonts w:ascii="仿宋" w:eastAsia="仿宋" w:hAnsi="仿宋" w:cs="仿宋" w:hint="eastAsia"/>
          <w:color w:val="000000"/>
          <w:sz w:val="32"/>
          <w:szCs w:val="32"/>
          <w:shd w:val="clear" w:color="080000" w:fill="FFFFFF"/>
        </w:rPr>
        <w:t>393.07</w:t>
      </w:r>
      <w:r>
        <w:rPr>
          <w:rFonts w:ascii="仿宋" w:eastAsia="仿宋" w:hAnsi="仿宋" w:cs="仿宋" w:hint="eastAsia"/>
          <w:color w:val="000000"/>
          <w:sz w:val="32"/>
          <w:szCs w:val="32"/>
          <w:shd w:val="clear" w:color="080000" w:fill="FFFFFF"/>
        </w:rPr>
        <w:t>万元，主要原因是减少了人口普查经费等。</w:t>
      </w:r>
    </w:p>
    <w:p w:rsidR="002C2ECA" w:rsidRDefault="00491D13">
      <w:pPr>
        <w:pStyle w:val="2"/>
      </w:pPr>
      <w:bookmarkStart w:id="14" w:name="_Toc5092"/>
      <w:r>
        <w:rPr>
          <w:rFonts w:hint="eastAsia"/>
        </w:rPr>
        <w:t>（二）支出情况</w:t>
      </w:r>
      <w:r>
        <w:rPr>
          <w:rFonts w:hint="eastAsia"/>
        </w:rPr>
        <w:t> </w:t>
      </w:r>
      <w:bookmarkEnd w:id="14"/>
    </w:p>
    <w:p w:rsidR="002C2ECA" w:rsidRDefault="00491D13">
      <w:pPr>
        <w:pStyle w:val="a5"/>
        <w:widowControl/>
        <w:shd w:val="clear" w:color="060000" w:fill="FFFFFF"/>
        <w:spacing w:beforeAutospacing="0" w:afterAutospacing="0" w:line="500" w:lineRule="exact"/>
        <w:ind w:firstLine="60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1</w:t>
      </w:r>
      <w:r>
        <w:rPr>
          <w:rFonts w:ascii="仿宋" w:eastAsia="仿宋" w:hAnsi="仿宋" w:cs="仿宋" w:hint="eastAsia"/>
          <w:color w:val="000000"/>
          <w:sz w:val="32"/>
          <w:szCs w:val="32"/>
          <w:shd w:val="clear" w:color="080000" w:fill="FFFFFF"/>
        </w:rPr>
        <w:t>．忻州市统计局</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年支出预算为</w:t>
      </w:r>
      <w:r>
        <w:rPr>
          <w:rFonts w:ascii="仿宋" w:eastAsia="仿宋" w:hAnsi="仿宋" w:cs="仿宋" w:hint="eastAsia"/>
          <w:color w:val="000000"/>
          <w:sz w:val="32"/>
          <w:szCs w:val="32"/>
          <w:shd w:val="clear" w:color="080000" w:fill="FFFFFF"/>
        </w:rPr>
        <w:t>1160.52</w:t>
      </w:r>
      <w:r>
        <w:rPr>
          <w:rFonts w:ascii="仿宋" w:eastAsia="仿宋" w:hAnsi="仿宋" w:cs="仿宋" w:hint="eastAsia"/>
          <w:color w:val="000000"/>
          <w:sz w:val="32"/>
          <w:szCs w:val="32"/>
          <w:shd w:val="clear" w:color="080000" w:fill="FFFFFF"/>
        </w:rPr>
        <w:t>万元，其中一般公共服务支出</w:t>
      </w:r>
      <w:r>
        <w:rPr>
          <w:rFonts w:ascii="仿宋" w:eastAsia="仿宋" w:hAnsi="仿宋" w:cs="仿宋" w:hint="eastAsia"/>
          <w:color w:val="000000"/>
          <w:sz w:val="32"/>
          <w:szCs w:val="32"/>
          <w:shd w:val="clear" w:color="080000" w:fill="FFFFFF"/>
        </w:rPr>
        <w:t>950.36</w:t>
      </w:r>
      <w:r>
        <w:rPr>
          <w:rFonts w:ascii="仿宋" w:eastAsia="仿宋" w:hAnsi="仿宋" w:cs="仿宋" w:hint="eastAsia"/>
          <w:color w:val="000000"/>
          <w:sz w:val="32"/>
          <w:szCs w:val="32"/>
          <w:shd w:val="clear" w:color="080000" w:fill="FFFFFF"/>
        </w:rPr>
        <w:t>万元，社会保障和就业支出</w:t>
      </w:r>
      <w:r>
        <w:rPr>
          <w:rFonts w:ascii="仿宋" w:eastAsia="仿宋" w:hAnsi="仿宋" w:cs="仿宋" w:hint="eastAsia"/>
          <w:color w:val="000000"/>
          <w:sz w:val="32"/>
          <w:szCs w:val="32"/>
          <w:shd w:val="clear" w:color="080000" w:fill="FFFFFF"/>
        </w:rPr>
        <w:t>96.46</w:t>
      </w:r>
      <w:r>
        <w:rPr>
          <w:rFonts w:ascii="仿宋" w:eastAsia="仿宋" w:hAnsi="仿宋" w:cs="仿宋" w:hint="eastAsia"/>
          <w:color w:val="000000"/>
          <w:sz w:val="32"/>
          <w:szCs w:val="32"/>
          <w:shd w:val="clear" w:color="080000" w:fill="FFFFFF"/>
        </w:rPr>
        <w:t>万元，卫生健康支出</w:t>
      </w:r>
      <w:r>
        <w:rPr>
          <w:rFonts w:ascii="仿宋" w:eastAsia="仿宋" w:hAnsi="仿宋" w:cs="仿宋" w:hint="eastAsia"/>
          <w:color w:val="000000"/>
          <w:sz w:val="32"/>
          <w:szCs w:val="32"/>
          <w:shd w:val="clear" w:color="080000" w:fill="FFFFFF"/>
        </w:rPr>
        <w:t>42.21</w:t>
      </w:r>
      <w:r>
        <w:rPr>
          <w:rFonts w:ascii="仿宋" w:eastAsia="仿宋" w:hAnsi="仿宋" w:cs="仿宋" w:hint="eastAsia"/>
          <w:color w:val="000000"/>
          <w:sz w:val="32"/>
          <w:szCs w:val="32"/>
          <w:shd w:val="clear" w:color="080000" w:fill="FFFFFF"/>
        </w:rPr>
        <w:t>万元，农林水支出</w:t>
      </w:r>
      <w:r>
        <w:rPr>
          <w:rFonts w:ascii="仿宋" w:eastAsia="仿宋" w:hAnsi="仿宋" w:cs="仿宋" w:hint="eastAsia"/>
          <w:color w:val="000000"/>
          <w:sz w:val="32"/>
          <w:szCs w:val="32"/>
          <w:shd w:val="clear" w:color="080000" w:fill="FFFFFF"/>
        </w:rPr>
        <w:t>7.2</w:t>
      </w:r>
      <w:r>
        <w:rPr>
          <w:rFonts w:ascii="仿宋" w:eastAsia="仿宋" w:hAnsi="仿宋" w:cs="仿宋" w:hint="eastAsia"/>
          <w:color w:val="000000"/>
          <w:sz w:val="32"/>
          <w:szCs w:val="32"/>
          <w:shd w:val="clear" w:color="080000" w:fill="FFFFFF"/>
        </w:rPr>
        <w:t>万元，住房保障支出</w:t>
      </w:r>
      <w:r>
        <w:rPr>
          <w:rFonts w:ascii="仿宋" w:eastAsia="仿宋" w:hAnsi="仿宋" w:cs="仿宋" w:hint="eastAsia"/>
          <w:color w:val="000000"/>
          <w:sz w:val="32"/>
          <w:szCs w:val="32"/>
          <w:shd w:val="clear" w:color="080000" w:fill="FFFFFF"/>
        </w:rPr>
        <w:t>64.29</w:t>
      </w:r>
      <w:r>
        <w:rPr>
          <w:rFonts w:ascii="仿宋" w:eastAsia="仿宋" w:hAnsi="仿宋" w:cs="仿宋" w:hint="eastAsia"/>
          <w:color w:val="000000"/>
          <w:sz w:val="32"/>
          <w:szCs w:val="32"/>
          <w:shd w:val="clear" w:color="080000" w:fill="FFFFFF"/>
        </w:rPr>
        <w:t>万元。比</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年减少</w:t>
      </w:r>
      <w:r>
        <w:rPr>
          <w:rFonts w:ascii="仿宋" w:eastAsia="仿宋" w:hAnsi="仿宋" w:cs="仿宋" w:hint="eastAsia"/>
          <w:color w:val="000000"/>
          <w:sz w:val="32"/>
          <w:szCs w:val="32"/>
          <w:shd w:val="clear" w:color="080000" w:fill="FFFFFF"/>
        </w:rPr>
        <w:t>393.07</w:t>
      </w:r>
      <w:r>
        <w:rPr>
          <w:rFonts w:ascii="仿宋" w:eastAsia="仿宋" w:hAnsi="仿宋" w:cs="仿宋" w:hint="eastAsia"/>
          <w:color w:val="000000"/>
          <w:sz w:val="32"/>
          <w:szCs w:val="32"/>
          <w:shd w:val="clear" w:color="080000" w:fill="FFFFFF"/>
        </w:rPr>
        <w:t>万元，主要原因是减少了人口普查经费等。</w:t>
      </w:r>
    </w:p>
    <w:p w:rsidR="002C2ECA" w:rsidRDefault="00491D13">
      <w:pPr>
        <w:pStyle w:val="a5"/>
        <w:widowControl/>
        <w:shd w:val="clear" w:color="060000" w:fill="FFFFFF"/>
        <w:spacing w:beforeAutospacing="0" w:afterAutospacing="0" w:line="500" w:lineRule="exact"/>
        <w:ind w:firstLine="600"/>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2.2021</w:t>
      </w:r>
      <w:r>
        <w:rPr>
          <w:rFonts w:ascii="仿宋" w:eastAsia="仿宋" w:hAnsi="仿宋" w:cs="仿宋" w:hint="eastAsia"/>
          <w:color w:val="000000"/>
          <w:sz w:val="32"/>
          <w:szCs w:val="32"/>
          <w:shd w:val="clear" w:color="080000" w:fill="FFFFFF"/>
        </w:rPr>
        <w:t>年基本支出</w:t>
      </w:r>
      <w:r>
        <w:rPr>
          <w:rFonts w:ascii="仿宋" w:eastAsia="仿宋" w:hAnsi="仿宋" w:cs="仿宋" w:hint="eastAsia"/>
          <w:color w:val="000000"/>
          <w:sz w:val="32"/>
          <w:szCs w:val="32"/>
          <w:shd w:val="clear" w:color="080000" w:fill="FFFFFF"/>
        </w:rPr>
        <w:t>1005.82</w:t>
      </w:r>
      <w:r>
        <w:rPr>
          <w:rFonts w:ascii="仿宋" w:eastAsia="仿宋" w:hAnsi="仿宋" w:cs="仿宋" w:hint="eastAsia"/>
          <w:color w:val="000000"/>
          <w:sz w:val="32"/>
          <w:szCs w:val="32"/>
          <w:shd w:val="clear" w:color="080000" w:fill="FFFFFF"/>
        </w:rPr>
        <w:t>万元，全部为一般公共预算，比</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年增加</w:t>
      </w:r>
      <w:r>
        <w:rPr>
          <w:rFonts w:ascii="仿宋" w:eastAsia="仿宋" w:hAnsi="仿宋" w:cs="仿宋" w:hint="eastAsia"/>
          <w:color w:val="000000"/>
          <w:sz w:val="32"/>
          <w:szCs w:val="32"/>
          <w:shd w:val="clear" w:color="080000" w:fill="FFFFFF"/>
        </w:rPr>
        <w:t>50.23</w:t>
      </w:r>
      <w:r>
        <w:rPr>
          <w:rFonts w:ascii="仿宋" w:eastAsia="仿宋" w:hAnsi="仿宋" w:cs="仿宋" w:hint="eastAsia"/>
          <w:color w:val="000000"/>
          <w:sz w:val="32"/>
          <w:szCs w:val="32"/>
          <w:shd w:val="clear" w:color="080000" w:fill="FFFFFF"/>
        </w:rPr>
        <w:t>万元，基本支出系按现有人员工资标准和公用经费定额标准核定，原因是公用经费标准增加、人员变动以致工资及相关经费增加等。</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ind w:firstLine="56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3</w:t>
      </w:r>
      <w:r>
        <w:rPr>
          <w:rFonts w:ascii="仿宋" w:eastAsia="仿宋" w:hAnsi="仿宋" w:cs="仿宋" w:hint="eastAsia"/>
          <w:color w:val="000000"/>
          <w:sz w:val="32"/>
          <w:szCs w:val="32"/>
          <w:shd w:val="clear" w:color="080000" w:fill="FFFFFF"/>
        </w:rPr>
        <w:t>．</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年项目支出</w:t>
      </w:r>
      <w:r>
        <w:rPr>
          <w:rFonts w:ascii="仿宋" w:eastAsia="仿宋" w:hAnsi="仿宋" w:cs="仿宋" w:hint="eastAsia"/>
          <w:color w:val="000000"/>
          <w:sz w:val="32"/>
          <w:szCs w:val="32"/>
          <w:shd w:val="clear" w:color="080000" w:fill="FFFFFF"/>
        </w:rPr>
        <w:t>154.7</w:t>
      </w:r>
      <w:r>
        <w:rPr>
          <w:rFonts w:ascii="仿宋" w:eastAsia="仿宋" w:hAnsi="仿宋" w:cs="仿宋" w:hint="eastAsia"/>
          <w:color w:val="000000"/>
          <w:sz w:val="32"/>
          <w:szCs w:val="32"/>
          <w:shd w:val="clear" w:color="080000" w:fill="FFFFFF"/>
        </w:rPr>
        <w:t>万元，全部为一般公共预算，</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年项目支出安排</w:t>
      </w:r>
      <w:r>
        <w:rPr>
          <w:rFonts w:ascii="仿宋" w:eastAsia="仿宋" w:hAnsi="仿宋" w:cs="仿宋" w:hint="eastAsia"/>
          <w:color w:val="000000"/>
          <w:sz w:val="32"/>
          <w:szCs w:val="32"/>
          <w:shd w:val="clear" w:color="080000" w:fill="FFFFFF"/>
        </w:rPr>
        <w:t>598</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年比</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年项目支出减少</w:t>
      </w:r>
      <w:r>
        <w:rPr>
          <w:rFonts w:ascii="仿宋" w:eastAsia="仿宋" w:hAnsi="仿宋" w:cs="仿宋" w:hint="eastAsia"/>
          <w:color w:val="000000"/>
          <w:sz w:val="32"/>
          <w:szCs w:val="32"/>
          <w:shd w:val="clear" w:color="080000" w:fill="FFFFFF"/>
        </w:rPr>
        <w:t>443.3</w:t>
      </w:r>
      <w:r>
        <w:rPr>
          <w:rFonts w:ascii="仿宋" w:eastAsia="仿宋" w:hAnsi="仿宋" w:cs="仿宋" w:hint="eastAsia"/>
          <w:color w:val="000000"/>
          <w:sz w:val="32"/>
          <w:szCs w:val="32"/>
          <w:shd w:val="clear" w:color="080000" w:fill="FFFFFF"/>
        </w:rPr>
        <w:t xml:space="preserve">万元，主要原因是减少了人口普查经费。　</w:t>
      </w:r>
    </w:p>
    <w:p w:rsidR="002C2ECA" w:rsidRDefault="00491D13">
      <w:pPr>
        <w:pStyle w:val="a5"/>
        <w:widowControl/>
        <w:shd w:val="clear" w:color="060000" w:fill="FFFFFF"/>
        <w:spacing w:beforeAutospacing="0" w:afterAutospacing="0" w:line="500" w:lineRule="exact"/>
        <w:ind w:firstLine="560"/>
        <w:rPr>
          <w:rFonts w:ascii="楷体_GB2312" w:eastAsia="楷体_GB2312" w:hAnsi="仿宋" w:cs="Times New Roman"/>
          <w:b/>
          <w:kern w:val="2"/>
          <w:sz w:val="32"/>
          <w:szCs w:val="32"/>
        </w:rPr>
      </w:pPr>
      <w:r>
        <w:rPr>
          <w:rFonts w:ascii="仿宋" w:eastAsia="仿宋" w:hAnsi="仿宋" w:cs="仿宋" w:hint="eastAsia"/>
          <w:color w:val="000000"/>
          <w:sz w:val="32"/>
          <w:szCs w:val="32"/>
          <w:shd w:val="clear" w:color="080000" w:fill="FFFFFF"/>
        </w:rPr>
        <w:t>4.</w:t>
      </w:r>
      <w:r>
        <w:rPr>
          <w:rFonts w:ascii="仿宋" w:eastAsia="仿宋" w:hAnsi="仿宋" w:cs="仿宋" w:hint="eastAsia"/>
          <w:color w:val="000000"/>
          <w:sz w:val="32"/>
          <w:szCs w:val="32"/>
          <w:shd w:val="clear" w:color="080000" w:fill="FFFFFF"/>
        </w:rPr>
        <w:t>项目支出主要用于第七次全国人口普查经费、第七次全国人口普查经费数据处理设备经费人口抽样调查、企业一套表统计工作、网络线路租用、运行监测考核评价经费、《忻州统计年鉴》编印、统计年报编印、妇儿等专项调查等工作的支出。</w:t>
      </w:r>
      <w:r>
        <w:rPr>
          <w:rFonts w:ascii="仿宋" w:eastAsia="仿宋" w:hAnsi="仿宋" w:cs="仿宋" w:hint="eastAsia"/>
          <w:color w:val="000000"/>
          <w:sz w:val="32"/>
          <w:szCs w:val="32"/>
          <w:shd w:val="clear" w:color="080000" w:fill="FFFFFF"/>
        </w:rPr>
        <w:t> </w:t>
      </w:r>
    </w:p>
    <w:p w:rsidR="002C2ECA" w:rsidRDefault="00491D13">
      <w:pPr>
        <w:pStyle w:val="2"/>
      </w:pPr>
      <w:bookmarkStart w:id="15" w:name="_Toc1853"/>
      <w:r>
        <w:rPr>
          <w:rFonts w:hint="eastAsia"/>
        </w:rPr>
        <w:t>（三）“三公”经费情况</w:t>
      </w:r>
      <w:r>
        <w:rPr>
          <w:rFonts w:hint="eastAsia"/>
        </w:rPr>
        <w:t> </w:t>
      </w:r>
      <w:bookmarkEnd w:id="15"/>
    </w:p>
    <w:p w:rsidR="002C2ECA" w:rsidRPr="009C3D02" w:rsidRDefault="00491D13">
      <w:pPr>
        <w:ind w:firstLineChars="200" w:firstLine="640"/>
        <w:rPr>
          <w:rFonts w:ascii="仿宋" w:eastAsia="仿宋" w:hAnsi="仿宋" w:cs="仿宋"/>
          <w:color w:val="000000"/>
          <w:sz w:val="32"/>
          <w:szCs w:val="32"/>
          <w:shd w:val="clear" w:color="080000" w:fill="FFFFFF"/>
        </w:rPr>
      </w:pPr>
      <w:r w:rsidRPr="009C3D02">
        <w:rPr>
          <w:rFonts w:ascii="仿宋" w:eastAsia="仿宋" w:hAnsi="仿宋" w:cs="仿宋_GB2312" w:hint="eastAsia"/>
          <w:sz w:val="32"/>
          <w:szCs w:val="32"/>
        </w:rPr>
        <w:t>2021</w:t>
      </w:r>
      <w:r w:rsidRPr="009C3D02">
        <w:rPr>
          <w:rFonts w:ascii="仿宋" w:eastAsia="仿宋" w:hAnsi="仿宋" w:cs="仿宋_GB2312" w:hint="eastAsia"/>
          <w:sz w:val="32"/>
          <w:szCs w:val="32"/>
        </w:rPr>
        <w:t>年</w:t>
      </w:r>
      <w:r w:rsidRPr="009C3D02">
        <w:rPr>
          <w:rFonts w:ascii="仿宋" w:eastAsia="仿宋" w:hAnsi="仿宋" w:cs="仿宋_GB2312" w:hint="eastAsia"/>
          <w:sz w:val="32"/>
          <w:szCs w:val="32"/>
        </w:rPr>
        <w:t>“</w:t>
      </w:r>
      <w:r w:rsidRPr="009C3D02">
        <w:rPr>
          <w:rFonts w:ascii="仿宋" w:eastAsia="仿宋" w:hAnsi="仿宋" w:cs="仿宋_GB2312" w:hint="eastAsia"/>
          <w:sz w:val="32"/>
          <w:szCs w:val="32"/>
        </w:rPr>
        <w:t>三公</w:t>
      </w:r>
      <w:r w:rsidRPr="009C3D02">
        <w:rPr>
          <w:rFonts w:ascii="仿宋" w:eastAsia="仿宋" w:hAnsi="仿宋" w:cs="仿宋_GB2312" w:hint="eastAsia"/>
          <w:sz w:val="32"/>
          <w:szCs w:val="32"/>
        </w:rPr>
        <w:t>”</w:t>
      </w:r>
      <w:r w:rsidRPr="009C3D02">
        <w:rPr>
          <w:rFonts w:ascii="仿宋" w:eastAsia="仿宋" w:hAnsi="仿宋" w:cs="仿宋_GB2312" w:hint="eastAsia"/>
          <w:sz w:val="32"/>
          <w:szCs w:val="32"/>
        </w:rPr>
        <w:t>经费</w:t>
      </w:r>
      <w:r w:rsidRPr="009C3D02">
        <w:rPr>
          <w:rFonts w:ascii="仿宋" w:eastAsia="仿宋" w:hAnsi="仿宋" w:cs="仿宋_GB2312"/>
          <w:sz w:val="32"/>
          <w:szCs w:val="32"/>
        </w:rPr>
        <w:t>预算</w:t>
      </w:r>
      <w:r w:rsidRPr="009C3D02">
        <w:rPr>
          <w:rFonts w:ascii="仿宋" w:eastAsia="仿宋" w:hAnsi="仿宋" w:cs="仿宋_GB2312" w:hint="eastAsia"/>
          <w:sz w:val="32"/>
          <w:szCs w:val="32"/>
        </w:rPr>
        <w:t>3</w:t>
      </w:r>
      <w:r w:rsidRPr="009C3D02">
        <w:rPr>
          <w:rFonts w:ascii="仿宋" w:eastAsia="仿宋" w:hAnsi="仿宋" w:cs="仿宋_GB2312"/>
          <w:sz w:val="32"/>
          <w:szCs w:val="32"/>
        </w:rPr>
        <w:t>万元，</w:t>
      </w:r>
      <w:r w:rsidRPr="009C3D02">
        <w:rPr>
          <w:rFonts w:ascii="仿宋" w:eastAsia="仿宋" w:hAnsi="仿宋" w:cs="仿宋_GB2312" w:hint="eastAsia"/>
          <w:sz w:val="32"/>
          <w:szCs w:val="32"/>
        </w:rPr>
        <w:t>与上年相比下降</w:t>
      </w:r>
      <w:r w:rsidRPr="009C3D02">
        <w:rPr>
          <w:rFonts w:ascii="仿宋" w:eastAsia="仿宋" w:hAnsi="仿宋" w:cs="仿宋_GB2312" w:hint="eastAsia"/>
          <w:sz w:val="32"/>
          <w:szCs w:val="32"/>
        </w:rPr>
        <w:t>2</w:t>
      </w:r>
      <w:r w:rsidRPr="009C3D02">
        <w:rPr>
          <w:rFonts w:ascii="仿宋" w:eastAsia="仿宋" w:hAnsi="仿宋" w:cs="仿宋_GB2312"/>
          <w:sz w:val="32"/>
          <w:szCs w:val="32"/>
        </w:rPr>
        <w:t>万元，</w:t>
      </w:r>
      <w:r w:rsidRPr="009C3D02">
        <w:rPr>
          <w:rFonts w:ascii="仿宋" w:eastAsia="仿宋" w:hAnsi="仿宋" w:cs="仿宋" w:hint="eastAsia"/>
          <w:color w:val="000000"/>
          <w:sz w:val="32"/>
          <w:szCs w:val="32"/>
          <w:shd w:val="clear" w:color="080000" w:fill="FFFFFF"/>
        </w:rPr>
        <w:t>主要原因为落实中央八项规定。</w:t>
      </w:r>
    </w:p>
    <w:p w:rsidR="002C2ECA" w:rsidRPr="009C3D02" w:rsidRDefault="002C2ECA">
      <w:pPr>
        <w:ind w:firstLineChars="200" w:firstLine="640"/>
        <w:rPr>
          <w:rFonts w:ascii="仿宋" w:eastAsia="仿宋" w:hAnsi="仿宋" w:cs="仿宋_GB2312"/>
          <w:sz w:val="32"/>
          <w:szCs w:val="32"/>
        </w:rPr>
      </w:pPr>
    </w:p>
    <w:p w:rsidR="002C2ECA" w:rsidRPr="009C3D02" w:rsidRDefault="00491D13">
      <w:pPr>
        <w:ind w:firstLineChars="200" w:firstLine="640"/>
        <w:rPr>
          <w:rFonts w:ascii="仿宋" w:eastAsia="仿宋" w:hAnsi="仿宋" w:cs="仿宋_GB2312"/>
          <w:sz w:val="32"/>
          <w:szCs w:val="32"/>
        </w:rPr>
      </w:pPr>
      <w:r w:rsidRPr="009C3D02">
        <w:rPr>
          <w:rFonts w:ascii="仿宋" w:eastAsia="仿宋" w:hAnsi="仿宋" w:cs="仿宋_GB2312" w:hint="eastAsia"/>
          <w:sz w:val="32"/>
          <w:szCs w:val="32"/>
        </w:rPr>
        <w:lastRenderedPageBreak/>
        <w:t>2</w:t>
      </w:r>
      <w:r w:rsidRPr="009C3D02">
        <w:rPr>
          <w:rFonts w:ascii="仿宋" w:eastAsia="仿宋" w:hAnsi="仿宋" w:cs="仿宋_GB2312" w:hint="eastAsia"/>
          <w:sz w:val="32"/>
          <w:szCs w:val="32"/>
        </w:rPr>
        <w:t>021</w:t>
      </w:r>
      <w:r w:rsidRPr="009C3D02">
        <w:rPr>
          <w:rFonts w:ascii="仿宋" w:eastAsia="仿宋" w:hAnsi="仿宋" w:cs="仿宋_GB2312"/>
          <w:sz w:val="32"/>
          <w:szCs w:val="32"/>
        </w:rPr>
        <w:t>年国内公务接待</w:t>
      </w:r>
      <w:r w:rsidRPr="009C3D02">
        <w:rPr>
          <w:rFonts w:ascii="仿宋" w:eastAsia="仿宋" w:hAnsi="仿宋" w:cs="仿宋_GB2312" w:hint="eastAsia"/>
          <w:sz w:val="32"/>
          <w:szCs w:val="32"/>
        </w:rPr>
        <w:t>0</w:t>
      </w:r>
      <w:r w:rsidRPr="009C3D02">
        <w:rPr>
          <w:rFonts w:ascii="仿宋" w:eastAsia="仿宋" w:hAnsi="仿宋" w:cs="仿宋_GB2312"/>
          <w:sz w:val="32"/>
          <w:szCs w:val="32"/>
        </w:rPr>
        <w:t>批，共</w:t>
      </w:r>
      <w:r w:rsidRPr="009C3D02">
        <w:rPr>
          <w:rFonts w:ascii="仿宋" w:eastAsia="仿宋" w:hAnsi="仿宋" w:cs="仿宋_GB2312" w:hint="eastAsia"/>
          <w:sz w:val="32"/>
          <w:szCs w:val="32"/>
        </w:rPr>
        <w:t>0</w:t>
      </w:r>
      <w:r w:rsidRPr="009C3D02">
        <w:rPr>
          <w:rFonts w:ascii="仿宋" w:eastAsia="仿宋" w:hAnsi="仿宋" w:cs="仿宋_GB2312"/>
          <w:sz w:val="32"/>
          <w:szCs w:val="32"/>
        </w:rPr>
        <w:t>人次</w:t>
      </w:r>
      <w:r w:rsidRPr="009C3D02">
        <w:rPr>
          <w:rFonts w:ascii="仿宋" w:eastAsia="仿宋" w:hAnsi="仿宋" w:cs="仿宋_GB2312" w:hint="eastAsia"/>
          <w:sz w:val="32"/>
          <w:szCs w:val="32"/>
        </w:rPr>
        <w:t>，</w:t>
      </w:r>
      <w:r w:rsidRPr="009C3D02">
        <w:rPr>
          <w:rFonts w:ascii="仿宋" w:eastAsia="仿宋" w:hAnsi="仿宋" w:cs="仿宋_GB2312" w:hint="eastAsia"/>
          <w:sz w:val="32"/>
          <w:szCs w:val="32"/>
        </w:rPr>
        <w:t>与上年一致</w:t>
      </w:r>
      <w:r w:rsidRPr="009C3D02">
        <w:rPr>
          <w:rFonts w:ascii="仿宋" w:eastAsia="仿宋" w:hAnsi="仿宋" w:cs="仿宋_GB2312"/>
          <w:sz w:val="32"/>
          <w:szCs w:val="32"/>
        </w:rPr>
        <w:t>。</w:t>
      </w:r>
    </w:p>
    <w:p w:rsidR="002C2ECA" w:rsidRPr="009C3D02" w:rsidRDefault="00491D13">
      <w:pPr>
        <w:ind w:firstLineChars="200" w:firstLine="640"/>
        <w:rPr>
          <w:rFonts w:ascii="仿宋" w:eastAsia="仿宋" w:hAnsi="仿宋" w:cs="仿宋_GB2312"/>
          <w:sz w:val="32"/>
          <w:szCs w:val="32"/>
        </w:rPr>
      </w:pPr>
      <w:r w:rsidRPr="009C3D02">
        <w:rPr>
          <w:rFonts w:ascii="仿宋" w:eastAsia="仿宋" w:hAnsi="仿宋" w:cs="仿宋_GB2312" w:hint="eastAsia"/>
          <w:sz w:val="32"/>
          <w:szCs w:val="32"/>
        </w:rPr>
        <w:t>2021</w:t>
      </w:r>
      <w:r w:rsidRPr="009C3D02">
        <w:rPr>
          <w:rFonts w:ascii="仿宋" w:eastAsia="仿宋" w:hAnsi="仿宋" w:cs="仿宋_GB2312" w:hint="eastAsia"/>
          <w:sz w:val="32"/>
          <w:szCs w:val="32"/>
        </w:rPr>
        <w:t>年</w:t>
      </w:r>
      <w:r w:rsidRPr="009C3D02">
        <w:rPr>
          <w:rFonts w:ascii="仿宋" w:eastAsia="仿宋" w:hAnsi="仿宋" w:cs="仿宋_GB2312"/>
          <w:sz w:val="32"/>
          <w:szCs w:val="32"/>
        </w:rPr>
        <w:t>因公出国（境）费预算</w:t>
      </w:r>
      <w:r w:rsidRPr="009C3D02">
        <w:rPr>
          <w:rFonts w:ascii="仿宋" w:eastAsia="仿宋" w:hAnsi="仿宋" w:cs="仿宋_GB2312"/>
          <w:sz w:val="32"/>
          <w:szCs w:val="32"/>
        </w:rPr>
        <w:t>0</w:t>
      </w:r>
      <w:r w:rsidRPr="009C3D02">
        <w:rPr>
          <w:rFonts w:ascii="仿宋" w:eastAsia="仿宋" w:hAnsi="仿宋" w:cs="仿宋_GB2312"/>
          <w:sz w:val="32"/>
          <w:szCs w:val="32"/>
        </w:rPr>
        <w:t>万元，支出决算</w:t>
      </w:r>
      <w:r w:rsidRPr="009C3D02">
        <w:rPr>
          <w:rFonts w:ascii="仿宋" w:eastAsia="仿宋" w:hAnsi="仿宋" w:cs="仿宋_GB2312"/>
          <w:sz w:val="32"/>
          <w:szCs w:val="32"/>
        </w:rPr>
        <w:t>0</w:t>
      </w:r>
      <w:r w:rsidRPr="009C3D02">
        <w:rPr>
          <w:rFonts w:ascii="仿宋" w:eastAsia="仿宋" w:hAnsi="仿宋" w:cs="仿宋_GB2312"/>
          <w:sz w:val="32"/>
          <w:szCs w:val="32"/>
        </w:rPr>
        <w:t>万元，</w:t>
      </w:r>
      <w:r w:rsidRPr="009C3D02">
        <w:rPr>
          <w:rFonts w:ascii="仿宋" w:eastAsia="仿宋" w:hAnsi="仿宋" w:cs="仿宋_GB2312" w:hint="eastAsia"/>
          <w:sz w:val="32"/>
          <w:szCs w:val="32"/>
        </w:rPr>
        <w:t>与上年一致。</w:t>
      </w:r>
      <w:r w:rsidRPr="009C3D02">
        <w:rPr>
          <w:rFonts w:ascii="仿宋" w:eastAsia="仿宋" w:hAnsi="仿宋" w:cs="仿宋_GB2312"/>
          <w:sz w:val="32"/>
          <w:szCs w:val="32"/>
        </w:rPr>
        <w:t>全年因公出国（境）团组数</w:t>
      </w:r>
      <w:r w:rsidRPr="009C3D02">
        <w:rPr>
          <w:rFonts w:ascii="仿宋" w:eastAsia="仿宋" w:hAnsi="仿宋" w:cs="仿宋_GB2312"/>
          <w:sz w:val="32"/>
          <w:szCs w:val="32"/>
        </w:rPr>
        <w:t>0</w:t>
      </w:r>
      <w:r w:rsidRPr="009C3D02">
        <w:rPr>
          <w:rFonts w:ascii="仿宋" w:eastAsia="仿宋" w:hAnsi="仿宋" w:cs="仿宋_GB2312"/>
          <w:sz w:val="32"/>
          <w:szCs w:val="32"/>
        </w:rPr>
        <w:t>个，因公出国（境）</w:t>
      </w:r>
      <w:r w:rsidRPr="009C3D02">
        <w:rPr>
          <w:rFonts w:ascii="仿宋" w:eastAsia="仿宋" w:hAnsi="仿宋" w:cs="仿宋_GB2312"/>
          <w:sz w:val="32"/>
          <w:szCs w:val="32"/>
        </w:rPr>
        <w:t>0</w:t>
      </w:r>
      <w:r w:rsidRPr="009C3D02">
        <w:rPr>
          <w:rFonts w:ascii="仿宋" w:eastAsia="仿宋" w:hAnsi="仿宋" w:cs="仿宋_GB2312"/>
          <w:sz w:val="32"/>
          <w:szCs w:val="32"/>
        </w:rPr>
        <w:t>人次。</w:t>
      </w:r>
    </w:p>
    <w:p w:rsidR="002C2ECA" w:rsidRPr="009C3D02" w:rsidRDefault="00491D13">
      <w:pPr>
        <w:ind w:firstLineChars="200" w:firstLine="640"/>
        <w:rPr>
          <w:rFonts w:ascii="仿宋" w:eastAsia="仿宋" w:hAnsi="仿宋" w:cs="仿宋"/>
          <w:color w:val="000000"/>
          <w:sz w:val="32"/>
          <w:szCs w:val="32"/>
          <w:shd w:val="clear" w:color="080000" w:fill="FFFFFF"/>
        </w:rPr>
      </w:pPr>
      <w:r w:rsidRPr="009C3D02">
        <w:rPr>
          <w:rFonts w:ascii="仿宋" w:eastAsia="仿宋" w:hAnsi="仿宋" w:cs="仿宋_GB2312" w:hint="eastAsia"/>
          <w:sz w:val="32"/>
          <w:szCs w:val="32"/>
        </w:rPr>
        <w:t>2021</w:t>
      </w:r>
      <w:r w:rsidRPr="009C3D02">
        <w:rPr>
          <w:rFonts w:ascii="仿宋" w:eastAsia="仿宋" w:hAnsi="仿宋" w:cs="仿宋_GB2312" w:hint="eastAsia"/>
          <w:sz w:val="32"/>
          <w:szCs w:val="32"/>
        </w:rPr>
        <w:t>年</w:t>
      </w:r>
      <w:r w:rsidRPr="009C3D02">
        <w:rPr>
          <w:rFonts w:ascii="仿宋" w:eastAsia="仿宋" w:hAnsi="仿宋" w:cs="仿宋_GB2312"/>
          <w:sz w:val="32"/>
          <w:szCs w:val="32"/>
        </w:rPr>
        <w:t>公务用车购置及运行维护费预算</w:t>
      </w:r>
      <w:r w:rsidRPr="009C3D02">
        <w:rPr>
          <w:rFonts w:ascii="仿宋" w:eastAsia="仿宋" w:hAnsi="仿宋" w:cs="仿宋_GB2312" w:hint="eastAsia"/>
          <w:sz w:val="32"/>
          <w:szCs w:val="32"/>
        </w:rPr>
        <w:t>3</w:t>
      </w:r>
      <w:r w:rsidRPr="009C3D02">
        <w:rPr>
          <w:rFonts w:ascii="仿宋" w:eastAsia="仿宋" w:hAnsi="仿宋" w:cs="仿宋_GB2312"/>
          <w:sz w:val="32"/>
          <w:szCs w:val="32"/>
        </w:rPr>
        <w:t>万元，</w:t>
      </w:r>
      <w:r w:rsidRPr="009C3D02">
        <w:rPr>
          <w:rFonts w:ascii="仿宋" w:eastAsia="仿宋" w:hAnsi="仿宋" w:cs="仿宋_GB2312" w:hint="eastAsia"/>
          <w:sz w:val="32"/>
          <w:szCs w:val="32"/>
        </w:rPr>
        <w:t>与上年相比下降</w:t>
      </w:r>
      <w:r w:rsidRPr="009C3D02">
        <w:rPr>
          <w:rFonts w:ascii="仿宋" w:eastAsia="仿宋" w:hAnsi="仿宋" w:cs="仿宋_GB2312" w:hint="eastAsia"/>
          <w:sz w:val="32"/>
          <w:szCs w:val="32"/>
        </w:rPr>
        <w:t>2</w:t>
      </w:r>
      <w:r w:rsidRPr="009C3D02">
        <w:rPr>
          <w:rFonts w:ascii="仿宋" w:eastAsia="仿宋" w:hAnsi="仿宋" w:cs="仿宋_GB2312"/>
          <w:sz w:val="32"/>
          <w:szCs w:val="32"/>
        </w:rPr>
        <w:t>万元，</w:t>
      </w:r>
      <w:r w:rsidRPr="009C3D02">
        <w:rPr>
          <w:rFonts w:ascii="仿宋" w:eastAsia="仿宋" w:hAnsi="仿宋" w:cs="仿宋" w:hint="eastAsia"/>
          <w:color w:val="000000"/>
          <w:sz w:val="32"/>
          <w:szCs w:val="32"/>
          <w:shd w:val="clear" w:color="080000" w:fill="FFFFFF"/>
        </w:rPr>
        <w:t>主要原因为落实中央八项规定</w:t>
      </w:r>
      <w:r w:rsidRPr="009C3D02">
        <w:rPr>
          <w:rFonts w:ascii="仿宋" w:eastAsia="仿宋" w:hAnsi="仿宋" w:cs="仿宋" w:hint="eastAsia"/>
          <w:color w:val="000000"/>
          <w:sz w:val="32"/>
          <w:szCs w:val="32"/>
          <w:shd w:val="clear" w:color="080000" w:fill="FFFFFF"/>
        </w:rPr>
        <w:t>，</w:t>
      </w:r>
      <w:r w:rsidRPr="009C3D02">
        <w:rPr>
          <w:rFonts w:ascii="仿宋" w:eastAsia="仿宋" w:hAnsi="仿宋" w:cs="仿宋" w:hint="eastAsia"/>
          <w:color w:val="000000"/>
          <w:sz w:val="32"/>
          <w:szCs w:val="32"/>
          <w:shd w:val="clear" w:color="080000" w:fill="FFFFFF"/>
        </w:rPr>
        <w:t>无新购公务用车</w:t>
      </w:r>
      <w:r w:rsidRPr="009C3D02">
        <w:rPr>
          <w:rFonts w:ascii="仿宋" w:eastAsia="仿宋" w:hAnsi="仿宋" w:cs="仿宋" w:hint="eastAsia"/>
          <w:color w:val="000000"/>
          <w:sz w:val="32"/>
          <w:szCs w:val="32"/>
          <w:shd w:val="clear" w:color="080000" w:fill="FFFFFF"/>
        </w:rPr>
        <w:t>。</w:t>
      </w:r>
    </w:p>
    <w:p w:rsidR="002C2ECA" w:rsidRDefault="00491D13">
      <w:pPr>
        <w:pStyle w:val="2"/>
      </w:pPr>
      <w:bookmarkStart w:id="16" w:name="_Toc7941"/>
      <w:r>
        <w:rPr>
          <w:rFonts w:hint="eastAsia"/>
        </w:rPr>
        <w:t>（四）政府性基金预算情况</w:t>
      </w:r>
      <w:r>
        <w:rPr>
          <w:rFonts w:hint="eastAsia"/>
        </w:rPr>
        <w:t> </w:t>
      </w:r>
      <w:bookmarkEnd w:id="16"/>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32"/>
          <w:szCs w:val="32"/>
          <w:shd w:val="clear" w:color="080000" w:fill="FFFFFF"/>
        </w:rPr>
        <w:t>忻州市统计局</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年均没有政府性基金预算。</w:t>
      </w:r>
      <w:r>
        <w:rPr>
          <w:rFonts w:ascii="仿宋" w:eastAsia="仿宋" w:hAnsi="仿宋" w:cs="仿宋" w:hint="eastAsia"/>
          <w:color w:val="000000"/>
          <w:sz w:val="32"/>
          <w:szCs w:val="32"/>
          <w:shd w:val="clear" w:color="080000" w:fill="FFFFFF"/>
        </w:rPr>
        <w:t> </w:t>
      </w:r>
    </w:p>
    <w:p w:rsidR="002C2ECA" w:rsidRDefault="00491D13">
      <w:pPr>
        <w:pStyle w:val="2"/>
      </w:pPr>
      <w:bookmarkStart w:id="17" w:name="_Toc12967"/>
      <w:r>
        <w:rPr>
          <w:rFonts w:hint="eastAsia"/>
        </w:rPr>
        <w:t>（五）机关运行经费情况</w:t>
      </w:r>
      <w:r>
        <w:rPr>
          <w:rFonts w:hint="eastAsia"/>
        </w:rPr>
        <w:t> </w:t>
      </w:r>
      <w:bookmarkEnd w:id="17"/>
    </w:p>
    <w:p w:rsidR="002C2ECA" w:rsidRDefault="00491D13">
      <w:pPr>
        <w:pStyle w:val="a5"/>
        <w:widowControl/>
        <w:shd w:val="clear" w:color="060000" w:fill="FFFFFF"/>
        <w:spacing w:beforeAutospacing="0" w:afterAutospacing="0" w:line="500" w:lineRule="exact"/>
        <w:ind w:firstLine="60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忻州市统计局</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年的机关运行财政拨款预算</w:t>
      </w:r>
      <w:r>
        <w:rPr>
          <w:rFonts w:ascii="仿宋" w:eastAsia="仿宋" w:hAnsi="仿宋" w:cs="仿宋" w:hint="eastAsia"/>
          <w:color w:val="000000"/>
          <w:sz w:val="32"/>
          <w:szCs w:val="32"/>
          <w:shd w:val="clear" w:color="080000" w:fill="FFFFFF"/>
        </w:rPr>
        <w:t>150.19</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w:t>
      </w:r>
      <w:r>
        <w:rPr>
          <w:rFonts w:ascii="仿宋" w:eastAsia="仿宋" w:hAnsi="仿宋" w:cs="仿宋" w:hint="eastAsia"/>
          <w:color w:val="000000"/>
          <w:sz w:val="32"/>
          <w:szCs w:val="32"/>
          <w:shd w:val="clear" w:color="080000" w:fill="FFFFFF"/>
        </w:rPr>
        <w:t>比</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年增加</w:t>
      </w:r>
      <w:r>
        <w:rPr>
          <w:rFonts w:ascii="仿宋" w:eastAsia="仿宋" w:hAnsi="仿宋" w:cs="仿宋" w:hint="eastAsia"/>
          <w:color w:val="000000"/>
          <w:sz w:val="32"/>
          <w:szCs w:val="32"/>
          <w:shd w:val="clear" w:color="080000" w:fill="FFFFFF"/>
        </w:rPr>
        <w:t>66.23</w:t>
      </w:r>
      <w:r>
        <w:rPr>
          <w:rFonts w:ascii="仿宋" w:eastAsia="仿宋" w:hAnsi="仿宋" w:cs="仿宋" w:hint="eastAsia"/>
          <w:color w:val="000000"/>
          <w:sz w:val="32"/>
          <w:szCs w:val="32"/>
          <w:shd w:val="clear" w:color="080000" w:fill="FFFFFF"/>
        </w:rPr>
        <w:t>万元，主要原因是按照新的公用经费定额标准核定。</w:t>
      </w:r>
    </w:p>
    <w:p w:rsidR="002C2ECA" w:rsidRDefault="00491D13">
      <w:pPr>
        <w:pStyle w:val="2"/>
      </w:pPr>
      <w:bookmarkStart w:id="18" w:name="_Toc5503"/>
      <w:r>
        <w:rPr>
          <w:rFonts w:hint="eastAsia"/>
        </w:rPr>
        <w:t>（六）绩效管理情况</w:t>
      </w:r>
      <w:r>
        <w:rPr>
          <w:rFonts w:hint="eastAsia"/>
        </w:rPr>
        <w:t> </w:t>
      </w:r>
      <w:bookmarkEnd w:id="18"/>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年忻州市统计局整体支出及项目支出均实施绩效目标管理。</w:t>
      </w:r>
      <w:r>
        <w:rPr>
          <w:rFonts w:ascii="仿宋" w:eastAsia="仿宋" w:hAnsi="仿宋" w:cs="仿宋" w:hint="eastAsia"/>
          <w:color w:val="000000"/>
          <w:sz w:val="32"/>
          <w:szCs w:val="32"/>
          <w:shd w:val="clear" w:color="080000" w:fill="FFFFFF"/>
        </w:rPr>
        <w:t> </w:t>
      </w:r>
      <w:r>
        <w:rPr>
          <w:rFonts w:ascii="仿宋" w:eastAsia="仿宋" w:hAnsi="仿宋" w:cs="仿宋" w:hint="eastAsia"/>
          <w:color w:val="000000"/>
          <w:sz w:val="32"/>
          <w:szCs w:val="32"/>
          <w:shd w:val="clear" w:color="080000" w:fill="FFFFFF"/>
        </w:rPr>
        <w:t>涉及一般公共预算当年拨款</w:t>
      </w:r>
      <w:r>
        <w:rPr>
          <w:rFonts w:ascii="仿宋" w:eastAsia="仿宋" w:hAnsi="仿宋" w:cs="仿宋" w:hint="eastAsia"/>
          <w:color w:val="000000"/>
          <w:sz w:val="32"/>
          <w:szCs w:val="32"/>
          <w:shd w:val="clear" w:color="080000" w:fill="FFFFFF"/>
        </w:rPr>
        <w:t>1160.52</w:t>
      </w:r>
      <w:r>
        <w:rPr>
          <w:rFonts w:ascii="仿宋" w:eastAsia="仿宋" w:hAnsi="仿宋" w:cs="仿宋" w:hint="eastAsia"/>
          <w:color w:val="000000"/>
          <w:sz w:val="32"/>
          <w:szCs w:val="32"/>
          <w:shd w:val="clear" w:color="080000" w:fill="FFFFFF"/>
        </w:rPr>
        <w:t>万元。上述基本支出与项目支出均按相关要求执行绩效目标管理，未涉及重点项目绩效监控。</w:t>
      </w:r>
    </w:p>
    <w:p w:rsidR="002C2ECA" w:rsidRDefault="00491D13">
      <w:pPr>
        <w:pStyle w:val="a5"/>
        <w:widowControl/>
        <w:shd w:val="clear" w:color="060000" w:fill="FFFFFF"/>
        <w:spacing w:beforeAutospacing="0" w:afterAutospacing="0" w:line="500" w:lineRule="exact"/>
        <w:rPr>
          <w:rFonts w:ascii="楷体_GB2312" w:eastAsia="楷体_GB2312" w:hAnsi="仿宋" w:cs="Times New Roman"/>
          <w:b/>
          <w:kern w:val="2"/>
          <w:sz w:val="32"/>
          <w:szCs w:val="32"/>
        </w:rPr>
      </w:pPr>
      <w:r>
        <w:rPr>
          <w:rFonts w:ascii="仿宋" w:eastAsia="仿宋" w:hAnsi="仿宋" w:cs="仿宋" w:hint="eastAsia"/>
          <w:color w:val="000000"/>
          <w:sz w:val="28"/>
          <w:szCs w:val="28"/>
          <w:shd w:val="clear" w:color="080000" w:fill="FFFFFF"/>
        </w:rPr>
        <w:t xml:space="preserve">　　</w:t>
      </w:r>
      <w:bookmarkStart w:id="19" w:name="_Toc18354"/>
      <w:r>
        <w:rPr>
          <w:rStyle w:val="2Char"/>
          <w:rFonts w:hint="eastAsia"/>
        </w:rPr>
        <w:t>（七）政府采购情况</w:t>
      </w:r>
      <w:r>
        <w:rPr>
          <w:rStyle w:val="2Char"/>
          <w:rFonts w:hint="eastAsia"/>
        </w:rPr>
        <w:t> </w:t>
      </w:r>
      <w:bookmarkEnd w:id="19"/>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28"/>
          <w:szCs w:val="28"/>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年忻州市统计局政府采购预算为</w:t>
      </w:r>
      <w:r>
        <w:rPr>
          <w:rFonts w:ascii="仿宋" w:eastAsia="仿宋" w:hAnsi="仿宋" w:cs="仿宋" w:hint="eastAsia"/>
          <w:color w:val="000000"/>
          <w:sz w:val="32"/>
          <w:szCs w:val="32"/>
          <w:shd w:val="clear" w:color="080000" w:fill="FFFFFF"/>
        </w:rPr>
        <w:t>63.6</w:t>
      </w:r>
      <w:r>
        <w:rPr>
          <w:rFonts w:ascii="仿宋" w:eastAsia="仿宋" w:hAnsi="仿宋" w:cs="仿宋" w:hint="eastAsia"/>
          <w:color w:val="000000"/>
          <w:sz w:val="32"/>
          <w:szCs w:val="32"/>
          <w:shd w:val="clear" w:color="080000" w:fill="FFFFFF"/>
        </w:rPr>
        <w:t>万元，全部为服务采购预算。其中印刷服务预算为</w:t>
      </w:r>
      <w:r>
        <w:rPr>
          <w:rFonts w:ascii="仿宋" w:eastAsia="仿宋" w:hAnsi="仿宋" w:cs="仿宋" w:hint="eastAsia"/>
          <w:color w:val="000000"/>
          <w:sz w:val="32"/>
          <w:szCs w:val="32"/>
          <w:shd w:val="clear" w:color="080000" w:fill="FFFFFF"/>
        </w:rPr>
        <w:t>60.6</w:t>
      </w:r>
      <w:r>
        <w:rPr>
          <w:rFonts w:ascii="仿宋" w:eastAsia="仿宋" w:hAnsi="仿宋" w:cs="仿宋" w:hint="eastAsia"/>
          <w:color w:val="000000"/>
          <w:sz w:val="32"/>
          <w:szCs w:val="32"/>
          <w:shd w:val="clear" w:color="080000" w:fill="FFFFFF"/>
        </w:rPr>
        <w:t>万元，公务用车保险服务预算为</w:t>
      </w:r>
      <w:r>
        <w:rPr>
          <w:rFonts w:ascii="仿宋" w:eastAsia="仿宋" w:hAnsi="仿宋" w:cs="仿宋" w:hint="eastAsia"/>
          <w:color w:val="000000"/>
          <w:sz w:val="32"/>
          <w:szCs w:val="32"/>
          <w:shd w:val="clear" w:color="080000" w:fill="FFFFFF"/>
        </w:rPr>
        <w:t>3</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楷体_GB2312" w:eastAsia="楷体_GB2312" w:hAnsi="仿宋" w:cs="Times New Roman"/>
          <w:b/>
          <w:kern w:val="2"/>
          <w:sz w:val="32"/>
          <w:szCs w:val="32"/>
        </w:rPr>
      </w:pPr>
      <w:r>
        <w:rPr>
          <w:rFonts w:ascii="仿宋" w:eastAsia="仿宋" w:hAnsi="仿宋" w:cs="仿宋" w:hint="eastAsia"/>
          <w:color w:val="000000"/>
          <w:sz w:val="28"/>
          <w:szCs w:val="28"/>
          <w:shd w:val="clear" w:color="080000" w:fill="FFFFFF"/>
        </w:rPr>
        <w:t xml:space="preserve">　　</w:t>
      </w:r>
      <w:bookmarkStart w:id="20" w:name="_Toc17686"/>
      <w:r>
        <w:rPr>
          <w:rStyle w:val="2Char"/>
          <w:rFonts w:hint="eastAsia"/>
        </w:rPr>
        <w:t>（八）政府购买服务</w:t>
      </w:r>
      <w:r>
        <w:rPr>
          <w:rStyle w:val="2Char"/>
          <w:rFonts w:hint="eastAsia"/>
        </w:rPr>
        <w:t> </w:t>
      </w:r>
      <w:bookmarkEnd w:id="20"/>
    </w:p>
    <w:p w:rsidR="002C2ECA" w:rsidRDefault="00491D13">
      <w:pPr>
        <w:pStyle w:val="a5"/>
        <w:widowControl/>
        <w:shd w:val="clear" w:color="060000" w:fill="FFFFFF"/>
        <w:spacing w:beforeAutospacing="0" w:afterAutospacing="0" w:line="500" w:lineRule="exact"/>
        <w:ind w:firstLine="560"/>
        <w:rPr>
          <w:rFonts w:ascii="仿宋" w:eastAsia="仿宋" w:hAnsi="仿宋" w:cs="仿宋"/>
          <w:color w:val="000000"/>
          <w:sz w:val="28"/>
          <w:szCs w:val="28"/>
          <w:shd w:val="clear" w:color="080000" w:fill="FFFFFF"/>
        </w:rPr>
      </w:pP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年忻州市统计局无政府购买服务项目。</w:t>
      </w:r>
      <w:r>
        <w:rPr>
          <w:rFonts w:ascii="仿宋" w:eastAsia="仿宋" w:hAnsi="仿宋" w:cs="仿宋" w:hint="eastAsia"/>
          <w:color w:val="000000"/>
          <w:sz w:val="28"/>
          <w:szCs w:val="28"/>
          <w:shd w:val="clear" w:color="080000" w:fill="FFFFFF"/>
        </w:rPr>
        <w:t> </w:t>
      </w:r>
    </w:p>
    <w:p w:rsidR="002C2ECA" w:rsidRDefault="00491D13">
      <w:pPr>
        <w:pStyle w:val="a5"/>
        <w:widowControl/>
        <w:shd w:val="clear" w:color="060000" w:fill="FFFFFF"/>
        <w:spacing w:beforeAutospacing="0" w:afterAutospacing="0" w:line="500" w:lineRule="exact"/>
        <w:ind w:firstLineChars="200" w:firstLine="643"/>
        <w:rPr>
          <w:rStyle w:val="2Char"/>
        </w:rPr>
      </w:pPr>
      <w:bookmarkStart w:id="21" w:name="_Toc25695"/>
      <w:r>
        <w:rPr>
          <w:rStyle w:val="2Char"/>
          <w:rFonts w:hint="eastAsia"/>
        </w:rPr>
        <w:lastRenderedPageBreak/>
        <w:t>（九）国有资产占有使用情况</w:t>
      </w:r>
    </w:p>
    <w:bookmarkEnd w:id="21"/>
    <w:p w:rsidR="002C2ECA" w:rsidRDefault="00491D13">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1.</w:t>
      </w:r>
      <w:r>
        <w:rPr>
          <w:rFonts w:ascii="仿宋" w:eastAsia="仿宋" w:hAnsi="仿宋" w:cs="仿宋" w:hint="eastAsia"/>
          <w:color w:val="000000"/>
          <w:sz w:val="32"/>
          <w:szCs w:val="32"/>
          <w:shd w:val="clear" w:color="080000" w:fill="FFFFFF"/>
        </w:rPr>
        <w:t>车辆情况，公务用车制度改革后，忻州市统计局受市政府机关公务用车管理服务中心委托管理的车辆为</w:t>
      </w:r>
      <w:r>
        <w:rPr>
          <w:rFonts w:ascii="仿宋" w:eastAsia="仿宋" w:hAnsi="仿宋" w:cs="仿宋" w:hint="eastAsia"/>
          <w:color w:val="000000"/>
          <w:sz w:val="32"/>
          <w:szCs w:val="32"/>
          <w:shd w:val="clear" w:color="080000" w:fill="FFFFFF"/>
        </w:rPr>
        <w:t>1</w:t>
      </w:r>
      <w:r>
        <w:rPr>
          <w:rFonts w:ascii="仿宋" w:eastAsia="仿宋" w:hAnsi="仿宋" w:cs="仿宋" w:hint="eastAsia"/>
          <w:color w:val="000000"/>
          <w:sz w:val="32"/>
          <w:szCs w:val="32"/>
          <w:shd w:val="clear" w:color="080000" w:fill="FFFFFF"/>
        </w:rPr>
        <w:t>辆。</w:t>
      </w:r>
    </w:p>
    <w:p w:rsidR="002C2ECA" w:rsidRDefault="00491D13">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2.</w:t>
      </w:r>
      <w:r>
        <w:rPr>
          <w:rFonts w:ascii="仿宋" w:eastAsia="仿宋" w:hAnsi="仿宋" w:cs="仿宋" w:hint="eastAsia"/>
          <w:color w:val="000000"/>
          <w:sz w:val="32"/>
          <w:szCs w:val="32"/>
          <w:shd w:val="clear" w:color="080000" w:fill="FFFFFF"/>
        </w:rPr>
        <w:t>房屋情况，截至</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w:t>
      </w:r>
      <w:r>
        <w:rPr>
          <w:rFonts w:ascii="仿宋" w:eastAsia="仿宋" w:hAnsi="仿宋" w:cs="仿宋" w:hint="eastAsia"/>
          <w:color w:val="000000"/>
          <w:sz w:val="32"/>
          <w:szCs w:val="32"/>
          <w:shd w:val="clear" w:color="080000" w:fill="FFFFFF"/>
        </w:rPr>
        <w:t>12</w:t>
      </w:r>
      <w:r>
        <w:rPr>
          <w:rFonts w:ascii="仿宋" w:eastAsia="仿宋" w:hAnsi="仿宋" w:cs="仿宋" w:hint="eastAsia"/>
          <w:color w:val="000000"/>
          <w:sz w:val="32"/>
          <w:szCs w:val="32"/>
          <w:shd w:val="clear" w:color="080000" w:fill="FFFFFF"/>
        </w:rPr>
        <w:t>月末，忻州市统计局机关及六个下属事业单位无独立办公场所，占用忻州市机关事务管理局办公用房，面积为</w:t>
      </w:r>
      <w:r>
        <w:rPr>
          <w:rFonts w:ascii="仿宋" w:eastAsia="仿宋" w:hAnsi="仿宋" w:cs="仿宋" w:hint="eastAsia"/>
          <w:color w:val="000000"/>
          <w:sz w:val="32"/>
          <w:szCs w:val="32"/>
          <w:shd w:val="clear" w:color="080000" w:fill="FFFFFF"/>
        </w:rPr>
        <w:t>704.16</w:t>
      </w:r>
      <w:r>
        <w:rPr>
          <w:rFonts w:ascii="仿宋" w:eastAsia="仿宋" w:hAnsi="仿宋" w:cs="仿宋" w:hint="eastAsia"/>
          <w:color w:val="000000"/>
          <w:sz w:val="32"/>
          <w:szCs w:val="32"/>
          <w:shd w:val="clear" w:color="080000" w:fill="FFFFFF"/>
        </w:rPr>
        <w:t>平方米。</w:t>
      </w:r>
      <w:r>
        <w:rPr>
          <w:rFonts w:ascii="仿宋" w:eastAsia="仿宋" w:hAnsi="仿宋" w:cs="仿宋" w:hint="eastAsia"/>
          <w:color w:val="000000"/>
          <w:sz w:val="32"/>
          <w:szCs w:val="32"/>
          <w:shd w:val="clear" w:color="080000" w:fill="FFFFFF"/>
        </w:rPr>
        <w:t> </w:t>
      </w:r>
    </w:p>
    <w:p w:rsidR="002C2ECA" w:rsidRDefault="00491D13">
      <w:pPr>
        <w:pStyle w:val="1"/>
        <w:widowControl/>
        <w:shd w:val="clear" w:color="060000" w:fill="FFFFFF"/>
        <w:spacing w:beforeAutospacing="0" w:afterAutospacing="0" w:line="500" w:lineRule="exact"/>
        <w:rPr>
          <w:rFonts w:ascii="黑体" w:eastAsia="黑体" w:hAnsi="黑体" w:cs="Times New Roman" w:hint="default"/>
          <w:b w:val="0"/>
          <w:bCs w:val="0"/>
          <w:kern w:val="2"/>
          <w:sz w:val="32"/>
          <w:szCs w:val="32"/>
        </w:rPr>
      </w:pPr>
      <w:bookmarkStart w:id="22" w:name="_Toc1491"/>
      <w:r>
        <w:rPr>
          <w:rFonts w:ascii="仿宋" w:eastAsia="仿宋" w:hAnsi="仿宋" w:cs="仿宋"/>
          <w:color w:val="000000"/>
          <w:sz w:val="28"/>
          <w:szCs w:val="28"/>
          <w:shd w:val="clear" w:color="080000" w:fill="FFFFFF"/>
        </w:rPr>
        <w:t>  </w:t>
      </w:r>
      <w:bookmarkStart w:id="23" w:name="_Toc4732"/>
      <w:bookmarkEnd w:id="22"/>
      <w:r>
        <w:rPr>
          <w:rStyle w:val="1Char"/>
          <w:b/>
          <w:bCs/>
        </w:rPr>
        <w:t>四、名词解释</w:t>
      </w:r>
      <w:bookmarkEnd w:id="23"/>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28"/>
          <w:szCs w:val="28"/>
          <w:shd w:val="clear" w:color="080000" w:fill="FFFFFF"/>
        </w:rPr>
        <w:t xml:space="preserve"> </w:t>
      </w:r>
      <w:r>
        <w:rPr>
          <w:rFonts w:ascii="楷体_GB2312" w:eastAsia="楷体_GB2312" w:hAnsi="仿宋" w:cs="Times New Roman" w:hint="eastAsia"/>
          <w:b/>
          <w:kern w:val="2"/>
          <w:sz w:val="32"/>
          <w:szCs w:val="32"/>
        </w:rPr>
        <w:t xml:space="preserve"> </w:t>
      </w:r>
      <w:r>
        <w:rPr>
          <w:rFonts w:ascii="楷体_GB2312" w:eastAsia="楷体_GB2312" w:hAnsi="仿宋" w:cs="Times New Roman" w:hint="eastAsia"/>
          <w:b/>
          <w:kern w:val="2"/>
          <w:sz w:val="32"/>
          <w:szCs w:val="32"/>
        </w:rPr>
        <w:t>（一）基本支出：</w:t>
      </w:r>
      <w:r>
        <w:rPr>
          <w:rFonts w:ascii="仿宋" w:eastAsia="仿宋" w:hAnsi="仿宋" w:cs="仿宋" w:hint="eastAsia"/>
          <w:color w:val="000000"/>
          <w:sz w:val="32"/>
          <w:szCs w:val="32"/>
          <w:shd w:val="clear" w:color="080000" w:fill="FFFFFF"/>
        </w:rPr>
        <w:t>指为保障机构正常运转、完成日常工作任务而发生的人员支出和公用支出。</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 xml:space="preserve"> </w:t>
      </w:r>
      <w:r>
        <w:rPr>
          <w:rFonts w:ascii="楷体_GB2312" w:eastAsia="楷体_GB2312" w:hAnsi="仿宋" w:cs="Times New Roman" w:hint="eastAsia"/>
          <w:b/>
          <w:kern w:val="2"/>
          <w:sz w:val="32"/>
          <w:szCs w:val="32"/>
        </w:rPr>
        <w:t>（二）项目支出：</w:t>
      </w:r>
      <w:r>
        <w:rPr>
          <w:rFonts w:ascii="仿宋" w:eastAsia="仿宋" w:hAnsi="仿宋" w:cs="仿宋" w:hint="eastAsia"/>
          <w:color w:val="000000"/>
          <w:sz w:val="32"/>
          <w:szCs w:val="32"/>
          <w:shd w:val="clear" w:color="080000" w:fill="FFFFFF"/>
        </w:rPr>
        <w:t>指在基本支出之外为完成特定行政任务和事业发展目标所发生的支出。</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 xml:space="preserve"> </w:t>
      </w:r>
      <w:r>
        <w:rPr>
          <w:rFonts w:ascii="楷体_GB2312" w:eastAsia="楷体_GB2312" w:hAnsi="仿宋" w:cs="Times New Roman" w:hint="eastAsia"/>
          <w:b/>
          <w:kern w:val="2"/>
          <w:sz w:val="32"/>
          <w:szCs w:val="32"/>
        </w:rPr>
        <w:t>（三）“三公”经费：</w:t>
      </w:r>
      <w:r>
        <w:rPr>
          <w:rFonts w:ascii="仿宋" w:eastAsia="仿宋" w:hAnsi="仿宋" w:cs="仿宋" w:hint="eastAsia"/>
          <w:color w:val="000000"/>
          <w:sz w:val="32"/>
          <w:szCs w:val="32"/>
          <w:shd w:val="clear" w:color="080000" w:fill="FFFFFF"/>
        </w:rPr>
        <w:t>指省直部门用一般公共预算安排的因公出国（境）费、公务用车购置及运行费和公务接待费。其中，因公出国（境）</w:t>
      </w:r>
      <w:proofErr w:type="gramStart"/>
      <w:r>
        <w:rPr>
          <w:rFonts w:ascii="仿宋" w:eastAsia="仿宋" w:hAnsi="仿宋" w:cs="仿宋" w:hint="eastAsia"/>
          <w:color w:val="000000"/>
          <w:sz w:val="32"/>
          <w:szCs w:val="32"/>
          <w:shd w:val="clear" w:color="080000" w:fill="FFFFFF"/>
        </w:rPr>
        <w:t>费反映</w:t>
      </w:r>
      <w:proofErr w:type="gramEnd"/>
      <w:r>
        <w:rPr>
          <w:rFonts w:ascii="仿宋" w:eastAsia="仿宋" w:hAnsi="仿宋" w:cs="仿宋" w:hint="eastAsia"/>
          <w:color w:val="000000"/>
          <w:sz w:val="32"/>
          <w:szCs w:val="32"/>
          <w:shd w:val="clear" w:color="080000" w:fill="FFFFFF"/>
        </w:rPr>
        <w:t>单位公务出国（境）的国际旅费、国外城市间交通费、住宿费、伙食费、培训费、公杂费等支出；公务用车购置</w:t>
      </w:r>
      <w:proofErr w:type="gramStart"/>
      <w:r>
        <w:rPr>
          <w:rFonts w:ascii="仿宋" w:eastAsia="仿宋" w:hAnsi="仿宋" w:cs="仿宋" w:hint="eastAsia"/>
          <w:color w:val="000000"/>
          <w:sz w:val="32"/>
          <w:szCs w:val="32"/>
          <w:shd w:val="clear" w:color="080000" w:fill="FFFFFF"/>
        </w:rPr>
        <w:t>费反映</w:t>
      </w:r>
      <w:proofErr w:type="gramEnd"/>
      <w:r>
        <w:rPr>
          <w:rFonts w:ascii="仿宋" w:eastAsia="仿宋" w:hAnsi="仿宋" w:cs="仿宋" w:hint="eastAsia"/>
          <w:color w:val="000000"/>
          <w:sz w:val="32"/>
          <w:szCs w:val="32"/>
          <w:shd w:val="clear" w:color="080000" w:fill="FFFFFF"/>
        </w:rPr>
        <w:t>公务用车车辆购置支出（</w:t>
      </w:r>
      <w:proofErr w:type="gramStart"/>
      <w:r>
        <w:rPr>
          <w:rFonts w:ascii="仿宋" w:eastAsia="仿宋" w:hAnsi="仿宋" w:cs="仿宋" w:hint="eastAsia"/>
          <w:color w:val="000000"/>
          <w:sz w:val="32"/>
          <w:szCs w:val="32"/>
          <w:shd w:val="clear" w:color="080000" w:fill="FFFFFF"/>
        </w:rPr>
        <w:t>含车辆</w:t>
      </w:r>
      <w:proofErr w:type="gramEnd"/>
      <w:r>
        <w:rPr>
          <w:rFonts w:ascii="仿宋" w:eastAsia="仿宋" w:hAnsi="仿宋" w:cs="仿宋" w:hint="eastAsia"/>
          <w:color w:val="000000"/>
          <w:sz w:val="32"/>
          <w:szCs w:val="32"/>
          <w:shd w:val="clear" w:color="080000" w:fill="FFFFFF"/>
        </w:rPr>
        <w:t>购置税）；公务用车运行维护费反映单位按规定保留的公务用车燃料费、维修费、过路过桥费、保险费、安全奖励费用等支出；公务接待</w:t>
      </w:r>
      <w:proofErr w:type="gramStart"/>
      <w:r>
        <w:rPr>
          <w:rFonts w:ascii="仿宋" w:eastAsia="仿宋" w:hAnsi="仿宋" w:cs="仿宋" w:hint="eastAsia"/>
          <w:color w:val="000000"/>
          <w:sz w:val="32"/>
          <w:szCs w:val="32"/>
          <w:shd w:val="clear" w:color="080000" w:fill="FFFFFF"/>
        </w:rPr>
        <w:t>费反映</w:t>
      </w:r>
      <w:proofErr w:type="gramEnd"/>
      <w:r>
        <w:rPr>
          <w:rFonts w:ascii="仿宋" w:eastAsia="仿宋" w:hAnsi="仿宋" w:cs="仿宋" w:hint="eastAsia"/>
          <w:color w:val="000000"/>
          <w:sz w:val="32"/>
          <w:szCs w:val="32"/>
          <w:shd w:val="clear" w:color="080000" w:fill="FFFFFF"/>
        </w:rPr>
        <w:t>单位按规定开支的各类公务接待（含外宾接待）支出。</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 xml:space="preserve"> </w:t>
      </w:r>
      <w:r>
        <w:rPr>
          <w:rFonts w:ascii="楷体_GB2312" w:eastAsia="楷体_GB2312" w:hAnsi="仿宋" w:cs="Times New Roman" w:hint="eastAsia"/>
          <w:b/>
          <w:kern w:val="2"/>
          <w:sz w:val="32"/>
          <w:szCs w:val="32"/>
        </w:rPr>
        <w:t>（四）机关运行经费：</w:t>
      </w:r>
      <w:r>
        <w:rPr>
          <w:rFonts w:ascii="仿宋" w:eastAsia="仿宋" w:hAnsi="仿宋" w:cs="仿宋" w:hint="eastAsia"/>
          <w:color w:val="000000"/>
          <w:sz w:val="32"/>
          <w:szCs w:val="32"/>
          <w:shd w:val="clear" w:color="080000" w:fill="FFFFFF"/>
        </w:rPr>
        <w:t>指行政单位和参照公务员法管理的事业单位使用一般公共预算安排的基本支出中的日常公用经费支出。</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  </w:t>
      </w:r>
    </w:p>
    <w:p w:rsidR="002C2ECA" w:rsidRDefault="00491D13">
      <w:pPr>
        <w:pStyle w:val="a5"/>
        <w:widowControl/>
        <w:shd w:val="clear" w:color="060000" w:fill="FFFFFF"/>
        <w:spacing w:beforeAutospacing="0" w:afterAutospacing="0" w:line="500" w:lineRule="exact"/>
        <w:rPr>
          <w:rFonts w:ascii="仿宋" w:eastAsia="仿宋" w:hAnsi="仿宋" w:cs="仿宋"/>
          <w:sz w:val="28"/>
          <w:szCs w:val="28"/>
        </w:rPr>
      </w:pPr>
      <w:r>
        <w:rPr>
          <w:rFonts w:ascii="仿宋" w:eastAsia="仿宋" w:hAnsi="仿宋" w:cs="仿宋" w:hint="eastAsia"/>
          <w:color w:val="000000"/>
          <w:sz w:val="32"/>
          <w:szCs w:val="32"/>
          <w:shd w:val="clear" w:color="080000" w:fill="FFFFFF"/>
        </w:rPr>
        <w:t> </w:t>
      </w:r>
    </w:p>
    <w:p w:rsidR="002C2ECA" w:rsidRDefault="00491D13">
      <w:pPr>
        <w:spacing w:line="500" w:lineRule="exact"/>
        <w:ind w:firstLineChars="1700" w:firstLine="5440"/>
        <w:rPr>
          <w:rFonts w:ascii="仿宋" w:eastAsia="仿宋" w:hAnsi="仿宋" w:cs="仿宋"/>
          <w:color w:val="000000"/>
          <w:kern w:val="0"/>
          <w:sz w:val="32"/>
          <w:szCs w:val="32"/>
          <w:shd w:val="clear" w:color="090000" w:fill="FFFFFF"/>
        </w:rPr>
      </w:pPr>
      <w:r>
        <w:rPr>
          <w:rFonts w:ascii="仿宋" w:eastAsia="仿宋" w:hAnsi="仿宋" w:cs="仿宋" w:hint="eastAsia"/>
          <w:color w:val="000000"/>
          <w:kern w:val="0"/>
          <w:sz w:val="32"/>
          <w:szCs w:val="32"/>
          <w:shd w:val="clear" w:color="090000" w:fill="FFFFFF"/>
        </w:rPr>
        <w:t>忻州市统计局</w:t>
      </w:r>
    </w:p>
    <w:p w:rsidR="002C2ECA" w:rsidRDefault="00491D13">
      <w:pPr>
        <w:spacing w:line="500" w:lineRule="exact"/>
        <w:ind w:firstLineChars="1600" w:firstLine="5120"/>
        <w:rPr>
          <w:rFonts w:ascii="仿宋" w:eastAsia="仿宋" w:hAnsi="仿宋" w:cs="仿宋"/>
          <w:color w:val="000000"/>
          <w:kern w:val="0"/>
          <w:sz w:val="32"/>
          <w:szCs w:val="32"/>
          <w:shd w:val="clear" w:color="090000" w:fill="FFFFFF"/>
        </w:rPr>
      </w:pPr>
      <w:r>
        <w:rPr>
          <w:rFonts w:ascii="仿宋" w:eastAsia="仿宋" w:hAnsi="仿宋" w:cs="仿宋" w:hint="eastAsia"/>
          <w:color w:val="000000"/>
          <w:kern w:val="0"/>
          <w:sz w:val="32"/>
          <w:szCs w:val="32"/>
          <w:shd w:val="clear" w:color="090000" w:fill="FFFFFF"/>
        </w:rPr>
        <w:t>2021</w:t>
      </w:r>
      <w:r>
        <w:rPr>
          <w:rFonts w:ascii="仿宋" w:eastAsia="仿宋" w:hAnsi="仿宋" w:cs="仿宋" w:hint="eastAsia"/>
          <w:color w:val="000000"/>
          <w:kern w:val="0"/>
          <w:sz w:val="32"/>
          <w:szCs w:val="32"/>
          <w:shd w:val="clear" w:color="090000" w:fill="FFFFFF"/>
        </w:rPr>
        <w:t>年</w:t>
      </w:r>
      <w:r>
        <w:rPr>
          <w:rFonts w:ascii="仿宋" w:eastAsia="仿宋" w:hAnsi="仿宋" w:cs="仿宋" w:hint="eastAsia"/>
          <w:color w:val="000000"/>
          <w:kern w:val="0"/>
          <w:sz w:val="32"/>
          <w:szCs w:val="32"/>
          <w:shd w:val="clear" w:color="090000" w:fill="FFFFFF"/>
        </w:rPr>
        <w:t>3</w:t>
      </w:r>
      <w:r>
        <w:rPr>
          <w:rFonts w:ascii="仿宋" w:eastAsia="仿宋" w:hAnsi="仿宋" w:cs="仿宋" w:hint="eastAsia"/>
          <w:color w:val="000000"/>
          <w:kern w:val="0"/>
          <w:sz w:val="32"/>
          <w:szCs w:val="32"/>
          <w:shd w:val="clear" w:color="090000" w:fill="FFFFFF"/>
        </w:rPr>
        <w:t>月</w:t>
      </w:r>
      <w:r>
        <w:rPr>
          <w:rFonts w:ascii="仿宋" w:eastAsia="仿宋" w:hAnsi="仿宋" w:cs="仿宋" w:hint="eastAsia"/>
          <w:color w:val="000000"/>
          <w:kern w:val="0"/>
          <w:sz w:val="32"/>
          <w:szCs w:val="32"/>
          <w:shd w:val="clear" w:color="090000" w:fill="FFFFFF"/>
        </w:rPr>
        <w:t>25</w:t>
      </w:r>
      <w:r>
        <w:rPr>
          <w:rFonts w:ascii="仿宋" w:eastAsia="仿宋" w:hAnsi="仿宋" w:cs="仿宋" w:hint="eastAsia"/>
          <w:color w:val="000000"/>
          <w:kern w:val="0"/>
          <w:sz w:val="32"/>
          <w:szCs w:val="32"/>
          <w:shd w:val="clear" w:color="090000" w:fill="FFFFFF"/>
        </w:rPr>
        <w:t>日</w:t>
      </w:r>
    </w:p>
    <w:p w:rsidR="002C2ECA" w:rsidRDefault="002C2ECA">
      <w:pPr>
        <w:rPr>
          <w:rFonts w:ascii="仿宋" w:eastAsia="仿宋" w:hAnsi="仿宋" w:cs="仿宋"/>
          <w:sz w:val="28"/>
          <w:szCs w:val="28"/>
        </w:rPr>
      </w:pPr>
    </w:p>
    <w:tbl>
      <w:tblPr>
        <w:tblW w:w="9912" w:type="dxa"/>
        <w:tblInd w:w="91" w:type="dxa"/>
        <w:tblLayout w:type="fixed"/>
        <w:tblLook w:val="04A0" w:firstRow="1" w:lastRow="0" w:firstColumn="1" w:lastColumn="0" w:noHBand="0" w:noVBand="1"/>
      </w:tblPr>
      <w:tblGrid>
        <w:gridCol w:w="3576"/>
        <w:gridCol w:w="1665"/>
        <w:gridCol w:w="2856"/>
        <w:gridCol w:w="1815"/>
      </w:tblGrid>
      <w:tr w:rsidR="002C2ECA">
        <w:trPr>
          <w:trHeight w:val="340"/>
          <w:tblHeader/>
        </w:trPr>
        <w:tc>
          <w:tcPr>
            <w:tcW w:w="3576" w:type="dxa"/>
            <w:tcBorders>
              <w:top w:val="nil"/>
              <w:left w:val="nil"/>
              <w:bottom w:val="nil"/>
              <w:right w:val="nil"/>
            </w:tcBorders>
            <w:vAlign w:val="bottom"/>
          </w:tcPr>
          <w:p w:rsidR="002C2ECA" w:rsidRDefault="002C2ECA">
            <w:pPr>
              <w:rPr>
                <w:rFonts w:cs="Calibri"/>
                <w:color w:val="000000"/>
                <w:sz w:val="22"/>
                <w:szCs w:val="22"/>
              </w:rPr>
            </w:pPr>
          </w:p>
        </w:tc>
        <w:tc>
          <w:tcPr>
            <w:tcW w:w="1665" w:type="dxa"/>
            <w:tcBorders>
              <w:top w:val="nil"/>
              <w:left w:val="nil"/>
              <w:bottom w:val="nil"/>
              <w:right w:val="nil"/>
            </w:tcBorders>
            <w:vAlign w:val="bottom"/>
          </w:tcPr>
          <w:p w:rsidR="002C2ECA" w:rsidRDefault="002C2ECA">
            <w:pPr>
              <w:rPr>
                <w:rFonts w:cs="Calibri"/>
                <w:color w:val="000000"/>
                <w:sz w:val="22"/>
                <w:szCs w:val="22"/>
              </w:rPr>
            </w:pPr>
          </w:p>
        </w:tc>
        <w:tc>
          <w:tcPr>
            <w:tcW w:w="2856" w:type="dxa"/>
            <w:tcBorders>
              <w:top w:val="nil"/>
              <w:left w:val="nil"/>
              <w:bottom w:val="nil"/>
              <w:right w:val="nil"/>
            </w:tcBorders>
            <w:vAlign w:val="bottom"/>
          </w:tcPr>
          <w:p w:rsidR="002C2ECA" w:rsidRDefault="002C2ECA">
            <w:pPr>
              <w:rPr>
                <w:rFonts w:cs="Calibri"/>
                <w:color w:val="000000"/>
                <w:sz w:val="22"/>
                <w:szCs w:val="22"/>
              </w:rPr>
            </w:pPr>
          </w:p>
        </w:tc>
        <w:tc>
          <w:tcPr>
            <w:tcW w:w="1815"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1</w:t>
            </w:r>
          </w:p>
        </w:tc>
      </w:tr>
      <w:tr w:rsidR="002C2ECA">
        <w:trPr>
          <w:trHeight w:val="340"/>
          <w:tblHeader/>
        </w:trPr>
        <w:tc>
          <w:tcPr>
            <w:tcW w:w="9912" w:type="dxa"/>
            <w:gridSpan w:val="4"/>
            <w:tcBorders>
              <w:top w:val="nil"/>
              <w:left w:val="nil"/>
              <w:bottom w:val="nil"/>
              <w:right w:val="nil"/>
            </w:tcBorders>
            <w:vAlign w:val="center"/>
          </w:tcPr>
          <w:p w:rsidR="002C2ECA" w:rsidRDefault="00491D13">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年预算收支总表</w:t>
            </w:r>
          </w:p>
        </w:tc>
      </w:tr>
      <w:tr w:rsidR="002C2ECA">
        <w:trPr>
          <w:trHeight w:val="340"/>
          <w:tblHeader/>
        </w:trPr>
        <w:tc>
          <w:tcPr>
            <w:tcW w:w="3576"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1665"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2856"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1815"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2C2ECA">
        <w:trPr>
          <w:trHeight w:val="340"/>
          <w:tblHeader/>
        </w:trPr>
        <w:tc>
          <w:tcPr>
            <w:tcW w:w="5241" w:type="dxa"/>
            <w:gridSpan w:val="2"/>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收入</w:t>
            </w:r>
          </w:p>
        </w:tc>
        <w:tc>
          <w:tcPr>
            <w:tcW w:w="4671" w:type="dxa"/>
            <w:gridSpan w:val="2"/>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支出</w:t>
            </w: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w:t>
            </w: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w:t>
            </w: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一、一般公共预算</w:t>
            </w: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一般公共服务支出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二、纳入预算管理的政府性基金</w:t>
            </w: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外交支出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三、财政专户管理资金</w:t>
            </w: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国防支出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四、单位资金</w:t>
            </w: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公共安全支出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教育支出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科学技术支出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文化旅游体育与传媒支出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社会保障和就业支出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社会保险基金支出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卫生健康支出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节能环保支出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城乡社区支出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农林水支出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交通运输支出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资源勘探工业信息等支出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商业服务业等支出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金融支出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援助其他地区支出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自然资源海洋气象等支出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住房保障支出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粮油物资储备支出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灾害防治及应急管理支出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预备费</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其他支出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转移性支出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债务还本支出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债务付息支出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债务发行费用支出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抗</w:t>
            </w:r>
            <w:proofErr w:type="gramStart"/>
            <w:r>
              <w:rPr>
                <w:rFonts w:ascii="宋体" w:hAnsi="宋体" w:cs="宋体" w:hint="eastAsia"/>
                <w:color w:val="000000"/>
                <w:kern w:val="0"/>
                <w:sz w:val="24"/>
              </w:rPr>
              <w:t>疫</w:t>
            </w:r>
            <w:proofErr w:type="gramEnd"/>
            <w:r>
              <w:rPr>
                <w:rFonts w:ascii="宋体" w:hAnsi="宋体" w:cs="宋体" w:hint="eastAsia"/>
                <w:color w:val="000000"/>
                <w:kern w:val="0"/>
                <w:sz w:val="24"/>
              </w:rPr>
              <w:t>特别国债安排的支出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本年收入合计</w:t>
            </w:r>
          </w:p>
        </w:tc>
        <w:tc>
          <w:tcPr>
            <w:tcW w:w="166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c>
          <w:tcPr>
            <w:tcW w:w="285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本年支出合计</w:t>
            </w:r>
          </w:p>
        </w:tc>
        <w:tc>
          <w:tcPr>
            <w:tcW w:w="181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r>
    </w:tbl>
    <w:p w:rsidR="002C2ECA" w:rsidRDefault="002C2ECA"/>
    <w:p w:rsidR="002C2ECA" w:rsidRDefault="002C2ECA">
      <w:bookmarkStart w:id="24" w:name="_GoBack"/>
      <w:bookmarkEnd w:id="24"/>
    </w:p>
    <w:tbl>
      <w:tblPr>
        <w:tblW w:w="9864" w:type="dxa"/>
        <w:tblInd w:w="93" w:type="dxa"/>
        <w:tblLayout w:type="fixed"/>
        <w:tblLook w:val="04A0" w:firstRow="1" w:lastRow="0" w:firstColumn="1" w:lastColumn="0" w:noHBand="0" w:noVBand="1"/>
      </w:tblPr>
      <w:tblGrid>
        <w:gridCol w:w="960"/>
        <w:gridCol w:w="3375"/>
        <w:gridCol w:w="1408"/>
        <w:gridCol w:w="1380"/>
        <w:gridCol w:w="705"/>
        <w:gridCol w:w="1170"/>
        <w:gridCol w:w="866"/>
      </w:tblGrid>
      <w:tr w:rsidR="002C2ECA">
        <w:trPr>
          <w:trHeight w:val="390"/>
        </w:trPr>
        <w:tc>
          <w:tcPr>
            <w:tcW w:w="960" w:type="dxa"/>
            <w:tcBorders>
              <w:top w:val="nil"/>
              <w:left w:val="nil"/>
              <w:bottom w:val="nil"/>
              <w:right w:val="nil"/>
            </w:tcBorders>
            <w:vAlign w:val="bottom"/>
          </w:tcPr>
          <w:p w:rsidR="002C2ECA" w:rsidRDefault="002C2ECA">
            <w:pPr>
              <w:rPr>
                <w:rFonts w:cs="Calibri"/>
                <w:color w:val="000000"/>
                <w:sz w:val="22"/>
                <w:szCs w:val="22"/>
              </w:rPr>
            </w:pPr>
          </w:p>
        </w:tc>
        <w:tc>
          <w:tcPr>
            <w:tcW w:w="3375" w:type="dxa"/>
            <w:tcBorders>
              <w:top w:val="nil"/>
              <w:left w:val="nil"/>
              <w:bottom w:val="nil"/>
              <w:right w:val="nil"/>
            </w:tcBorders>
            <w:vAlign w:val="bottom"/>
          </w:tcPr>
          <w:p w:rsidR="002C2ECA" w:rsidRDefault="002C2ECA">
            <w:pPr>
              <w:rPr>
                <w:rFonts w:cs="Calibri"/>
                <w:color w:val="000000"/>
                <w:sz w:val="22"/>
                <w:szCs w:val="22"/>
              </w:rPr>
            </w:pPr>
          </w:p>
        </w:tc>
        <w:tc>
          <w:tcPr>
            <w:tcW w:w="1408" w:type="dxa"/>
            <w:tcBorders>
              <w:top w:val="nil"/>
              <w:left w:val="nil"/>
              <w:bottom w:val="nil"/>
              <w:right w:val="nil"/>
            </w:tcBorders>
            <w:vAlign w:val="bottom"/>
          </w:tcPr>
          <w:p w:rsidR="002C2ECA" w:rsidRDefault="002C2ECA">
            <w:pPr>
              <w:rPr>
                <w:rFonts w:cs="Calibri"/>
                <w:color w:val="000000"/>
                <w:sz w:val="22"/>
                <w:szCs w:val="22"/>
              </w:rPr>
            </w:pPr>
          </w:p>
        </w:tc>
        <w:tc>
          <w:tcPr>
            <w:tcW w:w="1380" w:type="dxa"/>
            <w:tcBorders>
              <w:top w:val="nil"/>
              <w:left w:val="nil"/>
              <w:bottom w:val="nil"/>
              <w:right w:val="nil"/>
            </w:tcBorders>
            <w:vAlign w:val="bottom"/>
          </w:tcPr>
          <w:p w:rsidR="002C2ECA" w:rsidRDefault="002C2ECA">
            <w:pPr>
              <w:rPr>
                <w:rFonts w:cs="Calibri"/>
                <w:color w:val="000000"/>
                <w:sz w:val="22"/>
                <w:szCs w:val="22"/>
              </w:rPr>
            </w:pPr>
          </w:p>
        </w:tc>
        <w:tc>
          <w:tcPr>
            <w:tcW w:w="705" w:type="dxa"/>
            <w:tcBorders>
              <w:top w:val="nil"/>
              <w:left w:val="nil"/>
              <w:bottom w:val="nil"/>
              <w:right w:val="nil"/>
            </w:tcBorders>
            <w:vAlign w:val="bottom"/>
          </w:tcPr>
          <w:p w:rsidR="002C2ECA" w:rsidRDefault="002C2ECA">
            <w:pPr>
              <w:rPr>
                <w:rFonts w:cs="Calibri"/>
                <w:color w:val="000000"/>
                <w:sz w:val="22"/>
                <w:szCs w:val="22"/>
              </w:rPr>
            </w:pPr>
          </w:p>
        </w:tc>
        <w:tc>
          <w:tcPr>
            <w:tcW w:w="1170" w:type="dxa"/>
            <w:tcBorders>
              <w:top w:val="nil"/>
              <w:left w:val="nil"/>
              <w:bottom w:val="nil"/>
              <w:right w:val="nil"/>
            </w:tcBorders>
            <w:vAlign w:val="bottom"/>
          </w:tcPr>
          <w:p w:rsidR="002C2ECA" w:rsidRDefault="002C2ECA">
            <w:pPr>
              <w:rPr>
                <w:rFonts w:cs="Calibri"/>
                <w:color w:val="000000"/>
                <w:sz w:val="22"/>
                <w:szCs w:val="22"/>
              </w:rPr>
            </w:pPr>
          </w:p>
        </w:tc>
        <w:tc>
          <w:tcPr>
            <w:tcW w:w="866"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2</w:t>
            </w:r>
          </w:p>
        </w:tc>
      </w:tr>
      <w:tr w:rsidR="002C2ECA">
        <w:trPr>
          <w:trHeight w:val="720"/>
        </w:trPr>
        <w:tc>
          <w:tcPr>
            <w:tcW w:w="9864" w:type="dxa"/>
            <w:gridSpan w:val="7"/>
            <w:tcBorders>
              <w:top w:val="nil"/>
              <w:left w:val="nil"/>
              <w:bottom w:val="nil"/>
              <w:right w:val="nil"/>
            </w:tcBorders>
            <w:vAlign w:val="center"/>
          </w:tcPr>
          <w:p w:rsidR="002C2ECA" w:rsidRDefault="00491D13">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年预算收入总表</w:t>
            </w:r>
          </w:p>
        </w:tc>
      </w:tr>
      <w:tr w:rsidR="002C2ECA">
        <w:trPr>
          <w:trHeight w:val="255"/>
        </w:trPr>
        <w:tc>
          <w:tcPr>
            <w:tcW w:w="960"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3375"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1408"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1380"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705"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1170"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866"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2C2ECA">
        <w:trPr>
          <w:trHeight w:val="495"/>
        </w:trPr>
        <w:tc>
          <w:tcPr>
            <w:tcW w:w="4335" w:type="dxa"/>
            <w:gridSpan w:val="2"/>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5529" w:type="dxa"/>
            <w:gridSpan w:val="5"/>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年预算数</w:t>
            </w:r>
          </w:p>
        </w:tc>
      </w:tr>
      <w:tr w:rsidR="002C2ECA">
        <w:trPr>
          <w:trHeight w:val="90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科目编码</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科目名称</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本年收入合计</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一般公共预算</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政府性基金</w:t>
            </w: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财政专户管理资金</w:t>
            </w: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单位资金</w:t>
            </w: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合计</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201</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一般公共服务支出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统计信息事务</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01</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行政运行</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255.96</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255.96</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一般行政管理事务</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80.40</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80.40</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04</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信息事务</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19.60</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19.60</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07</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专项普查活动</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54.70</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54.70</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50</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事业运行</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539.70</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539.70</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208</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社会保障和就业支出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行政事业单位养老支出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555"/>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机关事业单位基本养老保险缴费支出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210</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卫生健康支出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11</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行政事业单位医疗</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01</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行政单位医疗</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8.09</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8.09</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事业单位医疗</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34.12</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34.12</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213</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农林水支出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扶贫</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99</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其他扶贫支出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221</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住房保障支出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住房改革支出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01</w:t>
            </w:r>
          </w:p>
        </w:tc>
        <w:tc>
          <w:tcPr>
            <w:tcW w:w="33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住房公积金</w:t>
            </w:r>
          </w:p>
        </w:tc>
        <w:tc>
          <w:tcPr>
            <w:tcW w:w="140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8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70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bl>
    <w:p w:rsidR="002C2ECA" w:rsidRDefault="002C2ECA"/>
    <w:p w:rsidR="002C2ECA" w:rsidRDefault="002C2ECA"/>
    <w:tbl>
      <w:tblPr>
        <w:tblW w:w="9493" w:type="dxa"/>
        <w:tblInd w:w="93" w:type="dxa"/>
        <w:tblLayout w:type="fixed"/>
        <w:tblLook w:val="04A0" w:firstRow="1" w:lastRow="0" w:firstColumn="1" w:lastColumn="0" w:noHBand="0" w:noVBand="1"/>
      </w:tblPr>
      <w:tblGrid>
        <w:gridCol w:w="1545"/>
        <w:gridCol w:w="3733"/>
        <w:gridCol w:w="1395"/>
        <w:gridCol w:w="1350"/>
        <w:gridCol w:w="1470"/>
      </w:tblGrid>
      <w:tr w:rsidR="002C2ECA">
        <w:trPr>
          <w:trHeight w:val="315"/>
        </w:trPr>
        <w:tc>
          <w:tcPr>
            <w:tcW w:w="1545" w:type="dxa"/>
            <w:tcBorders>
              <w:top w:val="nil"/>
              <w:left w:val="nil"/>
              <w:bottom w:val="nil"/>
              <w:right w:val="nil"/>
            </w:tcBorders>
            <w:vAlign w:val="bottom"/>
          </w:tcPr>
          <w:p w:rsidR="002C2ECA" w:rsidRDefault="002C2ECA">
            <w:pPr>
              <w:rPr>
                <w:rFonts w:cs="Calibri"/>
                <w:color w:val="000000"/>
                <w:sz w:val="22"/>
                <w:szCs w:val="22"/>
              </w:rPr>
            </w:pPr>
          </w:p>
        </w:tc>
        <w:tc>
          <w:tcPr>
            <w:tcW w:w="3733" w:type="dxa"/>
            <w:tcBorders>
              <w:top w:val="nil"/>
              <w:left w:val="nil"/>
              <w:bottom w:val="nil"/>
              <w:right w:val="nil"/>
            </w:tcBorders>
            <w:vAlign w:val="bottom"/>
          </w:tcPr>
          <w:p w:rsidR="002C2ECA" w:rsidRDefault="002C2ECA">
            <w:pPr>
              <w:rPr>
                <w:rFonts w:cs="Calibri"/>
                <w:color w:val="000000"/>
                <w:sz w:val="22"/>
                <w:szCs w:val="22"/>
              </w:rPr>
            </w:pPr>
          </w:p>
        </w:tc>
        <w:tc>
          <w:tcPr>
            <w:tcW w:w="1395" w:type="dxa"/>
            <w:tcBorders>
              <w:top w:val="nil"/>
              <w:left w:val="nil"/>
              <w:bottom w:val="nil"/>
              <w:right w:val="nil"/>
            </w:tcBorders>
            <w:vAlign w:val="bottom"/>
          </w:tcPr>
          <w:p w:rsidR="002C2ECA" w:rsidRDefault="002C2ECA">
            <w:pPr>
              <w:rPr>
                <w:rFonts w:cs="Calibri"/>
                <w:color w:val="000000"/>
                <w:sz w:val="22"/>
                <w:szCs w:val="22"/>
              </w:rPr>
            </w:pPr>
          </w:p>
        </w:tc>
        <w:tc>
          <w:tcPr>
            <w:tcW w:w="1350" w:type="dxa"/>
            <w:tcBorders>
              <w:top w:val="nil"/>
              <w:left w:val="nil"/>
              <w:bottom w:val="nil"/>
              <w:right w:val="nil"/>
            </w:tcBorders>
            <w:vAlign w:val="bottom"/>
          </w:tcPr>
          <w:p w:rsidR="002C2ECA" w:rsidRDefault="002C2ECA">
            <w:pPr>
              <w:rPr>
                <w:rFonts w:cs="Calibri"/>
                <w:color w:val="000000"/>
                <w:sz w:val="22"/>
                <w:szCs w:val="22"/>
              </w:rPr>
            </w:pPr>
          </w:p>
        </w:tc>
        <w:tc>
          <w:tcPr>
            <w:tcW w:w="1470"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3</w:t>
            </w:r>
          </w:p>
        </w:tc>
      </w:tr>
      <w:tr w:rsidR="002C2ECA">
        <w:trPr>
          <w:trHeight w:val="720"/>
        </w:trPr>
        <w:tc>
          <w:tcPr>
            <w:tcW w:w="9493" w:type="dxa"/>
            <w:gridSpan w:val="5"/>
            <w:tcBorders>
              <w:top w:val="nil"/>
              <w:left w:val="nil"/>
              <w:bottom w:val="nil"/>
              <w:right w:val="nil"/>
            </w:tcBorders>
            <w:vAlign w:val="center"/>
          </w:tcPr>
          <w:p w:rsidR="002C2ECA" w:rsidRDefault="00491D13">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年预算支出总表</w:t>
            </w:r>
          </w:p>
        </w:tc>
      </w:tr>
      <w:tr w:rsidR="002C2ECA">
        <w:trPr>
          <w:trHeight w:val="300"/>
        </w:trPr>
        <w:tc>
          <w:tcPr>
            <w:tcW w:w="1545"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3733"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1395"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1350"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1470"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2C2ECA">
        <w:trPr>
          <w:trHeight w:val="450"/>
        </w:trPr>
        <w:tc>
          <w:tcPr>
            <w:tcW w:w="5278" w:type="dxa"/>
            <w:gridSpan w:val="2"/>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4215" w:type="dxa"/>
            <w:gridSpan w:val="3"/>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年预算数</w:t>
            </w: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科目编码</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科目名称</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合计</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基本支出</w:t>
            </w: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项目支出</w:t>
            </w: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合计</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1,005.82</w:t>
            </w: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154.70</w:t>
            </w: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201</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一般公共服务支出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统计信息事务</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01</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行政运行</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255.96</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255.96</w:t>
            </w: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一般行政管理事务</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80.40</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80.40</w:t>
            </w: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04</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信息事务</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19.60</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19.60</w:t>
            </w: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07</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专项普查活动</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54.70</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54.70</w:t>
            </w: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50</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事业运行</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539.70</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539.70</w:t>
            </w: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208</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社会保障和就业支出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行政事业单位养老支出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机关事业单位基本养老保险缴费支出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210</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卫生健康支出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11</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行政事业单位医疗</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01</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行政单位医疗</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8.09</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8.09</w:t>
            </w: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事业单位医疗</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34.12</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34.12</w:t>
            </w: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213</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农林水支出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扶贫</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99</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其他扶贫支出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221</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住房保障支出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住房改革支出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01</w:t>
            </w:r>
          </w:p>
        </w:tc>
        <w:tc>
          <w:tcPr>
            <w:tcW w:w="373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住房公积金</w:t>
            </w:r>
          </w:p>
        </w:tc>
        <w:tc>
          <w:tcPr>
            <w:tcW w:w="13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5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47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bl>
    <w:p w:rsidR="002C2ECA" w:rsidRDefault="002C2ECA"/>
    <w:p w:rsidR="002C2ECA" w:rsidRDefault="002C2ECA"/>
    <w:p w:rsidR="002C2ECA" w:rsidRDefault="002C2ECA"/>
    <w:p w:rsidR="002C2ECA" w:rsidRDefault="002C2ECA"/>
    <w:p w:rsidR="002C2ECA" w:rsidRDefault="002C2ECA"/>
    <w:p w:rsidR="002C2ECA" w:rsidRDefault="002C2ECA"/>
    <w:tbl>
      <w:tblPr>
        <w:tblW w:w="9478" w:type="dxa"/>
        <w:tblInd w:w="91" w:type="dxa"/>
        <w:tblLayout w:type="fixed"/>
        <w:tblLook w:val="04A0" w:firstRow="1" w:lastRow="0" w:firstColumn="1" w:lastColumn="0" w:noHBand="0" w:noVBand="1"/>
      </w:tblPr>
      <w:tblGrid>
        <w:gridCol w:w="1995"/>
        <w:gridCol w:w="1155"/>
        <w:gridCol w:w="2370"/>
        <w:gridCol w:w="1260"/>
        <w:gridCol w:w="1275"/>
        <w:gridCol w:w="1423"/>
      </w:tblGrid>
      <w:tr w:rsidR="002C2ECA">
        <w:trPr>
          <w:trHeight w:val="300"/>
        </w:trPr>
        <w:tc>
          <w:tcPr>
            <w:tcW w:w="1995" w:type="dxa"/>
            <w:tcBorders>
              <w:top w:val="nil"/>
              <w:left w:val="nil"/>
              <w:bottom w:val="nil"/>
              <w:right w:val="nil"/>
            </w:tcBorders>
            <w:vAlign w:val="bottom"/>
          </w:tcPr>
          <w:p w:rsidR="002C2ECA" w:rsidRDefault="002C2ECA">
            <w:pPr>
              <w:rPr>
                <w:rFonts w:cs="Calibri"/>
                <w:color w:val="000000"/>
                <w:sz w:val="22"/>
                <w:szCs w:val="22"/>
              </w:rPr>
            </w:pPr>
          </w:p>
        </w:tc>
        <w:tc>
          <w:tcPr>
            <w:tcW w:w="1155" w:type="dxa"/>
            <w:tcBorders>
              <w:top w:val="nil"/>
              <w:left w:val="nil"/>
              <w:bottom w:val="nil"/>
              <w:right w:val="nil"/>
            </w:tcBorders>
            <w:vAlign w:val="bottom"/>
          </w:tcPr>
          <w:p w:rsidR="002C2ECA" w:rsidRDefault="002C2ECA">
            <w:pPr>
              <w:rPr>
                <w:rFonts w:cs="Calibri"/>
                <w:color w:val="000000"/>
                <w:sz w:val="22"/>
                <w:szCs w:val="22"/>
              </w:rPr>
            </w:pPr>
          </w:p>
        </w:tc>
        <w:tc>
          <w:tcPr>
            <w:tcW w:w="2370" w:type="dxa"/>
            <w:tcBorders>
              <w:top w:val="nil"/>
              <w:left w:val="nil"/>
              <w:bottom w:val="nil"/>
              <w:right w:val="nil"/>
            </w:tcBorders>
            <w:vAlign w:val="bottom"/>
          </w:tcPr>
          <w:p w:rsidR="002C2ECA" w:rsidRDefault="002C2ECA">
            <w:pPr>
              <w:rPr>
                <w:rFonts w:cs="Calibri"/>
                <w:color w:val="000000"/>
                <w:sz w:val="22"/>
                <w:szCs w:val="22"/>
              </w:rPr>
            </w:pPr>
          </w:p>
        </w:tc>
        <w:tc>
          <w:tcPr>
            <w:tcW w:w="1260" w:type="dxa"/>
            <w:tcBorders>
              <w:top w:val="nil"/>
              <w:left w:val="nil"/>
              <w:bottom w:val="nil"/>
              <w:right w:val="nil"/>
            </w:tcBorders>
            <w:vAlign w:val="bottom"/>
          </w:tcPr>
          <w:p w:rsidR="002C2ECA" w:rsidRDefault="002C2ECA">
            <w:pPr>
              <w:rPr>
                <w:rFonts w:cs="Calibri"/>
                <w:color w:val="000000"/>
                <w:sz w:val="22"/>
                <w:szCs w:val="22"/>
              </w:rPr>
            </w:pPr>
          </w:p>
        </w:tc>
        <w:tc>
          <w:tcPr>
            <w:tcW w:w="1275" w:type="dxa"/>
            <w:tcBorders>
              <w:top w:val="nil"/>
              <w:left w:val="nil"/>
              <w:bottom w:val="nil"/>
              <w:right w:val="nil"/>
            </w:tcBorders>
            <w:vAlign w:val="bottom"/>
          </w:tcPr>
          <w:p w:rsidR="002C2ECA" w:rsidRDefault="002C2ECA">
            <w:pPr>
              <w:rPr>
                <w:rFonts w:cs="Calibri"/>
                <w:color w:val="000000"/>
                <w:sz w:val="22"/>
                <w:szCs w:val="22"/>
              </w:rPr>
            </w:pPr>
          </w:p>
        </w:tc>
        <w:tc>
          <w:tcPr>
            <w:tcW w:w="1423"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4</w:t>
            </w:r>
          </w:p>
        </w:tc>
      </w:tr>
      <w:tr w:rsidR="002C2ECA">
        <w:trPr>
          <w:trHeight w:val="630"/>
        </w:trPr>
        <w:tc>
          <w:tcPr>
            <w:tcW w:w="9478" w:type="dxa"/>
            <w:gridSpan w:val="6"/>
            <w:tcBorders>
              <w:top w:val="nil"/>
              <w:left w:val="nil"/>
              <w:bottom w:val="nil"/>
              <w:right w:val="nil"/>
            </w:tcBorders>
            <w:vAlign w:val="center"/>
          </w:tcPr>
          <w:p w:rsidR="002C2ECA" w:rsidRDefault="00491D13">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年财政拨款收支总表</w:t>
            </w:r>
          </w:p>
        </w:tc>
      </w:tr>
      <w:tr w:rsidR="002C2ECA">
        <w:trPr>
          <w:trHeight w:val="255"/>
        </w:trPr>
        <w:tc>
          <w:tcPr>
            <w:tcW w:w="1995"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1155"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2370"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1260"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1275"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1423"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2C2ECA">
        <w:trPr>
          <w:trHeight w:val="290"/>
        </w:trPr>
        <w:tc>
          <w:tcPr>
            <w:tcW w:w="3150" w:type="dxa"/>
            <w:gridSpan w:val="2"/>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收入</w:t>
            </w:r>
          </w:p>
        </w:tc>
        <w:tc>
          <w:tcPr>
            <w:tcW w:w="6328" w:type="dxa"/>
            <w:gridSpan w:val="4"/>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支出</w:t>
            </w:r>
          </w:p>
        </w:tc>
      </w:tr>
      <w:tr w:rsidR="002C2ECA">
        <w:trPr>
          <w:trHeight w:val="280"/>
        </w:trPr>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金额</w:t>
            </w:r>
          </w:p>
        </w:tc>
        <w:tc>
          <w:tcPr>
            <w:tcW w:w="2370" w:type="dxa"/>
            <w:vMerge w:val="restart"/>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w:t>
            </w:r>
          </w:p>
        </w:tc>
        <w:tc>
          <w:tcPr>
            <w:tcW w:w="3958" w:type="dxa"/>
            <w:gridSpan w:val="3"/>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金额</w:t>
            </w:r>
          </w:p>
        </w:tc>
      </w:tr>
      <w:tr w:rsidR="002C2ECA">
        <w:trPr>
          <w:trHeight w:val="309"/>
        </w:trPr>
        <w:tc>
          <w:tcPr>
            <w:tcW w:w="1995" w:type="dxa"/>
            <w:vMerge/>
            <w:tcBorders>
              <w:top w:val="single" w:sz="4" w:space="0" w:color="000000"/>
              <w:left w:val="single" w:sz="4" w:space="0" w:color="000000"/>
              <w:bottom w:val="single" w:sz="4" w:space="0" w:color="000000"/>
              <w:right w:val="single" w:sz="4" w:space="0" w:color="000000"/>
            </w:tcBorders>
            <w:vAlign w:val="center"/>
          </w:tcPr>
          <w:p w:rsidR="002C2ECA" w:rsidRDefault="002C2ECA">
            <w:pPr>
              <w:jc w:val="center"/>
              <w:rPr>
                <w:rFonts w:ascii="宋体" w:hAnsi="宋体" w:cs="宋体"/>
                <w:b/>
                <w:bCs/>
                <w:color w:val="000000"/>
                <w:sz w:val="18"/>
                <w:szCs w:val="18"/>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2C2ECA" w:rsidRDefault="002C2ECA">
            <w:pPr>
              <w:jc w:val="center"/>
              <w:rPr>
                <w:rFonts w:ascii="宋体" w:hAnsi="宋体" w:cs="宋体"/>
                <w:b/>
                <w:bCs/>
                <w:color w:val="000000"/>
                <w:sz w:val="18"/>
                <w:szCs w:val="18"/>
              </w:rPr>
            </w:pPr>
          </w:p>
        </w:tc>
        <w:tc>
          <w:tcPr>
            <w:tcW w:w="2370" w:type="dxa"/>
            <w:vMerge/>
            <w:tcBorders>
              <w:top w:val="single" w:sz="4" w:space="0" w:color="000000"/>
              <w:left w:val="single" w:sz="4" w:space="0" w:color="000000"/>
              <w:bottom w:val="single" w:sz="4" w:space="0" w:color="000000"/>
              <w:right w:val="single" w:sz="4" w:space="0" w:color="000000"/>
            </w:tcBorders>
            <w:vAlign w:val="center"/>
          </w:tcPr>
          <w:p w:rsidR="002C2ECA" w:rsidRDefault="002C2ECA">
            <w:pPr>
              <w:jc w:val="center"/>
              <w:rPr>
                <w:rFonts w:ascii="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小计</w:t>
            </w: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一般公共预算</w:t>
            </w: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政府性基金</w:t>
            </w:r>
          </w:p>
        </w:tc>
      </w:tr>
      <w:tr w:rsidR="002C2ECA">
        <w:trPr>
          <w:trHeight w:val="450"/>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w:t>
            </w: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1,160.52</w:t>
            </w: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一般公共服务支出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570"/>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二、纳入预算管理的政府性基金</w:t>
            </w: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外交支出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国防支出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公共安全支出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教育支出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科学技术支出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文化旅游体育与传媒支出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社会保障和就业支出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社会保险基金支出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节能环保支出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城乡社区支出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农林水支出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交通运输支出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资源勘探工业信息等支出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商业服务业等支出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金融支出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援助其他地区支出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自然资源海洋气象等支出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住房保障支出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粮油物资储备支出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国有资本经营预算支出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灾害防治及应急管理支出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预备费</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转移性支出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债务还本支出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债务付息支出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债务发行费用支出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抗</w:t>
            </w:r>
            <w:proofErr w:type="gramStart"/>
            <w:r>
              <w:rPr>
                <w:rFonts w:ascii="宋体" w:hAnsi="宋体" w:cs="宋体" w:hint="eastAsia"/>
                <w:color w:val="000000"/>
                <w:kern w:val="0"/>
                <w:sz w:val="18"/>
                <w:szCs w:val="18"/>
              </w:rPr>
              <w:t>疫</w:t>
            </w:r>
            <w:proofErr w:type="gramEnd"/>
            <w:r>
              <w:rPr>
                <w:rFonts w:ascii="宋体" w:hAnsi="宋体" w:cs="宋体" w:hint="eastAsia"/>
                <w:color w:val="000000"/>
                <w:kern w:val="0"/>
                <w:sz w:val="18"/>
                <w:szCs w:val="18"/>
              </w:rPr>
              <w:t>特别国债安排的支出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Cs w:val="21"/>
              </w:rPr>
            </w:pPr>
            <w:r>
              <w:rPr>
                <w:rFonts w:ascii="宋体" w:hAnsi="宋体" w:cs="宋体" w:hint="eastAsia"/>
                <w:color w:val="000000"/>
                <w:kern w:val="0"/>
                <w:szCs w:val="21"/>
              </w:rPr>
              <w:t>本年收入合计</w:t>
            </w:r>
          </w:p>
        </w:tc>
        <w:tc>
          <w:tcPr>
            <w:tcW w:w="115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Cs w:val="21"/>
              </w:rPr>
            </w:pPr>
            <w:r>
              <w:rPr>
                <w:rFonts w:ascii="宋体" w:hAnsi="宋体" w:cs="宋体" w:hint="eastAsia"/>
                <w:color w:val="000000"/>
                <w:kern w:val="0"/>
                <w:szCs w:val="21"/>
              </w:rPr>
              <w:t>1,160.52</w:t>
            </w:r>
          </w:p>
        </w:tc>
        <w:tc>
          <w:tcPr>
            <w:tcW w:w="23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2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kern w:val="0"/>
                <w:szCs w:val="21"/>
              </w:rPr>
            </w:pPr>
            <w:r>
              <w:rPr>
                <w:rFonts w:ascii="宋体" w:hAnsi="宋体" w:cs="宋体" w:hint="eastAsia"/>
                <w:color w:val="000000"/>
                <w:kern w:val="0"/>
                <w:szCs w:val="21"/>
              </w:rPr>
              <w:t>1,160.52</w:t>
            </w:r>
          </w:p>
        </w:tc>
        <w:tc>
          <w:tcPr>
            <w:tcW w:w="127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kern w:val="0"/>
                <w:szCs w:val="21"/>
              </w:rPr>
            </w:pPr>
            <w:r>
              <w:rPr>
                <w:rFonts w:ascii="宋体" w:hAnsi="宋体" w:cs="宋体" w:hint="eastAsia"/>
                <w:color w:val="000000"/>
                <w:kern w:val="0"/>
                <w:szCs w:val="21"/>
              </w:rPr>
              <w:t>1,160.52</w:t>
            </w:r>
          </w:p>
        </w:tc>
        <w:tc>
          <w:tcPr>
            <w:tcW w:w="14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Cs w:val="21"/>
              </w:rPr>
            </w:pPr>
          </w:p>
        </w:tc>
      </w:tr>
    </w:tbl>
    <w:p w:rsidR="002C2ECA" w:rsidRDefault="002C2ECA"/>
    <w:p w:rsidR="002C2ECA" w:rsidRDefault="002C2ECA"/>
    <w:p w:rsidR="002C2ECA" w:rsidRDefault="002C2ECA"/>
    <w:tbl>
      <w:tblPr>
        <w:tblW w:w="9583" w:type="dxa"/>
        <w:tblInd w:w="93" w:type="dxa"/>
        <w:tblLayout w:type="fixed"/>
        <w:tblLook w:val="04A0" w:firstRow="1" w:lastRow="0" w:firstColumn="1" w:lastColumn="0" w:noHBand="0" w:noVBand="1"/>
      </w:tblPr>
      <w:tblGrid>
        <w:gridCol w:w="1123"/>
        <w:gridCol w:w="3570"/>
        <w:gridCol w:w="1485"/>
        <w:gridCol w:w="1845"/>
        <w:gridCol w:w="1560"/>
      </w:tblGrid>
      <w:tr w:rsidR="002C2ECA">
        <w:trPr>
          <w:trHeight w:val="405"/>
        </w:trPr>
        <w:tc>
          <w:tcPr>
            <w:tcW w:w="1123" w:type="dxa"/>
            <w:tcBorders>
              <w:top w:val="nil"/>
              <w:left w:val="nil"/>
              <w:bottom w:val="nil"/>
              <w:right w:val="nil"/>
            </w:tcBorders>
            <w:vAlign w:val="bottom"/>
          </w:tcPr>
          <w:p w:rsidR="002C2ECA" w:rsidRDefault="002C2ECA">
            <w:pPr>
              <w:rPr>
                <w:rFonts w:cs="Calibri"/>
                <w:color w:val="000000"/>
                <w:sz w:val="22"/>
                <w:szCs w:val="22"/>
              </w:rPr>
            </w:pPr>
          </w:p>
        </w:tc>
        <w:tc>
          <w:tcPr>
            <w:tcW w:w="3570" w:type="dxa"/>
            <w:tcBorders>
              <w:top w:val="nil"/>
              <w:left w:val="nil"/>
              <w:bottom w:val="nil"/>
              <w:right w:val="nil"/>
            </w:tcBorders>
            <w:vAlign w:val="bottom"/>
          </w:tcPr>
          <w:p w:rsidR="002C2ECA" w:rsidRDefault="002C2ECA">
            <w:pPr>
              <w:rPr>
                <w:rFonts w:cs="Calibri"/>
                <w:color w:val="000000"/>
                <w:sz w:val="22"/>
                <w:szCs w:val="22"/>
              </w:rPr>
            </w:pPr>
          </w:p>
        </w:tc>
        <w:tc>
          <w:tcPr>
            <w:tcW w:w="1485" w:type="dxa"/>
            <w:tcBorders>
              <w:top w:val="nil"/>
              <w:left w:val="nil"/>
              <w:bottom w:val="nil"/>
              <w:right w:val="nil"/>
            </w:tcBorders>
            <w:vAlign w:val="bottom"/>
          </w:tcPr>
          <w:p w:rsidR="002C2ECA" w:rsidRDefault="002C2ECA">
            <w:pPr>
              <w:rPr>
                <w:rFonts w:cs="Calibri"/>
                <w:color w:val="000000"/>
                <w:sz w:val="22"/>
                <w:szCs w:val="22"/>
              </w:rPr>
            </w:pPr>
          </w:p>
        </w:tc>
        <w:tc>
          <w:tcPr>
            <w:tcW w:w="1845" w:type="dxa"/>
            <w:tcBorders>
              <w:top w:val="nil"/>
              <w:left w:val="nil"/>
              <w:bottom w:val="nil"/>
              <w:right w:val="nil"/>
            </w:tcBorders>
            <w:vAlign w:val="bottom"/>
          </w:tcPr>
          <w:p w:rsidR="002C2ECA" w:rsidRDefault="002C2ECA">
            <w:pPr>
              <w:rPr>
                <w:rFonts w:cs="Calibri"/>
                <w:color w:val="000000"/>
                <w:sz w:val="22"/>
                <w:szCs w:val="22"/>
              </w:rPr>
            </w:pPr>
          </w:p>
        </w:tc>
        <w:tc>
          <w:tcPr>
            <w:tcW w:w="1560"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5</w:t>
            </w:r>
          </w:p>
        </w:tc>
      </w:tr>
      <w:tr w:rsidR="002C2ECA">
        <w:trPr>
          <w:trHeight w:val="675"/>
        </w:trPr>
        <w:tc>
          <w:tcPr>
            <w:tcW w:w="9583" w:type="dxa"/>
            <w:gridSpan w:val="5"/>
            <w:tcBorders>
              <w:top w:val="nil"/>
              <w:left w:val="nil"/>
              <w:bottom w:val="nil"/>
              <w:right w:val="nil"/>
            </w:tcBorders>
            <w:vAlign w:val="center"/>
          </w:tcPr>
          <w:p w:rsidR="002C2ECA" w:rsidRDefault="00491D13">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年一般预算支出预算表</w:t>
            </w:r>
          </w:p>
        </w:tc>
      </w:tr>
      <w:tr w:rsidR="002C2ECA">
        <w:trPr>
          <w:trHeight w:val="300"/>
        </w:trPr>
        <w:tc>
          <w:tcPr>
            <w:tcW w:w="1123"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3570"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1485"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1845" w:type="dxa"/>
            <w:tcBorders>
              <w:top w:val="nil"/>
              <w:left w:val="nil"/>
              <w:bottom w:val="nil"/>
              <w:right w:val="nil"/>
            </w:tcBorders>
            <w:vAlign w:val="center"/>
          </w:tcPr>
          <w:p w:rsidR="002C2ECA" w:rsidRDefault="002C2ECA">
            <w:pPr>
              <w:jc w:val="center"/>
              <w:rPr>
                <w:rFonts w:ascii="宋体" w:hAnsi="宋体" w:cs="宋体"/>
                <w:color w:val="000000"/>
                <w:sz w:val="20"/>
                <w:szCs w:val="20"/>
              </w:rPr>
            </w:pPr>
          </w:p>
        </w:tc>
        <w:tc>
          <w:tcPr>
            <w:tcW w:w="1560"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2C2ECA">
        <w:trPr>
          <w:trHeight w:val="450"/>
        </w:trPr>
        <w:tc>
          <w:tcPr>
            <w:tcW w:w="4693" w:type="dxa"/>
            <w:gridSpan w:val="2"/>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4890" w:type="dxa"/>
            <w:gridSpan w:val="3"/>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2021</w:t>
            </w:r>
            <w:r>
              <w:rPr>
                <w:rFonts w:ascii="宋体" w:hAnsi="宋体" w:cs="宋体" w:hint="eastAsia"/>
                <w:color w:val="000000"/>
                <w:kern w:val="0"/>
                <w:sz w:val="22"/>
                <w:szCs w:val="22"/>
              </w:rPr>
              <w:t>年预算数</w:t>
            </w: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科目编码</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1,160.52</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1,005.82</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154.70</w:t>
            </w: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201</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一般公共服务支出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950.36</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795.66</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154.70</w:t>
            </w: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05</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统计信息事务</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950.36</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795.66</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154.70</w:t>
            </w: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01</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行政运行</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255.96</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255.96</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02</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一般行政管理事务</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80.40</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80.40</w:t>
            </w: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04</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信息事务</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19.60</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19.60</w:t>
            </w: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07</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专项普查活动</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54.70</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54.70</w:t>
            </w: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50</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事业运行</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539.70</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539.70</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208</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社会保障和就业支出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05</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行政事业单位养老支出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05</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机关事业单位基本养老保险缴费支出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210</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卫生健康支出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42.21</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42.21</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11</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行政事业单位医疗</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42.21</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42.21</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01</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行政单位医疗</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8.09</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8.09</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02</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事业单位医疗</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34.12</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34.12</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213</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农林水支出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05</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扶贫</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99</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其他扶贫支出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221</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住房保障支出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02</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住房改革支出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r w:rsidR="002C2EC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01</w:t>
            </w:r>
          </w:p>
        </w:tc>
        <w:tc>
          <w:tcPr>
            <w:tcW w:w="357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住房公积金</w:t>
            </w:r>
          </w:p>
        </w:tc>
        <w:tc>
          <w:tcPr>
            <w:tcW w:w="148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84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5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2"/>
                <w:szCs w:val="22"/>
              </w:rPr>
            </w:pPr>
          </w:p>
        </w:tc>
      </w:tr>
    </w:tbl>
    <w:p w:rsidR="002C2ECA" w:rsidRDefault="002C2ECA"/>
    <w:p w:rsidR="002C2ECA" w:rsidRDefault="002C2ECA"/>
    <w:p w:rsidR="002C2ECA" w:rsidRDefault="002C2ECA"/>
    <w:p w:rsidR="002C2ECA" w:rsidRDefault="002C2ECA"/>
    <w:tbl>
      <w:tblPr>
        <w:tblW w:w="8835" w:type="dxa"/>
        <w:tblInd w:w="93" w:type="dxa"/>
        <w:tblLayout w:type="fixed"/>
        <w:tblLook w:val="04A0" w:firstRow="1" w:lastRow="0" w:firstColumn="1" w:lastColumn="0" w:noHBand="0" w:noVBand="1"/>
      </w:tblPr>
      <w:tblGrid>
        <w:gridCol w:w="3930"/>
        <w:gridCol w:w="2490"/>
        <w:gridCol w:w="2415"/>
      </w:tblGrid>
      <w:tr w:rsidR="002C2ECA">
        <w:trPr>
          <w:trHeight w:val="345"/>
        </w:trPr>
        <w:tc>
          <w:tcPr>
            <w:tcW w:w="3930" w:type="dxa"/>
            <w:tcBorders>
              <w:top w:val="nil"/>
              <w:left w:val="nil"/>
              <w:bottom w:val="nil"/>
              <w:right w:val="nil"/>
            </w:tcBorders>
            <w:vAlign w:val="bottom"/>
          </w:tcPr>
          <w:p w:rsidR="002C2ECA" w:rsidRDefault="002C2ECA">
            <w:pPr>
              <w:rPr>
                <w:rFonts w:cs="Calibri"/>
                <w:color w:val="000000"/>
                <w:sz w:val="22"/>
                <w:szCs w:val="22"/>
              </w:rPr>
            </w:pPr>
          </w:p>
        </w:tc>
        <w:tc>
          <w:tcPr>
            <w:tcW w:w="2490" w:type="dxa"/>
            <w:tcBorders>
              <w:top w:val="nil"/>
              <w:left w:val="nil"/>
              <w:bottom w:val="nil"/>
              <w:right w:val="nil"/>
            </w:tcBorders>
            <w:vAlign w:val="bottom"/>
          </w:tcPr>
          <w:p w:rsidR="002C2ECA" w:rsidRDefault="002C2ECA">
            <w:pPr>
              <w:rPr>
                <w:rFonts w:cs="Calibri"/>
                <w:color w:val="000000"/>
                <w:sz w:val="22"/>
                <w:szCs w:val="22"/>
              </w:rPr>
            </w:pPr>
          </w:p>
        </w:tc>
        <w:tc>
          <w:tcPr>
            <w:tcW w:w="2415"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6</w:t>
            </w:r>
          </w:p>
        </w:tc>
      </w:tr>
      <w:tr w:rsidR="002C2ECA">
        <w:trPr>
          <w:trHeight w:val="570"/>
        </w:trPr>
        <w:tc>
          <w:tcPr>
            <w:tcW w:w="8835" w:type="dxa"/>
            <w:gridSpan w:val="3"/>
            <w:tcBorders>
              <w:top w:val="nil"/>
              <w:left w:val="nil"/>
              <w:bottom w:val="nil"/>
              <w:right w:val="nil"/>
            </w:tcBorders>
            <w:vAlign w:val="center"/>
          </w:tcPr>
          <w:p w:rsidR="002C2ECA" w:rsidRDefault="00491D13">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rPr>
              <w:t>一般公共预算安排基本</w:t>
            </w:r>
            <w:proofErr w:type="gramStart"/>
            <w:r>
              <w:rPr>
                <w:rFonts w:ascii="宋体" w:hAnsi="宋体" w:cs="宋体" w:hint="eastAsia"/>
                <w:b/>
                <w:bCs/>
                <w:color w:val="000000"/>
                <w:kern w:val="0"/>
                <w:sz w:val="32"/>
                <w:szCs w:val="32"/>
              </w:rPr>
              <w:t>支出分</w:t>
            </w:r>
            <w:proofErr w:type="gramEnd"/>
            <w:r>
              <w:rPr>
                <w:rFonts w:ascii="宋体" w:hAnsi="宋体" w:cs="宋体" w:hint="eastAsia"/>
                <w:b/>
                <w:bCs/>
                <w:color w:val="000000"/>
                <w:kern w:val="0"/>
                <w:sz w:val="32"/>
                <w:szCs w:val="32"/>
              </w:rPr>
              <w:t>经济科目表</w:t>
            </w:r>
          </w:p>
        </w:tc>
      </w:tr>
      <w:tr w:rsidR="002C2ECA">
        <w:trPr>
          <w:trHeight w:val="315"/>
        </w:trPr>
        <w:tc>
          <w:tcPr>
            <w:tcW w:w="3930"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2490"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2415"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2C2ECA">
        <w:trPr>
          <w:trHeight w:val="48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经济科目名称</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预算数</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备注</w:t>
            </w: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合计</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2"/>
                <w:szCs w:val="22"/>
              </w:rPr>
              <w:t>1,005.8</w:t>
            </w:r>
            <w:r>
              <w:rPr>
                <w:rFonts w:ascii="宋体" w:hAnsi="宋体" w:cs="宋体" w:hint="eastAsia"/>
                <w:color w:val="000000"/>
                <w:sz w:val="24"/>
              </w:rPr>
              <w:t>2</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工资福利支出</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844.28</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基本工资</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340.63</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津贴补贴</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88.57</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奖金</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8.47</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绩效工资</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199.25</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机关事业单位基本养老保险缴费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职工基本医疗保险缴费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其他社会保障缴费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4.40</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住房公积金</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商品和服务支出</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150.19</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办公费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25.00</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印刷费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10.00</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邮电费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7.75</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差旅费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20.00</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会议费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5.00</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培训费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15.00</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劳务费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5.00</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工会经费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6.83</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福利费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22.06</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公务用车运行维护费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3.00</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其他交通费用</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13.35</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其他商品和服务支出</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17.20</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对个人和家庭的补助</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11.35</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65"/>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退休费</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9.00</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375"/>
        </w:trPr>
        <w:tc>
          <w:tcPr>
            <w:tcW w:w="393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 xml:space="preserve">　生活补助</w:t>
            </w:r>
          </w:p>
        </w:tc>
        <w:tc>
          <w:tcPr>
            <w:tcW w:w="24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2.35</w:t>
            </w:r>
          </w:p>
        </w:tc>
        <w:tc>
          <w:tcPr>
            <w:tcW w:w="2415"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bl>
    <w:p w:rsidR="002C2ECA" w:rsidRDefault="002C2ECA">
      <w:pPr>
        <w:sectPr w:rsidR="002C2ECA">
          <w:footerReference w:type="default" r:id="rId8"/>
          <w:pgSz w:w="11906" w:h="16838"/>
          <w:pgMar w:top="1440" w:right="1800" w:bottom="1440" w:left="1800" w:header="851" w:footer="992" w:gutter="0"/>
          <w:pgNumType w:start="1"/>
          <w:cols w:space="720"/>
          <w:docGrid w:type="lines" w:linePitch="312"/>
        </w:sectPr>
      </w:pPr>
    </w:p>
    <w:tbl>
      <w:tblPr>
        <w:tblW w:w="12394" w:type="dxa"/>
        <w:tblInd w:w="93" w:type="dxa"/>
        <w:tblLayout w:type="fixed"/>
        <w:tblLook w:val="04A0" w:firstRow="1" w:lastRow="0" w:firstColumn="1" w:lastColumn="0" w:noHBand="0" w:noVBand="1"/>
      </w:tblPr>
      <w:tblGrid>
        <w:gridCol w:w="3274"/>
        <w:gridCol w:w="5460"/>
        <w:gridCol w:w="3660"/>
      </w:tblGrid>
      <w:tr w:rsidR="002C2ECA">
        <w:trPr>
          <w:trHeight w:val="750"/>
        </w:trPr>
        <w:tc>
          <w:tcPr>
            <w:tcW w:w="3274" w:type="dxa"/>
            <w:tcBorders>
              <w:top w:val="nil"/>
              <w:left w:val="nil"/>
              <w:bottom w:val="nil"/>
              <w:right w:val="nil"/>
            </w:tcBorders>
            <w:vAlign w:val="bottom"/>
          </w:tcPr>
          <w:p w:rsidR="002C2ECA" w:rsidRDefault="002C2ECA">
            <w:pPr>
              <w:rPr>
                <w:rFonts w:cs="Calibri"/>
                <w:color w:val="000000"/>
                <w:sz w:val="22"/>
                <w:szCs w:val="22"/>
              </w:rPr>
            </w:pPr>
          </w:p>
        </w:tc>
        <w:tc>
          <w:tcPr>
            <w:tcW w:w="5460" w:type="dxa"/>
            <w:tcBorders>
              <w:top w:val="nil"/>
              <w:left w:val="nil"/>
              <w:bottom w:val="nil"/>
              <w:right w:val="nil"/>
            </w:tcBorders>
            <w:vAlign w:val="bottom"/>
          </w:tcPr>
          <w:p w:rsidR="002C2ECA" w:rsidRDefault="002C2ECA">
            <w:pPr>
              <w:rPr>
                <w:rFonts w:cs="Calibri"/>
                <w:color w:val="000000"/>
                <w:sz w:val="22"/>
                <w:szCs w:val="22"/>
              </w:rPr>
            </w:pPr>
          </w:p>
        </w:tc>
        <w:tc>
          <w:tcPr>
            <w:tcW w:w="3660"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7</w:t>
            </w:r>
          </w:p>
        </w:tc>
      </w:tr>
      <w:tr w:rsidR="002C2ECA">
        <w:trPr>
          <w:trHeight w:val="720"/>
        </w:trPr>
        <w:tc>
          <w:tcPr>
            <w:tcW w:w="12394" w:type="dxa"/>
            <w:gridSpan w:val="3"/>
            <w:tcBorders>
              <w:top w:val="nil"/>
              <w:left w:val="nil"/>
              <w:bottom w:val="nil"/>
              <w:right w:val="nil"/>
            </w:tcBorders>
            <w:vAlign w:val="center"/>
          </w:tcPr>
          <w:p w:rsidR="002C2ECA" w:rsidRDefault="00491D13">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年政府性基金预算收入表</w:t>
            </w:r>
          </w:p>
        </w:tc>
      </w:tr>
      <w:tr w:rsidR="002C2ECA">
        <w:trPr>
          <w:trHeight w:val="675"/>
        </w:trPr>
        <w:tc>
          <w:tcPr>
            <w:tcW w:w="3274"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5460"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3660"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w:t>
            </w:r>
            <w:r>
              <w:rPr>
                <w:rFonts w:ascii="宋体" w:hAnsi="宋体" w:cs="宋体" w:hint="eastAsia"/>
                <w:color w:val="000000"/>
                <w:kern w:val="0"/>
                <w:sz w:val="20"/>
                <w:szCs w:val="20"/>
              </w:rPr>
              <w:t>:</w:t>
            </w:r>
            <w:r>
              <w:rPr>
                <w:rFonts w:ascii="宋体" w:hAnsi="宋体" w:cs="宋体" w:hint="eastAsia"/>
                <w:color w:val="000000"/>
                <w:kern w:val="0"/>
                <w:sz w:val="20"/>
                <w:szCs w:val="20"/>
              </w:rPr>
              <w:t>万元</w:t>
            </w:r>
          </w:p>
        </w:tc>
      </w:tr>
      <w:tr w:rsidR="002C2ECA">
        <w:trPr>
          <w:trHeight w:val="845"/>
        </w:trPr>
        <w:tc>
          <w:tcPr>
            <w:tcW w:w="8734" w:type="dxa"/>
            <w:gridSpan w:val="2"/>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3660" w:type="dxa"/>
            <w:vMerge w:val="restart"/>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政府性基金收入预算</w:t>
            </w:r>
          </w:p>
        </w:tc>
      </w:tr>
      <w:tr w:rsidR="002C2ECA">
        <w:trPr>
          <w:trHeight w:val="860"/>
        </w:trPr>
        <w:tc>
          <w:tcPr>
            <w:tcW w:w="3274"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科目编码</w:t>
            </w:r>
          </w:p>
        </w:tc>
        <w:tc>
          <w:tcPr>
            <w:tcW w:w="546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科目名称</w:t>
            </w:r>
          </w:p>
        </w:tc>
        <w:tc>
          <w:tcPr>
            <w:tcW w:w="3660" w:type="dxa"/>
            <w:vMerge/>
            <w:tcBorders>
              <w:top w:val="single" w:sz="4" w:space="0" w:color="000000"/>
              <w:left w:val="single" w:sz="4" w:space="0" w:color="000000"/>
              <w:bottom w:val="single" w:sz="4" w:space="0" w:color="000000"/>
              <w:right w:val="single" w:sz="4" w:space="0" w:color="000000"/>
            </w:tcBorders>
            <w:vAlign w:val="center"/>
          </w:tcPr>
          <w:p w:rsidR="002C2ECA" w:rsidRDefault="002C2ECA">
            <w:pPr>
              <w:jc w:val="center"/>
              <w:rPr>
                <w:rFonts w:ascii="宋体" w:hAnsi="宋体" w:cs="宋体"/>
                <w:b/>
                <w:bCs/>
                <w:color w:val="000000"/>
                <w:sz w:val="24"/>
              </w:rPr>
            </w:pPr>
          </w:p>
        </w:tc>
      </w:tr>
      <w:tr w:rsidR="002C2ECA">
        <w:trPr>
          <w:trHeight w:val="740"/>
        </w:trPr>
        <w:tc>
          <w:tcPr>
            <w:tcW w:w="3274"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54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366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450"/>
        </w:trPr>
        <w:tc>
          <w:tcPr>
            <w:tcW w:w="3274" w:type="dxa"/>
            <w:tcBorders>
              <w:top w:val="nil"/>
              <w:left w:val="nil"/>
              <w:bottom w:val="nil"/>
              <w:right w:val="nil"/>
            </w:tcBorders>
            <w:vAlign w:val="bottom"/>
          </w:tcPr>
          <w:p w:rsidR="002C2ECA" w:rsidRDefault="002C2ECA">
            <w:pPr>
              <w:rPr>
                <w:rFonts w:cs="Calibri"/>
                <w:color w:val="000000"/>
                <w:sz w:val="22"/>
                <w:szCs w:val="22"/>
              </w:rPr>
            </w:pPr>
          </w:p>
        </w:tc>
        <w:tc>
          <w:tcPr>
            <w:tcW w:w="5460" w:type="dxa"/>
            <w:tcBorders>
              <w:top w:val="nil"/>
              <w:left w:val="nil"/>
              <w:bottom w:val="nil"/>
              <w:right w:val="nil"/>
            </w:tcBorders>
            <w:vAlign w:val="bottom"/>
          </w:tcPr>
          <w:p w:rsidR="002C2ECA" w:rsidRDefault="002C2ECA">
            <w:pPr>
              <w:rPr>
                <w:rFonts w:cs="Calibri"/>
                <w:color w:val="000000"/>
                <w:sz w:val="22"/>
                <w:szCs w:val="22"/>
              </w:rPr>
            </w:pPr>
          </w:p>
        </w:tc>
        <w:tc>
          <w:tcPr>
            <w:tcW w:w="3660" w:type="dxa"/>
            <w:tcBorders>
              <w:top w:val="nil"/>
              <w:left w:val="nil"/>
              <w:bottom w:val="nil"/>
              <w:right w:val="nil"/>
            </w:tcBorders>
            <w:vAlign w:val="bottom"/>
          </w:tcPr>
          <w:p w:rsidR="002C2ECA" w:rsidRDefault="002C2ECA">
            <w:pPr>
              <w:rPr>
                <w:rFonts w:cs="Calibri"/>
                <w:color w:val="000000"/>
                <w:sz w:val="22"/>
                <w:szCs w:val="22"/>
              </w:rPr>
            </w:pPr>
          </w:p>
        </w:tc>
      </w:tr>
    </w:tbl>
    <w:p w:rsidR="002C2ECA" w:rsidRDefault="00491D13">
      <w:r>
        <w:br w:type="page"/>
      </w:r>
    </w:p>
    <w:tbl>
      <w:tblPr>
        <w:tblW w:w="13039" w:type="dxa"/>
        <w:tblInd w:w="93" w:type="dxa"/>
        <w:tblLayout w:type="fixed"/>
        <w:tblLook w:val="04A0" w:firstRow="1" w:lastRow="0" w:firstColumn="1" w:lastColumn="0" w:noHBand="0" w:noVBand="1"/>
      </w:tblPr>
      <w:tblGrid>
        <w:gridCol w:w="3199"/>
        <w:gridCol w:w="3101"/>
        <w:gridCol w:w="1624"/>
        <w:gridCol w:w="2171"/>
        <w:gridCol w:w="2944"/>
      </w:tblGrid>
      <w:tr w:rsidR="002C2ECA">
        <w:trPr>
          <w:trHeight w:val="435"/>
        </w:trPr>
        <w:tc>
          <w:tcPr>
            <w:tcW w:w="3199" w:type="dxa"/>
            <w:tcBorders>
              <w:top w:val="nil"/>
              <w:left w:val="nil"/>
              <w:bottom w:val="nil"/>
              <w:right w:val="nil"/>
            </w:tcBorders>
            <w:vAlign w:val="bottom"/>
          </w:tcPr>
          <w:p w:rsidR="002C2ECA" w:rsidRDefault="002C2ECA">
            <w:pPr>
              <w:rPr>
                <w:rFonts w:cs="Calibri"/>
                <w:color w:val="000000"/>
                <w:sz w:val="22"/>
                <w:szCs w:val="22"/>
              </w:rPr>
            </w:pPr>
          </w:p>
        </w:tc>
        <w:tc>
          <w:tcPr>
            <w:tcW w:w="3101" w:type="dxa"/>
            <w:tcBorders>
              <w:top w:val="nil"/>
              <w:left w:val="nil"/>
              <w:bottom w:val="nil"/>
              <w:right w:val="nil"/>
            </w:tcBorders>
            <w:vAlign w:val="bottom"/>
          </w:tcPr>
          <w:p w:rsidR="002C2ECA" w:rsidRDefault="002C2ECA">
            <w:pPr>
              <w:rPr>
                <w:rFonts w:cs="Calibri"/>
                <w:color w:val="000000"/>
                <w:sz w:val="22"/>
                <w:szCs w:val="22"/>
              </w:rPr>
            </w:pPr>
          </w:p>
        </w:tc>
        <w:tc>
          <w:tcPr>
            <w:tcW w:w="1624" w:type="dxa"/>
            <w:tcBorders>
              <w:top w:val="nil"/>
              <w:left w:val="nil"/>
              <w:bottom w:val="nil"/>
              <w:right w:val="nil"/>
            </w:tcBorders>
            <w:vAlign w:val="bottom"/>
          </w:tcPr>
          <w:p w:rsidR="002C2ECA" w:rsidRDefault="002C2ECA">
            <w:pPr>
              <w:rPr>
                <w:rFonts w:cs="Calibri"/>
                <w:color w:val="000000"/>
                <w:sz w:val="22"/>
                <w:szCs w:val="22"/>
              </w:rPr>
            </w:pPr>
          </w:p>
        </w:tc>
        <w:tc>
          <w:tcPr>
            <w:tcW w:w="2171" w:type="dxa"/>
            <w:tcBorders>
              <w:top w:val="nil"/>
              <w:left w:val="nil"/>
              <w:bottom w:val="nil"/>
              <w:right w:val="nil"/>
            </w:tcBorders>
            <w:vAlign w:val="bottom"/>
          </w:tcPr>
          <w:p w:rsidR="002C2ECA" w:rsidRDefault="002C2ECA">
            <w:pPr>
              <w:rPr>
                <w:rFonts w:cs="Calibri"/>
                <w:color w:val="000000"/>
                <w:sz w:val="22"/>
                <w:szCs w:val="22"/>
              </w:rPr>
            </w:pPr>
          </w:p>
        </w:tc>
        <w:tc>
          <w:tcPr>
            <w:tcW w:w="2944"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8</w:t>
            </w:r>
          </w:p>
        </w:tc>
      </w:tr>
      <w:tr w:rsidR="002C2ECA">
        <w:trPr>
          <w:trHeight w:val="780"/>
        </w:trPr>
        <w:tc>
          <w:tcPr>
            <w:tcW w:w="13039" w:type="dxa"/>
            <w:gridSpan w:val="5"/>
            <w:tcBorders>
              <w:top w:val="nil"/>
              <w:left w:val="nil"/>
              <w:bottom w:val="nil"/>
              <w:right w:val="nil"/>
            </w:tcBorders>
            <w:vAlign w:val="center"/>
          </w:tcPr>
          <w:p w:rsidR="002C2ECA" w:rsidRDefault="00491D13">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年政府性基金预算支出预算表</w:t>
            </w:r>
          </w:p>
        </w:tc>
      </w:tr>
      <w:tr w:rsidR="002C2ECA">
        <w:trPr>
          <w:trHeight w:val="705"/>
        </w:trPr>
        <w:tc>
          <w:tcPr>
            <w:tcW w:w="3199"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3101"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1624"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2171" w:type="dxa"/>
            <w:tcBorders>
              <w:top w:val="nil"/>
              <w:left w:val="nil"/>
              <w:bottom w:val="nil"/>
              <w:right w:val="nil"/>
            </w:tcBorders>
            <w:vAlign w:val="bottom"/>
          </w:tcPr>
          <w:p w:rsidR="002C2ECA" w:rsidRDefault="002C2ECA">
            <w:pPr>
              <w:rPr>
                <w:rFonts w:ascii="宋体" w:hAnsi="宋体" w:cs="宋体"/>
                <w:color w:val="000000"/>
                <w:sz w:val="20"/>
                <w:szCs w:val="20"/>
              </w:rPr>
            </w:pPr>
          </w:p>
        </w:tc>
        <w:tc>
          <w:tcPr>
            <w:tcW w:w="2944"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w:t>
            </w:r>
            <w:r>
              <w:rPr>
                <w:rFonts w:ascii="宋体" w:hAnsi="宋体" w:cs="宋体" w:hint="eastAsia"/>
                <w:color w:val="000000"/>
                <w:kern w:val="0"/>
                <w:sz w:val="20"/>
                <w:szCs w:val="20"/>
              </w:rPr>
              <w:t>:</w:t>
            </w:r>
            <w:r>
              <w:rPr>
                <w:rFonts w:ascii="宋体" w:hAnsi="宋体" w:cs="宋体" w:hint="eastAsia"/>
                <w:color w:val="000000"/>
                <w:kern w:val="0"/>
                <w:sz w:val="20"/>
                <w:szCs w:val="20"/>
              </w:rPr>
              <w:t>万元</w:t>
            </w:r>
          </w:p>
        </w:tc>
      </w:tr>
      <w:tr w:rsidR="002C2ECA">
        <w:trPr>
          <w:trHeight w:val="830"/>
        </w:trPr>
        <w:tc>
          <w:tcPr>
            <w:tcW w:w="6300" w:type="dxa"/>
            <w:gridSpan w:val="2"/>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6739" w:type="dxa"/>
            <w:gridSpan w:val="3"/>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年预算数</w:t>
            </w:r>
          </w:p>
        </w:tc>
      </w:tr>
      <w:tr w:rsidR="002C2ECA">
        <w:trPr>
          <w:trHeight w:val="845"/>
        </w:trPr>
        <w:tc>
          <w:tcPr>
            <w:tcW w:w="3199"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科目编码</w:t>
            </w:r>
          </w:p>
        </w:tc>
        <w:tc>
          <w:tcPr>
            <w:tcW w:w="3101"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科目名称</w:t>
            </w:r>
          </w:p>
        </w:tc>
        <w:tc>
          <w:tcPr>
            <w:tcW w:w="1624"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合计</w:t>
            </w:r>
          </w:p>
        </w:tc>
        <w:tc>
          <w:tcPr>
            <w:tcW w:w="2171"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基本支出</w:t>
            </w:r>
          </w:p>
        </w:tc>
        <w:tc>
          <w:tcPr>
            <w:tcW w:w="2944"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项目支出</w:t>
            </w:r>
          </w:p>
        </w:tc>
      </w:tr>
      <w:tr w:rsidR="002C2ECA">
        <w:trPr>
          <w:trHeight w:val="945"/>
        </w:trPr>
        <w:tc>
          <w:tcPr>
            <w:tcW w:w="3199"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bl>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Pr>
        <w:sectPr w:rsidR="002C2ECA">
          <w:pgSz w:w="16838" w:h="11906" w:orient="landscape"/>
          <w:pgMar w:top="1800" w:right="1440" w:bottom="1800" w:left="1440" w:header="851" w:footer="992" w:gutter="0"/>
          <w:cols w:space="720"/>
          <w:docGrid w:type="lines" w:linePitch="312"/>
        </w:sectPr>
      </w:pPr>
    </w:p>
    <w:tbl>
      <w:tblPr>
        <w:tblW w:w="8578" w:type="dxa"/>
        <w:tblInd w:w="93" w:type="dxa"/>
        <w:tblLayout w:type="fixed"/>
        <w:tblLook w:val="04A0" w:firstRow="1" w:lastRow="0" w:firstColumn="1" w:lastColumn="0" w:noHBand="0" w:noVBand="1"/>
      </w:tblPr>
      <w:tblGrid>
        <w:gridCol w:w="4468"/>
        <w:gridCol w:w="4110"/>
      </w:tblGrid>
      <w:tr w:rsidR="002C2ECA">
        <w:trPr>
          <w:trHeight w:val="480"/>
        </w:trPr>
        <w:tc>
          <w:tcPr>
            <w:tcW w:w="4468" w:type="dxa"/>
            <w:tcBorders>
              <w:top w:val="nil"/>
              <w:left w:val="nil"/>
              <w:bottom w:val="nil"/>
              <w:right w:val="nil"/>
            </w:tcBorders>
            <w:vAlign w:val="bottom"/>
          </w:tcPr>
          <w:p w:rsidR="002C2ECA" w:rsidRDefault="002C2ECA">
            <w:pPr>
              <w:rPr>
                <w:rFonts w:ascii="宋体" w:hAnsi="宋体" w:cs="宋体"/>
                <w:color w:val="000000"/>
                <w:sz w:val="22"/>
                <w:szCs w:val="22"/>
              </w:rPr>
            </w:pPr>
          </w:p>
        </w:tc>
        <w:tc>
          <w:tcPr>
            <w:tcW w:w="4110"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9</w:t>
            </w:r>
          </w:p>
        </w:tc>
      </w:tr>
      <w:tr w:rsidR="002C2ECA">
        <w:trPr>
          <w:trHeight w:val="1020"/>
        </w:trPr>
        <w:tc>
          <w:tcPr>
            <w:tcW w:w="8578" w:type="dxa"/>
            <w:gridSpan w:val="2"/>
            <w:tcBorders>
              <w:top w:val="nil"/>
              <w:left w:val="nil"/>
              <w:bottom w:val="nil"/>
              <w:right w:val="nil"/>
            </w:tcBorders>
            <w:vAlign w:val="center"/>
          </w:tcPr>
          <w:p w:rsidR="002C2ECA" w:rsidRDefault="00491D13">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年一般公共预算</w:t>
            </w:r>
            <w:r>
              <w:rPr>
                <w:rFonts w:ascii="华文中宋" w:eastAsia="华文中宋" w:hAnsi="华文中宋" w:cs="华文中宋"/>
                <w:b/>
                <w:bCs/>
                <w:color w:val="000000"/>
                <w:kern w:val="0"/>
                <w:sz w:val="32"/>
                <w:szCs w:val="32"/>
              </w:rPr>
              <w:t>“</w:t>
            </w:r>
            <w:r>
              <w:rPr>
                <w:rFonts w:ascii="华文中宋" w:eastAsia="华文中宋" w:hAnsi="华文中宋" w:cs="华文中宋"/>
                <w:b/>
                <w:bCs/>
                <w:color w:val="000000"/>
                <w:kern w:val="0"/>
                <w:sz w:val="32"/>
                <w:szCs w:val="32"/>
              </w:rPr>
              <w:t>三公</w:t>
            </w:r>
            <w:r>
              <w:rPr>
                <w:rFonts w:ascii="华文中宋" w:eastAsia="华文中宋" w:hAnsi="华文中宋" w:cs="华文中宋"/>
                <w:b/>
                <w:bCs/>
                <w:color w:val="000000"/>
                <w:kern w:val="0"/>
                <w:sz w:val="32"/>
                <w:szCs w:val="32"/>
              </w:rPr>
              <w:t>”</w:t>
            </w:r>
            <w:r>
              <w:rPr>
                <w:rFonts w:ascii="华文中宋" w:eastAsia="华文中宋" w:hAnsi="华文中宋" w:cs="华文中宋"/>
                <w:b/>
                <w:bCs/>
                <w:color w:val="000000"/>
                <w:kern w:val="0"/>
                <w:sz w:val="32"/>
                <w:szCs w:val="32"/>
              </w:rPr>
              <w:t>经费支出情况统计表</w:t>
            </w:r>
          </w:p>
        </w:tc>
      </w:tr>
      <w:tr w:rsidR="002C2ECA">
        <w:trPr>
          <w:trHeight w:val="672"/>
        </w:trPr>
        <w:tc>
          <w:tcPr>
            <w:tcW w:w="4468" w:type="dxa"/>
            <w:tcBorders>
              <w:top w:val="nil"/>
              <w:left w:val="nil"/>
              <w:bottom w:val="nil"/>
              <w:right w:val="nil"/>
            </w:tcBorders>
            <w:vAlign w:val="bottom"/>
          </w:tcPr>
          <w:p w:rsidR="002C2ECA" w:rsidRDefault="002C2ECA">
            <w:pPr>
              <w:rPr>
                <w:rFonts w:ascii="宋体" w:hAnsi="宋体" w:cs="宋体"/>
                <w:color w:val="000000"/>
                <w:sz w:val="22"/>
                <w:szCs w:val="22"/>
              </w:rPr>
            </w:pPr>
          </w:p>
        </w:tc>
        <w:tc>
          <w:tcPr>
            <w:tcW w:w="4110"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w:t>
            </w:r>
            <w:r>
              <w:rPr>
                <w:rFonts w:ascii="宋体" w:hAnsi="宋体" w:cs="宋体" w:hint="eastAsia"/>
                <w:color w:val="000000"/>
                <w:kern w:val="0"/>
                <w:sz w:val="20"/>
                <w:szCs w:val="20"/>
              </w:rPr>
              <w:t>:</w:t>
            </w:r>
            <w:r>
              <w:rPr>
                <w:rFonts w:ascii="宋体" w:hAnsi="宋体" w:cs="宋体" w:hint="eastAsia"/>
                <w:color w:val="000000"/>
                <w:kern w:val="0"/>
                <w:sz w:val="20"/>
                <w:szCs w:val="20"/>
              </w:rPr>
              <w:t>万元</w:t>
            </w:r>
          </w:p>
        </w:tc>
      </w:tr>
      <w:tr w:rsidR="002C2ECA">
        <w:trPr>
          <w:trHeight w:val="785"/>
        </w:trPr>
        <w:tc>
          <w:tcPr>
            <w:tcW w:w="446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411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年预算数</w:t>
            </w:r>
          </w:p>
        </w:tc>
      </w:tr>
      <w:tr w:rsidR="002C2ECA">
        <w:trPr>
          <w:trHeight w:val="845"/>
        </w:trPr>
        <w:tc>
          <w:tcPr>
            <w:tcW w:w="446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4"/>
              </w:rPr>
            </w:pPr>
            <w:r>
              <w:rPr>
                <w:rFonts w:ascii="宋体" w:hAnsi="宋体" w:cs="宋体" w:hint="eastAsia"/>
                <w:color w:val="000000"/>
                <w:kern w:val="0"/>
                <w:sz w:val="24"/>
              </w:rPr>
              <w:t>因公出国（境）费</w:t>
            </w:r>
          </w:p>
        </w:tc>
        <w:tc>
          <w:tcPr>
            <w:tcW w:w="411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860"/>
        </w:trPr>
        <w:tc>
          <w:tcPr>
            <w:tcW w:w="446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4"/>
              </w:rPr>
            </w:pPr>
            <w:r>
              <w:rPr>
                <w:rFonts w:ascii="宋体" w:hAnsi="宋体" w:cs="宋体" w:hint="eastAsia"/>
                <w:color w:val="000000"/>
                <w:kern w:val="0"/>
                <w:sz w:val="24"/>
              </w:rPr>
              <w:t>公务接待费</w:t>
            </w:r>
          </w:p>
        </w:tc>
        <w:tc>
          <w:tcPr>
            <w:tcW w:w="411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830"/>
        </w:trPr>
        <w:tc>
          <w:tcPr>
            <w:tcW w:w="446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4"/>
              </w:rPr>
            </w:pPr>
            <w:r>
              <w:rPr>
                <w:rFonts w:ascii="宋体" w:hAnsi="宋体" w:cs="宋体" w:hint="eastAsia"/>
                <w:color w:val="000000"/>
                <w:kern w:val="0"/>
                <w:sz w:val="24"/>
              </w:rPr>
              <w:t>公务用车购置及运行费</w:t>
            </w:r>
          </w:p>
        </w:tc>
        <w:tc>
          <w:tcPr>
            <w:tcW w:w="411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3.00</w:t>
            </w:r>
          </w:p>
        </w:tc>
      </w:tr>
      <w:tr w:rsidR="002C2ECA">
        <w:trPr>
          <w:trHeight w:val="845"/>
        </w:trPr>
        <w:tc>
          <w:tcPr>
            <w:tcW w:w="446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①公务用车购置费</w:t>
            </w:r>
          </w:p>
        </w:tc>
        <w:tc>
          <w:tcPr>
            <w:tcW w:w="4110" w:type="dxa"/>
            <w:tcBorders>
              <w:top w:val="single" w:sz="4" w:space="0" w:color="000000"/>
              <w:left w:val="single" w:sz="4" w:space="0" w:color="000000"/>
              <w:bottom w:val="single" w:sz="4" w:space="0" w:color="000000"/>
              <w:right w:val="single" w:sz="4" w:space="0" w:color="000000"/>
            </w:tcBorders>
            <w:vAlign w:val="center"/>
          </w:tcPr>
          <w:p w:rsidR="002C2ECA" w:rsidRDefault="002C2ECA">
            <w:pPr>
              <w:rPr>
                <w:rFonts w:ascii="宋体" w:hAnsi="宋体" w:cs="宋体"/>
                <w:color w:val="000000"/>
                <w:sz w:val="24"/>
              </w:rPr>
            </w:pPr>
          </w:p>
        </w:tc>
      </w:tr>
      <w:tr w:rsidR="002C2ECA">
        <w:trPr>
          <w:trHeight w:val="965"/>
        </w:trPr>
        <w:tc>
          <w:tcPr>
            <w:tcW w:w="446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②公务用车运行维护费</w:t>
            </w:r>
          </w:p>
        </w:tc>
        <w:tc>
          <w:tcPr>
            <w:tcW w:w="411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3.00</w:t>
            </w:r>
          </w:p>
        </w:tc>
      </w:tr>
      <w:tr w:rsidR="002C2ECA">
        <w:trPr>
          <w:trHeight w:val="690"/>
        </w:trPr>
        <w:tc>
          <w:tcPr>
            <w:tcW w:w="4468"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color w:val="000000"/>
                <w:sz w:val="24"/>
              </w:rPr>
            </w:pPr>
            <w:r>
              <w:rPr>
                <w:rFonts w:ascii="宋体" w:hAnsi="宋体" w:cs="宋体" w:hint="eastAsia"/>
                <w:color w:val="000000"/>
                <w:kern w:val="0"/>
                <w:sz w:val="24"/>
              </w:rPr>
              <w:t>合计</w:t>
            </w:r>
          </w:p>
        </w:tc>
        <w:tc>
          <w:tcPr>
            <w:tcW w:w="411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3.00</w:t>
            </w:r>
          </w:p>
        </w:tc>
      </w:tr>
    </w:tbl>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 w:rsidR="002C2ECA" w:rsidRDefault="002C2ECA">
      <w:pPr>
        <w:sectPr w:rsidR="002C2ECA">
          <w:pgSz w:w="11906" w:h="16838"/>
          <w:pgMar w:top="1440" w:right="1800" w:bottom="1440" w:left="1800" w:header="851" w:footer="992" w:gutter="0"/>
          <w:cols w:space="720"/>
          <w:docGrid w:type="lines" w:linePitch="312"/>
        </w:sectPr>
      </w:pPr>
    </w:p>
    <w:tbl>
      <w:tblPr>
        <w:tblW w:w="12769" w:type="dxa"/>
        <w:tblInd w:w="93" w:type="dxa"/>
        <w:tblLayout w:type="fixed"/>
        <w:tblLook w:val="04A0" w:firstRow="1" w:lastRow="0" w:firstColumn="1" w:lastColumn="0" w:noHBand="0" w:noVBand="1"/>
      </w:tblPr>
      <w:tblGrid>
        <w:gridCol w:w="6379"/>
        <w:gridCol w:w="6390"/>
      </w:tblGrid>
      <w:tr w:rsidR="002C2ECA">
        <w:trPr>
          <w:trHeight w:val="810"/>
        </w:trPr>
        <w:tc>
          <w:tcPr>
            <w:tcW w:w="6379" w:type="dxa"/>
            <w:tcBorders>
              <w:top w:val="nil"/>
              <w:left w:val="nil"/>
              <w:bottom w:val="nil"/>
              <w:right w:val="nil"/>
            </w:tcBorders>
            <w:vAlign w:val="bottom"/>
          </w:tcPr>
          <w:p w:rsidR="002C2ECA" w:rsidRDefault="002C2ECA">
            <w:pPr>
              <w:rPr>
                <w:rFonts w:cs="Calibri"/>
                <w:color w:val="000000"/>
                <w:sz w:val="22"/>
                <w:szCs w:val="22"/>
              </w:rPr>
            </w:pPr>
          </w:p>
        </w:tc>
        <w:tc>
          <w:tcPr>
            <w:tcW w:w="6390"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10</w:t>
            </w:r>
          </w:p>
        </w:tc>
      </w:tr>
      <w:tr w:rsidR="002C2ECA">
        <w:trPr>
          <w:trHeight w:val="1140"/>
        </w:trPr>
        <w:tc>
          <w:tcPr>
            <w:tcW w:w="12769" w:type="dxa"/>
            <w:gridSpan w:val="2"/>
            <w:tcBorders>
              <w:top w:val="nil"/>
              <w:left w:val="nil"/>
              <w:bottom w:val="nil"/>
              <w:right w:val="nil"/>
            </w:tcBorders>
            <w:vAlign w:val="center"/>
          </w:tcPr>
          <w:p w:rsidR="002C2ECA" w:rsidRDefault="00491D13">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年机关运行经费预算财政拨款情况统计表</w:t>
            </w:r>
          </w:p>
        </w:tc>
      </w:tr>
      <w:tr w:rsidR="002C2ECA">
        <w:trPr>
          <w:trHeight w:val="705"/>
        </w:trPr>
        <w:tc>
          <w:tcPr>
            <w:tcW w:w="6379" w:type="dxa"/>
            <w:tcBorders>
              <w:top w:val="nil"/>
              <w:left w:val="nil"/>
              <w:bottom w:val="nil"/>
              <w:right w:val="nil"/>
            </w:tcBorders>
            <w:vAlign w:val="bottom"/>
          </w:tcPr>
          <w:p w:rsidR="002C2ECA" w:rsidRDefault="002C2ECA">
            <w:pPr>
              <w:rPr>
                <w:rFonts w:cs="Calibri"/>
                <w:color w:val="000000"/>
                <w:sz w:val="22"/>
                <w:szCs w:val="22"/>
              </w:rPr>
            </w:pPr>
          </w:p>
        </w:tc>
        <w:tc>
          <w:tcPr>
            <w:tcW w:w="6390" w:type="dxa"/>
            <w:tcBorders>
              <w:top w:val="nil"/>
              <w:left w:val="nil"/>
              <w:bottom w:val="nil"/>
              <w:right w:val="nil"/>
            </w:tcBorders>
            <w:vAlign w:val="center"/>
          </w:tcPr>
          <w:p w:rsidR="002C2ECA" w:rsidRDefault="00491D13">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w:t>
            </w:r>
            <w:r>
              <w:rPr>
                <w:rFonts w:ascii="宋体" w:hAnsi="宋体" w:cs="宋体" w:hint="eastAsia"/>
                <w:color w:val="000000"/>
                <w:kern w:val="0"/>
                <w:sz w:val="20"/>
                <w:szCs w:val="20"/>
              </w:rPr>
              <w:t>:</w:t>
            </w:r>
            <w:r>
              <w:rPr>
                <w:rFonts w:ascii="宋体" w:hAnsi="宋体" w:cs="宋体" w:hint="eastAsia"/>
                <w:color w:val="000000"/>
                <w:kern w:val="0"/>
                <w:sz w:val="20"/>
                <w:szCs w:val="20"/>
              </w:rPr>
              <w:t>万元</w:t>
            </w:r>
          </w:p>
        </w:tc>
      </w:tr>
      <w:tr w:rsidR="002C2ECA">
        <w:trPr>
          <w:trHeight w:val="785"/>
        </w:trPr>
        <w:tc>
          <w:tcPr>
            <w:tcW w:w="6379"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单位名称</w:t>
            </w:r>
          </w:p>
        </w:tc>
        <w:tc>
          <w:tcPr>
            <w:tcW w:w="63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年预算数</w:t>
            </w:r>
          </w:p>
        </w:tc>
      </w:tr>
      <w:tr w:rsidR="002C2ECA">
        <w:trPr>
          <w:trHeight w:val="905"/>
        </w:trPr>
        <w:tc>
          <w:tcPr>
            <w:tcW w:w="6379"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合计</w:t>
            </w:r>
          </w:p>
        </w:tc>
        <w:tc>
          <w:tcPr>
            <w:tcW w:w="63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150.19</w:t>
            </w:r>
          </w:p>
        </w:tc>
      </w:tr>
      <w:tr w:rsidR="002C2ECA">
        <w:trPr>
          <w:trHeight w:val="1025"/>
        </w:trPr>
        <w:tc>
          <w:tcPr>
            <w:tcW w:w="6379"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left"/>
              <w:textAlignment w:val="center"/>
              <w:rPr>
                <w:rFonts w:ascii="宋体" w:hAnsi="宋体" w:cs="宋体"/>
                <w:color w:val="000000"/>
                <w:sz w:val="24"/>
              </w:rPr>
            </w:pPr>
            <w:r>
              <w:rPr>
                <w:rFonts w:ascii="宋体" w:hAnsi="宋体" w:cs="宋体" w:hint="eastAsia"/>
                <w:color w:val="000000"/>
                <w:kern w:val="0"/>
                <w:sz w:val="24"/>
              </w:rPr>
              <w:t>忻州市统计局</w:t>
            </w:r>
          </w:p>
        </w:tc>
        <w:tc>
          <w:tcPr>
            <w:tcW w:w="6390" w:type="dxa"/>
            <w:tcBorders>
              <w:top w:val="single" w:sz="4" w:space="0" w:color="000000"/>
              <w:left w:val="single" w:sz="4" w:space="0" w:color="000000"/>
              <w:bottom w:val="single" w:sz="4" w:space="0" w:color="000000"/>
              <w:right w:val="single" w:sz="4" w:space="0" w:color="000000"/>
            </w:tcBorders>
            <w:vAlign w:val="center"/>
          </w:tcPr>
          <w:p w:rsidR="002C2ECA" w:rsidRDefault="00491D13">
            <w:pPr>
              <w:widowControl/>
              <w:jc w:val="right"/>
              <w:textAlignment w:val="center"/>
              <w:rPr>
                <w:rFonts w:ascii="宋体" w:hAnsi="宋体" w:cs="宋体"/>
                <w:color w:val="000000"/>
                <w:sz w:val="24"/>
              </w:rPr>
            </w:pPr>
            <w:r>
              <w:rPr>
                <w:rFonts w:ascii="宋体" w:hAnsi="宋体" w:cs="宋体" w:hint="eastAsia"/>
                <w:color w:val="000000"/>
                <w:kern w:val="0"/>
                <w:sz w:val="24"/>
              </w:rPr>
              <w:t>150.19</w:t>
            </w:r>
          </w:p>
        </w:tc>
      </w:tr>
      <w:tr w:rsidR="002C2ECA">
        <w:trPr>
          <w:trHeight w:val="450"/>
        </w:trPr>
        <w:tc>
          <w:tcPr>
            <w:tcW w:w="6379" w:type="dxa"/>
            <w:tcBorders>
              <w:top w:val="nil"/>
              <w:left w:val="nil"/>
              <w:bottom w:val="nil"/>
              <w:right w:val="nil"/>
            </w:tcBorders>
            <w:vAlign w:val="bottom"/>
          </w:tcPr>
          <w:p w:rsidR="002C2ECA" w:rsidRDefault="002C2ECA">
            <w:pPr>
              <w:rPr>
                <w:rFonts w:cs="Calibri"/>
                <w:color w:val="000000"/>
                <w:sz w:val="22"/>
                <w:szCs w:val="22"/>
              </w:rPr>
            </w:pPr>
          </w:p>
        </w:tc>
        <w:tc>
          <w:tcPr>
            <w:tcW w:w="6390" w:type="dxa"/>
            <w:tcBorders>
              <w:top w:val="nil"/>
              <w:left w:val="nil"/>
              <w:bottom w:val="nil"/>
              <w:right w:val="nil"/>
            </w:tcBorders>
            <w:vAlign w:val="bottom"/>
          </w:tcPr>
          <w:p w:rsidR="002C2ECA" w:rsidRDefault="002C2ECA">
            <w:pPr>
              <w:rPr>
                <w:rFonts w:cs="Calibri"/>
                <w:color w:val="000000"/>
                <w:sz w:val="22"/>
                <w:szCs w:val="22"/>
              </w:rPr>
            </w:pPr>
          </w:p>
        </w:tc>
      </w:tr>
    </w:tbl>
    <w:p w:rsidR="002C2ECA" w:rsidRDefault="002C2ECA"/>
    <w:p w:rsidR="002C2ECA" w:rsidRDefault="002C2ECA"/>
    <w:p w:rsidR="002C2ECA" w:rsidRDefault="002C2ECA"/>
    <w:p w:rsidR="002C2ECA" w:rsidRDefault="002C2ECA"/>
    <w:sectPr w:rsidR="002C2ECA">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13" w:rsidRDefault="00491D13">
      <w:r>
        <w:separator/>
      </w:r>
    </w:p>
  </w:endnote>
  <w:endnote w:type="continuationSeparator" w:id="0">
    <w:p w:rsidR="00491D13" w:rsidRDefault="0049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6D2A3748-91FB-455A-B03F-D4633BA4A3B6}"/>
  </w:font>
  <w:font w:name="黑体">
    <w:altName w:val="SimHei"/>
    <w:panose1 w:val="02010609060101010101"/>
    <w:charset w:val="86"/>
    <w:family w:val="modern"/>
    <w:pitch w:val="fixed"/>
    <w:sig w:usb0="800002BF" w:usb1="38CF7CFA" w:usb2="00000016" w:usb3="00000000" w:csb0="00040001" w:csb1="00000000"/>
    <w:embedRegular r:id="rId2" w:subsetted="1" w:fontKey="{B2D4CBF5-E997-4336-9CF7-376F1AA911B8}"/>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embedBold r:id="rId3" w:subsetted="1" w:fontKey="{3263F9A8-9645-41FD-B18F-171CFB18983C}"/>
  </w:font>
  <w:font w:name="仿宋">
    <w:panose1 w:val="02010609060101010101"/>
    <w:charset w:val="86"/>
    <w:family w:val="modern"/>
    <w:pitch w:val="fixed"/>
    <w:sig w:usb0="800002BF" w:usb1="38CF7CFA" w:usb2="00000016" w:usb3="00000000" w:csb0="00040001" w:csb1="00000000"/>
    <w:embedRegular r:id="rId4" w:subsetted="1" w:fontKey="{7220923C-87D1-49A6-AA1B-D8DFCF8207A6}"/>
    <w:embedBold r:id="rId5" w:subsetted="1" w:fontKey="{7D9AB8DB-CC0A-419C-8CC3-67423FD424A3}"/>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0" w:usb1="00000000" w:usb2="00000010" w:usb3="00000000" w:csb0="00040000" w:csb1="00000000"/>
    <w:embedBold r:id="rId6" w:subsetted="1" w:fontKey="{CF69B662-D6E2-4EE8-84BD-EA875D6131EF}"/>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embedBold r:id="rId7" w:subsetted="1" w:fontKey="{DBCFF984-6C05-4152-B1D4-0649DED52339}"/>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CA" w:rsidRDefault="00491D1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C2ECA" w:rsidRDefault="00491D1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3D02">
                            <w:rPr>
                              <w:noProof/>
                              <w:sz w:val="18"/>
                            </w:rPr>
                            <w:t>17</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7uqwEAAD4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ixLd8aILSXdR0rL02uYSubsR3IW0ZNJvtwkh1Gc+ny89lZPmanyab1arxsK&#10;KYpdHoQjHr/HhPmNBs+K0fFEw6s9lYd3mM+pl5RSLcCddY78snXhNwdhFo8o3M8ci5Wn3TQT30F/&#10;JD0jzb3jgRaTM/c2UFvLilyMdDF2s1FqYHz1kKlw5VNQz1BzMRpSVTQvVNmCp++a9bj2218A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B+czu6rAQAAPgMAAA4AAAAAAAAAAAAAAAAALgIAAGRycy9lMm9Eb2MueG1sUEsBAi0AFAAGAAgA&#10;AAAhAAxK8O7WAAAABQEAAA8AAAAAAAAAAAAAAAAABQQAAGRycy9kb3ducmV2LnhtbFBLBQYAAAAA&#10;BAAEAPMAAAAIBQAAAAA=&#10;" filled="f" stroked="f">
              <v:textbox style="mso-fit-shape-to-text:t" inset="0,0,0,0">
                <w:txbxContent>
                  <w:p w:rsidR="002C2ECA" w:rsidRDefault="00491D1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3D02">
                      <w:rPr>
                        <w:noProof/>
                        <w:sz w:val="18"/>
                      </w:rPr>
                      <w:t>17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13" w:rsidRDefault="00491D13">
      <w:r>
        <w:separator/>
      </w:r>
    </w:p>
  </w:footnote>
  <w:footnote w:type="continuationSeparator" w:id="0">
    <w:p w:rsidR="00491D13" w:rsidRDefault="00491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YzEzNGIxNmMzMGJmMDQ4NThkMjA1OGVhZGQ4Y2EifQ=="/>
  </w:docVars>
  <w:rsids>
    <w:rsidRoot w:val="0047714A"/>
    <w:rsid w:val="00264840"/>
    <w:rsid w:val="002C2ECA"/>
    <w:rsid w:val="0047714A"/>
    <w:rsid w:val="00491D13"/>
    <w:rsid w:val="00575B8E"/>
    <w:rsid w:val="006B4749"/>
    <w:rsid w:val="009C3D02"/>
    <w:rsid w:val="05254DDE"/>
    <w:rsid w:val="1BB43819"/>
    <w:rsid w:val="32EB3B6C"/>
    <w:rsid w:val="387458FB"/>
    <w:rsid w:val="3F8A2017"/>
    <w:rsid w:val="52567130"/>
    <w:rsid w:val="5A582A98"/>
    <w:rsid w:val="608138D5"/>
    <w:rsid w:val="700417EE"/>
    <w:rsid w:val="771B33FC"/>
    <w:rsid w:val="7AB93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link w:val="1Char"/>
    <w:qFormat/>
    <w:pPr>
      <w:spacing w:beforeAutospacing="1" w:afterAutospacing="1"/>
      <w:jc w:val="left"/>
      <w:outlineLvl w:val="0"/>
    </w:pPr>
    <w:rPr>
      <w:rFonts w:ascii="宋体" w:hAnsi="宋体" w:cs="宋体" w:hint="eastAsia"/>
      <w:b/>
      <w:bCs/>
      <w:kern w:val="44"/>
      <w:sz w:val="48"/>
      <w:szCs w:val="48"/>
    </w:rPr>
  </w:style>
  <w:style w:type="paragraph" w:styleId="2">
    <w:name w:val="heading 2"/>
    <w:basedOn w:val="a"/>
    <w:next w:val="a"/>
    <w:link w:val="2Char"/>
    <w:semiHidden/>
    <w:unhideWhenUsed/>
    <w:qFormat/>
    <w:pPr>
      <w:keepNext/>
      <w:keepLines/>
      <w:spacing w:before="120" w:line="500" w:lineRule="exact"/>
      <w:ind w:leftChars="300" w:left="630"/>
      <w:outlineLvl w:val="1"/>
    </w:pPr>
    <w:rPr>
      <w:rFonts w:ascii="Arial" w:eastAsia="楷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8">
    <w:name w:val="toc 8"/>
    <w:basedOn w:val="a"/>
    <w:next w:val="a"/>
    <w:qFormat/>
    <w:pPr>
      <w:ind w:leftChars="1400" w:left="29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
    <w:next w:val="a"/>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0">
    <w:name w:val="toc 2"/>
    <w:basedOn w:val="a"/>
    <w:next w:val="a"/>
    <w:qFormat/>
    <w:pPr>
      <w:ind w:leftChars="200" w:left="420"/>
    </w:pPr>
  </w:style>
  <w:style w:type="paragraph" w:styleId="9">
    <w:name w:val="toc 9"/>
    <w:basedOn w:val="a"/>
    <w:next w:val="a"/>
    <w:qFormat/>
    <w:pPr>
      <w:ind w:leftChars="1600" w:left="3360"/>
    </w:pPr>
  </w:style>
  <w:style w:type="paragraph" w:styleId="a5">
    <w:name w:val="Normal (Web)"/>
    <w:basedOn w:val="a"/>
    <w:qFormat/>
    <w:pPr>
      <w:spacing w:beforeAutospacing="1" w:afterAutospacing="1"/>
      <w:jc w:val="left"/>
    </w:pPr>
    <w:rPr>
      <w:kern w:val="0"/>
      <w:sz w:val="24"/>
    </w:rPr>
  </w:style>
  <w:style w:type="character" w:customStyle="1" w:styleId="1Char">
    <w:name w:val="标题 1 Char"/>
    <w:link w:val="1"/>
    <w:qFormat/>
    <w:rPr>
      <w:rFonts w:ascii="宋体" w:eastAsia="宋体" w:hAnsi="宋体" w:cs="宋体" w:hint="eastAsia"/>
      <w:b/>
      <w:bCs/>
      <w:kern w:val="44"/>
      <w:sz w:val="48"/>
      <w:szCs w:val="48"/>
      <w:lang w:val="en-US" w:eastAsia="zh-CN"/>
    </w:rPr>
  </w:style>
  <w:style w:type="character" w:customStyle="1" w:styleId="2Char">
    <w:name w:val="标题 2 Char"/>
    <w:link w:val="2"/>
    <w:uiPriority w:val="9"/>
    <w:qFormat/>
    <w:rPr>
      <w:rFonts w:ascii="Arial" w:eastAsia="楷体" w:hAnsi="Arial" w:cs="Times New Roman"/>
      <w:b/>
      <w:sz w:val="32"/>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link w:val="1Char"/>
    <w:qFormat/>
    <w:pPr>
      <w:spacing w:beforeAutospacing="1" w:afterAutospacing="1"/>
      <w:jc w:val="left"/>
      <w:outlineLvl w:val="0"/>
    </w:pPr>
    <w:rPr>
      <w:rFonts w:ascii="宋体" w:hAnsi="宋体" w:cs="宋体" w:hint="eastAsia"/>
      <w:b/>
      <w:bCs/>
      <w:kern w:val="44"/>
      <w:sz w:val="48"/>
      <w:szCs w:val="48"/>
    </w:rPr>
  </w:style>
  <w:style w:type="paragraph" w:styleId="2">
    <w:name w:val="heading 2"/>
    <w:basedOn w:val="a"/>
    <w:next w:val="a"/>
    <w:link w:val="2Char"/>
    <w:semiHidden/>
    <w:unhideWhenUsed/>
    <w:qFormat/>
    <w:pPr>
      <w:keepNext/>
      <w:keepLines/>
      <w:spacing w:before="120" w:line="500" w:lineRule="exact"/>
      <w:ind w:leftChars="300" w:left="630"/>
      <w:outlineLvl w:val="1"/>
    </w:pPr>
    <w:rPr>
      <w:rFonts w:ascii="Arial" w:eastAsia="楷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8">
    <w:name w:val="toc 8"/>
    <w:basedOn w:val="a"/>
    <w:next w:val="a"/>
    <w:qFormat/>
    <w:pPr>
      <w:ind w:leftChars="1400" w:left="29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
    <w:next w:val="a"/>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0">
    <w:name w:val="toc 2"/>
    <w:basedOn w:val="a"/>
    <w:next w:val="a"/>
    <w:qFormat/>
    <w:pPr>
      <w:ind w:leftChars="200" w:left="420"/>
    </w:pPr>
  </w:style>
  <w:style w:type="paragraph" w:styleId="9">
    <w:name w:val="toc 9"/>
    <w:basedOn w:val="a"/>
    <w:next w:val="a"/>
    <w:qFormat/>
    <w:pPr>
      <w:ind w:leftChars="1600" w:left="3360"/>
    </w:pPr>
  </w:style>
  <w:style w:type="paragraph" w:styleId="a5">
    <w:name w:val="Normal (Web)"/>
    <w:basedOn w:val="a"/>
    <w:qFormat/>
    <w:pPr>
      <w:spacing w:beforeAutospacing="1" w:afterAutospacing="1"/>
      <w:jc w:val="left"/>
    </w:pPr>
    <w:rPr>
      <w:kern w:val="0"/>
      <w:sz w:val="24"/>
    </w:rPr>
  </w:style>
  <w:style w:type="character" w:customStyle="1" w:styleId="1Char">
    <w:name w:val="标题 1 Char"/>
    <w:link w:val="1"/>
    <w:qFormat/>
    <w:rPr>
      <w:rFonts w:ascii="宋体" w:eastAsia="宋体" w:hAnsi="宋体" w:cs="宋体" w:hint="eastAsia"/>
      <w:b/>
      <w:bCs/>
      <w:kern w:val="44"/>
      <w:sz w:val="48"/>
      <w:szCs w:val="48"/>
      <w:lang w:val="en-US" w:eastAsia="zh-CN"/>
    </w:rPr>
  </w:style>
  <w:style w:type="character" w:customStyle="1" w:styleId="2Char">
    <w:name w:val="标题 2 Char"/>
    <w:link w:val="2"/>
    <w:uiPriority w:val="9"/>
    <w:qFormat/>
    <w:rPr>
      <w:rFonts w:ascii="Arial" w:eastAsia="楷体" w:hAnsi="Arial" w:cs="Times New Roman"/>
      <w:b/>
      <w:sz w:val="3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空白格</dc:creator>
  <cp:lastModifiedBy>gjf</cp:lastModifiedBy>
  <cp:revision>4</cp:revision>
  <cp:lastPrinted>2021-03-31T08:55:00Z</cp:lastPrinted>
  <dcterms:created xsi:type="dcterms:W3CDTF">2021-03-30T02:40:00Z</dcterms:created>
  <dcterms:modified xsi:type="dcterms:W3CDTF">2023-09-21T02:41:00Z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8F7F6A8A755A4B51A6C0678874D679C2_13</vt:lpwstr>
  </property>
</Properties>
</file>