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关于对R&amp;D经费投入强度排名靠前的县（市、区）和企业奖励的实施细则（试行）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山西省支持科技创新若干政策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号）规定，引导和推动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县（市、区）加大科技研发投入，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依据统计局正式发布的统计数据对下列单位实施奖励：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上年度R&amp;D经费投入强度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排名前三位的县（市、区）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上年度R&amp;D经费投入强度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全市排名前五位的企业。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R&amp;D经费投入强度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排名前三位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且高于全市投入强度</w:t>
      </w:r>
      <w:r>
        <w:rPr>
          <w:rFonts w:hint="eastAsia" w:ascii="仿宋_GB2312" w:hAnsi="仿宋_GB2312" w:eastAsia="仿宋_GB2312" w:cs="仿宋_GB2312"/>
          <w:sz w:val="32"/>
          <w:szCs w:val="32"/>
        </w:rPr>
        <w:t>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奖励30万元，高于全省投入强度奖励50万元。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R&amp;D经费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投入强度全市排名前五位的企业，根据科技研发投入给予当年科研投入1%的科研经费奖励。连续三年平均增长幅度在全市排名前五位、且主营业务收入在300万元的企业，最高奖励10万元。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县（市、区）和企业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R&amp;D经费投入强度奖励资金申请表》。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（二）市级及以上统计部门出具的R&amp;D经费投入统计证明材料。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发布通知，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的县（市、区）人民政府委托承办单位，向市科学技术局提出申请；符合条件要求的企业，向所在县（市、区）教育科技局提出申请，经审核合格后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局基础与成果科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基础与成果科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励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公示无异议后，按规定程序拨付资金。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奖励资金管理使用。奖励资金不单设专项资金预算，按照“大专项+任务清单”的办法安排。下达县级的奖励资金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用于科技管理队伍建设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，下达到企业的奖励资金全部用于增加企业科研支出。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其他规定。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和各类企业要认真执行国家《统计法》和《预算法》等有关法律法规，如实填报本地区、本企业研究与试验发展的有关支出数据。确保统计数据的全面性、真实性和准确性。对于存在数据造假等违反法律法规行为的，不纳入考核奖励对象。已经获得奖励的，一经查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追</w:t>
      </w:r>
      <w:r>
        <w:rPr>
          <w:rFonts w:hint="eastAsia" w:ascii="仿宋_GB2312" w:hAnsi="仿宋_GB2312" w:eastAsia="仿宋_GB2312" w:cs="仿宋_GB2312"/>
          <w:sz w:val="32"/>
          <w:szCs w:val="32"/>
        </w:rPr>
        <w:t>回奖励资金，并按照国家有关法律法规追究责任。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从2019年起实施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负责解释。实际执行中，如出现新情况新问题，由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会同有关部门共同补充完善。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821D7"/>
    <w:rsid w:val="47E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2019-06-17T03:10:00Z</dcterms:created>
  <dc:creator>Administrator</dc:creator>
  <cp:lastModifiedBy>Administrator</cp:lastModifiedBy>
  <dcterms:modified xsi:type="dcterms:W3CDTF">2019-06-17T03:10:53Z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