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32"/>
          <w:szCs w:val="32"/>
        </w:rPr>
      </w:pPr>
      <w:r>
        <w:rPr>
          <w:rFonts w:hint="eastAsia" w:ascii="黑体" w:hAnsi="黑体" w:eastAsia="黑体" w:cs="黑体"/>
          <w:b/>
          <w:bCs/>
          <w:sz w:val="32"/>
          <w:szCs w:val="32"/>
        </w:rPr>
        <w:t>太忻大道（忻州城区-石岭关）项目支出绩效评价自评报告</w:t>
      </w:r>
    </w:p>
    <w:p>
      <w:pPr>
        <w:ind w:firstLine="641" w:firstLineChars="228"/>
        <w:rPr>
          <w:rFonts w:ascii="仿宋" w:hAnsi="仿宋" w:eastAsia="仿宋" w:cs="仿宋"/>
          <w:b/>
          <w:bCs/>
          <w:sz w:val="28"/>
          <w:szCs w:val="28"/>
        </w:rPr>
      </w:pPr>
    </w:p>
    <w:p>
      <w:pPr>
        <w:numPr>
          <w:ilvl w:val="0"/>
          <w:numId w:val="1"/>
        </w:numPr>
        <w:adjustRightInd w:val="0"/>
        <w:spacing w:line="560" w:lineRule="exact"/>
        <w:ind w:firstLine="641"/>
        <w:rPr>
          <w:rFonts w:ascii="黑体" w:hAnsi="黑体" w:eastAsia="黑体" w:cs="黑体"/>
          <w:b/>
          <w:bCs/>
          <w:sz w:val="28"/>
          <w:szCs w:val="28"/>
        </w:rPr>
      </w:pPr>
      <w:r>
        <w:rPr>
          <w:rFonts w:hint="eastAsia" w:ascii="黑体" w:hAnsi="黑体" w:eastAsia="黑体" w:cs="黑体"/>
          <w:b/>
          <w:bCs/>
          <w:sz w:val="28"/>
          <w:szCs w:val="28"/>
        </w:rPr>
        <w:t>项目概况</w:t>
      </w:r>
    </w:p>
    <w:p>
      <w:pPr>
        <w:pStyle w:val="2"/>
        <w:numPr>
          <w:ilvl w:val="0"/>
          <w:numId w:val="2"/>
        </w:numPr>
        <w:adjustRightInd w:val="0"/>
        <w:spacing w:line="560" w:lineRule="exact"/>
        <w:rPr>
          <w:rFonts w:ascii="仿宋" w:hAnsi="仿宋" w:eastAsia="仿宋" w:cs="仿宋"/>
          <w:b/>
          <w:bCs/>
          <w:sz w:val="28"/>
          <w:szCs w:val="28"/>
          <w:lang w:eastAsia="zh-CN"/>
        </w:rPr>
      </w:pPr>
      <w:r>
        <w:rPr>
          <w:rFonts w:hint="eastAsia" w:ascii="仿宋" w:hAnsi="仿宋" w:eastAsia="仿宋" w:cs="仿宋"/>
          <w:b/>
          <w:bCs/>
          <w:sz w:val="28"/>
          <w:szCs w:val="28"/>
          <w:lang w:eastAsia="zh-CN"/>
        </w:rPr>
        <w:t>立项背景</w:t>
      </w:r>
    </w:p>
    <w:p>
      <w:pPr>
        <w:pStyle w:val="7"/>
        <w:adjustRightInd w:val="0"/>
        <w:spacing w:line="560" w:lineRule="exact"/>
        <w:ind w:firstLine="560"/>
        <w:rPr>
          <w:rFonts w:ascii="仿宋" w:hAnsi="仿宋" w:eastAsia="仿宋" w:cs="仿宋"/>
          <w:sz w:val="28"/>
          <w:szCs w:val="28"/>
        </w:rPr>
      </w:pPr>
      <w:r>
        <w:rPr>
          <w:rFonts w:hint="eastAsia" w:ascii="仿宋" w:hAnsi="仿宋" w:eastAsia="仿宋" w:cs="仿宋"/>
          <w:sz w:val="28"/>
          <w:szCs w:val="28"/>
        </w:rPr>
        <w:t>建设太忻一体化经济区，是落实省委“一群两区三圈”发展新布局的战略之举，是省委立足新发展阶段，站在推动中部地区高质量发展、黄河流域生态保护和高质量发展、主动融入京津冀协同发展的高度作出的重大决策，是省委书记林武亲自谋划、亲自部署、亲自推动的重大战略。山西中部城市群建设已成为国家战略，太原是省会城市，是山西中部城市群的核心城市，以太原为主体建设太忻一体化经济区是引领山西中部城市群建设的客观需要和现实选择。</w:t>
      </w:r>
    </w:p>
    <w:p>
      <w:pPr>
        <w:pStyle w:val="7"/>
        <w:adjustRightInd w:val="0"/>
        <w:spacing w:line="560" w:lineRule="exact"/>
        <w:ind w:firstLine="560"/>
        <w:rPr>
          <w:rFonts w:ascii="仿宋" w:hAnsi="仿宋" w:eastAsia="仿宋" w:cs="仿宋"/>
          <w:sz w:val="28"/>
          <w:szCs w:val="28"/>
        </w:rPr>
      </w:pPr>
      <w:r>
        <w:rPr>
          <w:rFonts w:hint="eastAsia" w:ascii="仿宋" w:hAnsi="仿宋" w:eastAsia="仿宋" w:cs="仿宋"/>
          <w:sz w:val="28"/>
          <w:szCs w:val="28"/>
        </w:rPr>
        <w:t>太原、忻州是我省承接京津冀产业转移的重要区域，雄忻高铁开工建设，将成为我省对接雄安新区的首要通道和融入京津冀协同发展的重要通道。建设太忻一体化经济区，可以大大拉近太原、山西中部城市群与京津冀、特别是雄安新区的距离，增强更快对接服务雄安新区、更深融入京津冀、更多承接京津冀产业转移的能力。在强化太原晋中一体化的同时，抓住雄忻铁路建设机遇，加快太忻一体化经济区建设，推动太原往北发展，与忻州形成相向发展格局。使之与山西转型综改示范区南北呼应、两翼齐飞，引领整个山西中部城市群均衡发展、联动发展、整体发展。</w:t>
      </w:r>
    </w:p>
    <w:p>
      <w:pPr>
        <w:pStyle w:val="7"/>
        <w:adjustRightInd w:val="0"/>
        <w:spacing w:line="560" w:lineRule="exact"/>
        <w:ind w:firstLine="560"/>
        <w:rPr>
          <w:rFonts w:ascii="仿宋" w:hAnsi="仿宋" w:eastAsia="仿宋" w:cs="仿宋"/>
          <w:sz w:val="28"/>
          <w:szCs w:val="28"/>
          <w:lang w:val="en-US"/>
        </w:rPr>
      </w:pPr>
      <w:r>
        <w:rPr>
          <w:rFonts w:hint="eastAsia" w:ascii="仿宋" w:hAnsi="仿宋" w:eastAsia="仿宋" w:cs="仿宋"/>
          <w:sz w:val="28"/>
          <w:szCs w:val="28"/>
        </w:rPr>
        <w:t>太忻一体化经济区的建设离不开经济区内交通廊道的建设,即太忻大道的建设。</w:t>
      </w:r>
    </w:p>
    <w:p>
      <w:pPr>
        <w:pStyle w:val="3"/>
        <w:numPr>
          <w:ilvl w:val="0"/>
          <w:numId w:val="2"/>
        </w:numPr>
        <w:adjustRightInd w:val="0"/>
        <w:spacing w:line="560" w:lineRule="exact"/>
        <w:ind w:leftChars="0"/>
        <w:jc w:val="left"/>
        <w:rPr>
          <w:rFonts w:ascii="仿宋" w:hAnsi="仿宋" w:eastAsia="仿宋" w:cs="仿宋"/>
          <w:b/>
          <w:bCs/>
          <w:sz w:val="28"/>
          <w:szCs w:val="28"/>
        </w:rPr>
      </w:pPr>
      <w:r>
        <w:rPr>
          <w:rFonts w:hint="eastAsia" w:ascii="仿宋" w:hAnsi="仿宋" w:eastAsia="仿宋" w:cs="仿宋"/>
          <w:b/>
          <w:bCs/>
          <w:sz w:val="28"/>
          <w:szCs w:val="28"/>
        </w:rPr>
        <w:t>主要内容</w:t>
      </w:r>
    </w:p>
    <w:p>
      <w:pPr>
        <w:adjustRightIn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太忻大道（忻州城区-石岭关）（原忻太大道道路新建工程），起点位于忻府区西张村南（接东环路南延K7+600），在南北通道（新规划路）设置菱形立交，在环城高速K24+989处上跨，经韩沟村、坡底村，在徐凹村设置菱形立交，在G55二广高速原平至太原段K697+886处上跨，终点位于忻州与太原交界石岭关，与太原市太忻大道（石岭关-阳兴大道）相接。路线全长12.545公里，建设标准为城市快速路，设计速度80km/h，双向6车道，道路宽度28米。项目总用地1470亩（其中基本农田约703亩），路基土石方335.14万立方米，沥青混凝土路面37.8896万平方米，菱形立交2座，跨高速桥梁2座，服务区1处，工程估算总投资14.52亿元。</w:t>
      </w:r>
    </w:p>
    <w:p>
      <w:pPr>
        <w:numPr>
          <w:ilvl w:val="0"/>
          <w:numId w:val="2"/>
        </w:numPr>
        <w:adjustRightInd w:val="0"/>
        <w:spacing w:line="560" w:lineRule="exact"/>
        <w:rPr>
          <w:rFonts w:ascii="仿宋" w:hAnsi="仿宋" w:eastAsia="仿宋" w:cs="仿宋"/>
          <w:b/>
          <w:bCs/>
          <w:sz w:val="28"/>
          <w:szCs w:val="28"/>
        </w:rPr>
      </w:pPr>
      <w:r>
        <w:rPr>
          <w:rFonts w:hint="eastAsia" w:ascii="仿宋" w:hAnsi="仿宋" w:eastAsia="仿宋" w:cs="仿宋"/>
          <w:b/>
          <w:bCs/>
          <w:sz w:val="28"/>
          <w:szCs w:val="28"/>
        </w:rPr>
        <w:t>绩效目标</w:t>
      </w:r>
    </w:p>
    <w:p>
      <w:pPr>
        <w:numPr>
          <w:ilvl w:val="0"/>
          <w:numId w:val="3"/>
        </w:numPr>
        <w:adjustRightInd w:val="0"/>
        <w:spacing w:line="56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总体目标</w:t>
      </w:r>
    </w:p>
    <w:p>
      <w:pPr>
        <w:pStyle w:val="7"/>
        <w:adjustRightInd w:val="0"/>
        <w:spacing w:line="560" w:lineRule="exact"/>
        <w:ind w:firstLine="560"/>
        <w:rPr>
          <w:rFonts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rPr>
        <w:t>1</w:t>
      </w:r>
      <w:r>
        <w:rPr>
          <w:rFonts w:hint="eastAsia" w:ascii="仿宋" w:hAnsi="仿宋" w:eastAsia="仿宋" w:cs="仿宋"/>
          <w:sz w:val="28"/>
          <w:szCs w:val="28"/>
        </w:rPr>
        <w:t>）项目</w:t>
      </w:r>
      <w:r>
        <w:rPr>
          <w:rFonts w:hint="eastAsia" w:ascii="仿宋" w:hAnsi="仿宋" w:eastAsia="仿宋" w:cs="仿宋"/>
          <w:sz w:val="28"/>
          <w:szCs w:val="28"/>
          <w:lang w:val="en-US"/>
        </w:rPr>
        <w:t>建成将</w:t>
      </w:r>
      <w:r>
        <w:rPr>
          <w:rFonts w:hint="eastAsia" w:ascii="仿宋" w:hAnsi="仿宋" w:eastAsia="仿宋" w:cs="仿宋"/>
          <w:sz w:val="28"/>
          <w:szCs w:val="28"/>
        </w:rPr>
        <w:t>辐射区域脱贫致富奔小康</w:t>
      </w:r>
    </w:p>
    <w:p>
      <w:pPr>
        <w:pStyle w:val="7"/>
        <w:adjustRightInd w:val="0"/>
        <w:spacing w:line="560" w:lineRule="exact"/>
        <w:ind w:firstLine="560"/>
        <w:rPr>
          <w:rFonts w:ascii="仿宋" w:hAnsi="仿宋" w:eastAsia="仿宋" w:cs="仿宋"/>
          <w:sz w:val="28"/>
          <w:szCs w:val="28"/>
        </w:rPr>
      </w:pPr>
      <w:r>
        <w:rPr>
          <w:rFonts w:hint="eastAsia" w:ascii="仿宋" w:hAnsi="仿宋" w:eastAsia="仿宋" w:cs="仿宋"/>
          <w:sz w:val="28"/>
          <w:szCs w:val="28"/>
        </w:rPr>
        <w:t>本工程太忻大道全部位于忻府区境内，沿线均为农村地区，为了提升道路对沿线地区的服务，绕城高速以北老路利用段段与周边村庄的东西向横向道路近期均采用平交，绕城高速和二广高速之间新建2处互通式菱形立交，立交间距约7.3km，方便沿线村民进出太忻大道主路，极大地改善了周边村落的出行条件，农业物资进出的便捷性和人员进出条件大大改善，降低了流通成本，同时也为农村旅游提供便利条件，为农业产业化和农村人口多渠道增加收入提供了机会，是实在的脱贫致富的重要举措。</w:t>
      </w:r>
    </w:p>
    <w:p>
      <w:pPr>
        <w:pStyle w:val="7"/>
        <w:numPr>
          <w:ilvl w:val="0"/>
          <w:numId w:val="4"/>
        </w:numPr>
        <w:adjustRightInd w:val="0"/>
        <w:spacing w:line="560" w:lineRule="exact"/>
        <w:ind w:firstLine="560"/>
        <w:rPr>
          <w:rFonts w:ascii="仿宋" w:hAnsi="仿宋" w:eastAsia="仿宋" w:cs="仿宋"/>
          <w:sz w:val="28"/>
          <w:szCs w:val="28"/>
        </w:rPr>
      </w:pPr>
      <w:r>
        <w:rPr>
          <w:rFonts w:hint="eastAsia" w:ascii="仿宋" w:hAnsi="仿宋" w:eastAsia="仿宋" w:cs="仿宋"/>
          <w:sz w:val="28"/>
          <w:szCs w:val="28"/>
        </w:rPr>
        <w:t>推动公路路网结构升级</w:t>
      </w:r>
    </w:p>
    <w:p>
      <w:pPr>
        <w:pStyle w:val="7"/>
        <w:adjustRightInd w:val="0"/>
        <w:spacing w:line="560" w:lineRule="exact"/>
        <w:ind w:firstLine="560"/>
        <w:rPr>
          <w:rFonts w:ascii="仿宋" w:hAnsi="仿宋" w:eastAsia="仿宋" w:cs="仿宋"/>
          <w:sz w:val="28"/>
          <w:szCs w:val="28"/>
        </w:rPr>
      </w:pPr>
      <w:r>
        <w:rPr>
          <w:rFonts w:hint="eastAsia" w:ascii="仿宋" w:hAnsi="仿宋" w:eastAsia="仿宋" w:cs="仿宋"/>
          <w:sz w:val="28"/>
          <w:szCs w:val="28"/>
        </w:rPr>
        <w:t>因规划次序和发展力度的原因，本工程建设后，忻州-太原之间的城际间公路网将直接促使各沿线的村镇路网进行改造升级，以适应快速化交通和高速度增长的需求。</w:t>
      </w:r>
    </w:p>
    <w:p>
      <w:pPr>
        <w:pStyle w:val="7"/>
        <w:numPr>
          <w:ilvl w:val="0"/>
          <w:numId w:val="4"/>
        </w:numPr>
        <w:adjustRightInd w:val="0"/>
        <w:spacing w:line="560" w:lineRule="exact"/>
        <w:ind w:firstLine="560"/>
        <w:rPr>
          <w:rFonts w:ascii="仿宋" w:hAnsi="仿宋" w:eastAsia="仿宋" w:cs="仿宋"/>
          <w:sz w:val="28"/>
          <w:szCs w:val="28"/>
        </w:rPr>
      </w:pPr>
      <w:r>
        <w:rPr>
          <w:rFonts w:hint="eastAsia" w:ascii="仿宋" w:hAnsi="仿宋" w:eastAsia="仿宋" w:cs="仿宋"/>
          <w:sz w:val="28"/>
          <w:szCs w:val="28"/>
        </w:rPr>
        <w:t>促进城市结构的转型升级</w:t>
      </w:r>
    </w:p>
    <w:p>
      <w:pPr>
        <w:pStyle w:val="7"/>
        <w:adjustRightInd w:val="0"/>
        <w:spacing w:line="560" w:lineRule="exact"/>
        <w:ind w:firstLine="560"/>
        <w:rPr>
          <w:rFonts w:ascii="仿宋" w:hAnsi="仿宋" w:eastAsia="仿宋" w:cs="仿宋"/>
          <w:sz w:val="28"/>
          <w:szCs w:val="28"/>
        </w:rPr>
      </w:pPr>
      <w:r>
        <w:rPr>
          <w:rFonts w:hint="eastAsia" w:ascii="仿宋" w:hAnsi="仿宋" w:eastAsia="仿宋" w:cs="仿宋"/>
          <w:sz w:val="28"/>
          <w:szCs w:val="28"/>
        </w:rPr>
        <w:t>快速路网链接的城镇群将产生三个方面的变化：一个是交通与城市结构的互动变化加速城市的建设和发展；快速交通的快速增加将带动房地产的发展，而城市的建设和发展进一步引起交通需求的增加，二者相互加速城市化进程。二是城市内部分工、合作变化；城镇组团形成的市内结构必然带来经济结构的变化，内部分工将向更加经济合理方向逐步演进，产业结构向纵深变化，这些变化将进一步推动城市的快速发展，加速城市结构的升级。三是对外联系和互动变化；忻定原城镇组团在对内服务能力增强的同时，也增加了对外分功合作能力，这将对城镇组团长期发展提供源源不断的动力。本工程的建设可以有效促进公路网络高效运行，加快城市结构转型。</w:t>
      </w:r>
    </w:p>
    <w:p>
      <w:pPr>
        <w:adjustRightInd w:val="0"/>
        <w:spacing w:line="56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2、项目绩效阶段性目标</w:t>
      </w:r>
    </w:p>
    <w:p>
      <w:pPr>
        <w:adjustRightIn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（1）项目立项申请、审批过程合规，具有明确、合理的绩效目标；</w:t>
      </w:r>
    </w:p>
    <w:p>
      <w:pPr>
        <w:adjustRightIn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（2）项目实施单位严格按照项目管理制度及质量管理要求监督项目的实施；</w:t>
      </w:r>
    </w:p>
    <w:p>
      <w:pPr>
        <w:adjustRightIn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（3）项目开工率达到100%；</w:t>
      </w:r>
    </w:p>
    <w:p>
      <w:pPr>
        <w:adjustRightIn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（4）项目完工率达到100%； </w:t>
      </w:r>
    </w:p>
    <w:p>
      <w:pPr>
        <w:adjustRightIn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（5）项目质量达标率达到100%；</w:t>
      </w:r>
    </w:p>
    <w:p>
      <w:pPr>
        <w:pStyle w:val="2"/>
        <w:adjustRightInd w:val="0"/>
        <w:spacing w:line="560" w:lineRule="exact"/>
        <w:ind w:firstLine="560" w:firstLineChars="200"/>
        <w:rPr>
          <w:rFonts w:ascii="仿宋" w:hAnsi="仿宋" w:eastAsia="仿宋" w:cs="仿宋"/>
          <w:sz w:val="28"/>
          <w:szCs w:val="28"/>
          <w:lang w:eastAsia="zh-CN"/>
        </w:rPr>
      </w:pPr>
      <w:r>
        <w:rPr>
          <w:rFonts w:hint="eastAsia" w:ascii="仿宋" w:hAnsi="仿宋" w:eastAsia="仿宋" w:cs="仿宋"/>
          <w:sz w:val="28"/>
          <w:szCs w:val="28"/>
          <w:lang w:eastAsia="zh-CN"/>
        </w:rPr>
        <w:t>（四）资金构成</w:t>
      </w:r>
    </w:p>
    <w:p>
      <w:pPr>
        <w:adjustRightIn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本项目采用EPC模式建设，资金来源为政府债劵、上级补助资金和地方政府自筹。</w:t>
      </w:r>
    </w:p>
    <w:p>
      <w:pPr>
        <w:pStyle w:val="3"/>
        <w:adjustRightInd w:val="0"/>
        <w:spacing w:line="560" w:lineRule="exact"/>
        <w:ind w:left="0" w:leftChars="0" w:firstLine="560" w:firstLineChars="200"/>
        <w:rPr>
          <w:rFonts w:ascii="仿宋" w:hAnsi="仿宋" w:eastAsia="仿宋" w:cs="仿宋"/>
          <w:sz w:val="28"/>
          <w:szCs w:val="28"/>
        </w:rPr>
      </w:pPr>
      <w:r>
        <w:rPr>
          <w:rFonts w:hint="eastAsia" w:ascii="黑体" w:hAnsi="黑体" w:eastAsia="黑体" w:cs="黑体"/>
          <w:sz w:val="28"/>
          <w:szCs w:val="28"/>
        </w:rPr>
        <w:t>二、评估工作的开展情况</w:t>
      </w:r>
    </w:p>
    <w:p>
      <w:pPr>
        <w:pStyle w:val="4"/>
        <w:numPr>
          <w:ilvl w:val="0"/>
          <w:numId w:val="5"/>
        </w:numPr>
        <w:adjustRightInd w:val="0"/>
        <w:spacing w:line="560" w:lineRule="exact"/>
        <w:ind w:firstLine="562" w:firstLineChars="200"/>
        <w:rPr>
          <w:rFonts w:ascii="仿宋" w:hAnsi="仿宋" w:eastAsia="仿宋" w:cs="仿宋"/>
          <w:sz w:val="28"/>
          <w:szCs w:val="28"/>
        </w:rPr>
      </w:pPr>
      <w:bookmarkStart w:id="0" w:name="_Toc500019665"/>
      <w:bookmarkStart w:id="1" w:name="_Toc501443873"/>
      <w:bookmarkStart w:id="2" w:name="_Toc4325"/>
      <w:bookmarkStart w:id="3" w:name="_Toc500089748"/>
      <w:bookmarkStart w:id="4" w:name="_Toc501027466"/>
      <w:r>
        <w:rPr>
          <w:rFonts w:hint="eastAsia" w:ascii="仿宋" w:hAnsi="仿宋" w:eastAsia="仿宋" w:cs="仿宋"/>
          <w:sz w:val="28"/>
          <w:szCs w:val="28"/>
        </w:rPr>
        <w:t>绩效评价目的</w:t>
      </w:r>
      <w:bookmarkEnd w:id="0"/>
      <w:bookmarkEnd w:id="1"/>
      <w:bookmarkEnd w:id="2"/>
      <w:bookmarkEnd w:id="3"/>
      <w:bookmarkEnd w:id="4"/>
    </w:p>
    <w:p>
      <w:pPr>
        <w:adjustRightIn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财政支出绩效评价工作旨在全面反映预算资金产出和结果的经济性、效率性、效益性和公平性，通过绩效评价工作的开展及时发现问题并提出有效建议，引导项目资金分配更趋合理性，逐步地改善预算部门的财政支出管理，优化资源配置。</w:t>
      </w:r>
    </w:p>
    <w:p>
      <w:pPr>
        <w:adjustRightIn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此次绩效评价工作遵循山西省财政厅《关于印发省级财政支出事前绩效评估管理办法的通知》文件精神，运用科学合理的绩效评价指标和评价方法，客观、全面、公正地评价本项目专项资金使用的经济性、效率性、效益性以及公平性，结合政策导向和政策执行的效果，分析资金使用中所存在的问题，并提出具体可行的建议，促进财政资金科学合理分配，强化单位的支出责任，规范资金管理，提高财政资金使用效益，并为其他财政支出项目提供借鉴。</w:t>
      </w:r>
    </w:p>
    <w:p>
      <w:pPr>
        <w:pStyle w:val="4"/>
        <w:numPr>
          <w:ilvl w:val="0"/>
          <w:numId w:val="5"/>
        </w:numPr>
        <w:adjustRightInd w:val="0"/>
        <w:spacing w:line="560" w:lineRule="exact"/>
        <w:ind w:firstLine="562" w:firstLineChars="200"/>
        <w:rPr>
          <w:rFonts w:ascii="仿宋" w:hAnsi="仿宋" w:eastAsia="仿宋" w:cs="仿宋"/>
          <w:sz w:val="28"/>
          <w:szCs w:val="28"/>
        </w:rPr>
      </w:pPr>
      <w:bookmarkStart w:id="5" w:name="_Toc3180"/>
      <w:bookmarkStart w:id="6" w:name="_Toc500089750"/>
      <w:bookmarkStart w:id="7" w:name="_Toc501027467"/>
      <w:bookmarkStart w:id="8" w:name="_Toc501443874"/>
      <w:bookmarkStart w:id="9" w:name="_Toc500019667"/>
      <w:r>
        <w:rPr>
          <w:rFonts w:hint="eastAsia" w:ascii="仿宋" w:hAnsi="仿宋" w:eastAsia="仿宋" w:cs="仿宋"/>
          <w:sz w:val="28"/>
          <w:szCs w:val="28"/>
        </w:rPr>
        <w:t>绩效评价原则</w:t>
      </w:r>
      <w:bookmarkEnd w:id="5"/>
      <w:bookmarkEnd w:id="6"/>
      <w:bookmarkEnd w:id="7"/>
      <w:bookmarkEnd w:id="8"/>
      <w:bookmarkEnd w:id="9"/>
    </w:p>
    <w:p>
      <w:pPr>
        <w:adjustRightInd w:val="0"/>
        <w:spacing w:line="560" w:lineRule="exact"/>
        <w:ind w:firstLine="562" w:firstLineChars="200"/>
        <w:rPr>
          <w:rFonts w:ascii="仿宋" w:hAnsi="仿宋" w:eastAsia="仿宋" w:cs="仿宋"/>
          <w:b/>
          <w:bCs/>
          <w:sz w:val="28"/>
          <w:szCs w:val="28"/>
        </w:rPr>
      </w:pPr>
      <w:bookmarkStart w:id="10" w:name="_Toc500089751"/>
      <w:bookmarkStart w:id="11" w:name="_Toc500034362"/>
      <w:bookmarkStart w:id="12" w:name="_Toc500089538"/>
      <w:bookmarkStart w:id="13" w:name="_Toc500034457"/>
      <w:r>
        <w:rPr>
          <w:rFonts w:hint="eastAsia" w:ascii="仿宋" w:hAnsi="仿宋" w:eastAsia="仿宋" w:cs="仿宋"/>
          <w:b/>
          <w:bCs/>
          <w:sz w:val="28"/>
          <w:szCs w:val="28"/>
        </w:rPr>
        <w:t>1、科学规范原则</w:t>
      </w:r>
      <w:bookmarkEnd w:id="10"/>
      <w:bookmarkEnd w:id="11"/>
      <w:bookmarkEnd w:id="12"/>
      <w:bookmarkEnd w:id="13"/>
    </w:p>
    <w:p>
      <w:pPr>
        <w:adjustRightIn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本次绩效评价采取案头评价与实地核查相结合，综合评价了项目决策、项目管理、项目绩效等内容，使其符合科学可行的要求。</w:t>
      </w:r>
    </w:p>
    <w:p>
      <w:pPr>
        <w:adjustRightInd w:val="0"/>
        <w:spacing w:line="560" w:lineRule="exact"/>
        <w:ind w:firstLine="562" w:firstLineChars="200"/>
        <w:rPr>
          <w:rFonts w:ascii="仿宋" w:hAnsi="仿宋" w:eastAsia="仿宋" w:cs="仿宋"/>
          <w:b/>
          <w:bCs/>
          <w:sz w:val="28"/>
          <w:szCs w:val="28"/>
        </w:rPr>
      </w:pPr>
      <w:bookmarkStart w:id="14" w:name="_Toc500034459"/>
      <w:bookmarkStart w:id="15" w:name="_Toc500089540"/>
      <w:bookmarkStart w:id="16" w:name="_Toc500089753"/>
      <w:bookmarkStart w:id="17" w:name="_Toc500034364"/>
      <w:r>
        <w:rPr>
          <w:rFonts w:hint="eastAsia" w:ascii="仿宋" w:hAnsi="仿宋" w:eastAsia="仿宋" w:cs="仿宋"/>
          <w:b/>
          <w:bCs/>
          <w:sz w:val="28"/>
          <w:szCs w:val="28"/>
        </w:rPr>
        <w:t>2、绩效相关原则</w:t>
      </w:r>
      <w:bookmarkEnd w:id="14"/>
      <w:bookmarkEnd w:id="15"/>
      <w:bookmarkEnd w:id="16"/>
      <w:bookmarkEnd w:id="17"/>
    </w:p>
    <w:p>
      <w:pPr>
        <w:adjustRightIn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通过对项目支出及其产出的绩效进行比较，使评价结果清晰反映支出和产出绩效之间的对应关系。本次绩效评价流程及指标设计，以项目资金效率最大化为出发点，合理设置项目开工、完工等考核内容，力求评价内容与强化资金管理、优化资金使用效率相关。</w:t>
      </w:r>
    </w:p>
    <w:p>
      <w:pPr>
        <w:pStyle w:val="2"/>
        <w:adjustRightInd w:val="0"/>
        <w:spacing w:line="560" w:lineRule="exact"/>
        <w:ind w:firstLine="562" w:firstLineChars="200"/>
        <w:rPr>
          <w:rFonts w:ascii="仿宋" w:hAnsi="仿宋" w:eastAsia="仿宋" w:cs="仿宋"/>
          <w:b/>
          <w:bCs/>
          <w:sz w:val="28"/>
          <w:szCs w:val="28"/>
          <w:lang w:eastAsia="zh-CN"/>
        </w:rPr>
      </w:pPr>
      <w:r>
        <w:rPr>
          <w:rFonts w:hint="eastAsia" w:ascii="仿宋" w:hAnsi="仿宋" w:eastAsia="仿宋" w:cs="仿宋"/>
          <w:b/>
          <w:bCs/>
          <w:sz w:val="28"/>
          <w:szCs w:val="28"/>
          <w:lang w:eastAsia="zh-CN"/>
        </w:rPr>
        <w:t>（三） 评估方法</w:t>
      </w:r>
    </w:p>
    <w:p>
      <w:pPr>
        <w:pStyle w:val="2"/>
        <w:adjustRightInd w:val="0"/>
        <w:spacing w:line="560" w:lineRule="exact"/>
        <w:ind w:firstLine="560" w:firstLineChars="200"/>
        <w:rPr>
          <w:rFonts w:ascii="仿宋" w:hAnsi="仿宋" w:eastAsia="仿宋" w:cs="仿宋"/>
          <w:sz w:val="28"/>
          <w:szCs w:val="28"/>
          <w:lang w:eastAsia="zh-CN"/>
        </w:rPr>
      </w:pPr>
      <w:r>
        <w:rPr>
          <w:rFonts w:hint="eastAsia" w:ascii="仿宋" w:hAnsi="仿宋" w:eastAsia="仿宋" w:cs="仿宋"/>
          <w:sz w:val="28"/>
          <w:szCs w:val="28"/>
          <w:lang w:eastAsia="zh-CN"/>
        </w:rPr>
        <w:t>本次绩效评价采用定性评价与定量评价相结合的方法，以资料案头评价、访谈、座谈及实地查看为基础，综合运用比较法、因素分析法、综合指标评价法、公众评判法等方法，从项目决策、项目管理、项目绩效三个方面对项目预算资金使用管理的经济性、效率性、效益性和公平性进行综合评价。</w:t>
      </w:r>
    </w:p>
    <w:p>
      <w:pPr>
        <w:numPr>
          <w:ilvl w:val="0"/>
          <w:numId w:val="6"/>
        </w:numPr>
        <w:adjustRightInd w:val="0"/>
        <w:spacing w:line="560" w:lineRule="exact"/>
        <w:ind w:firstLine="562" w:firstLineChars="200"/>
        <w:rPr>
          <w:rFonts w:ascii="黑体" w:hAnsi="黑体" w:eastAsia="黑体" w:cs="黑体"/>
          <w:b/>
          <w:bCs/>
          <w:sz w:val="28"/>
          <w:szCs w:val="28"/>
        </w:rPr>
      </w:pPr>
      <w:r>
        <w:rPr>
          <w:rFonts w:hint="eastAsia" w:ascii="黑体" w:hAnsi="黑体" w:eastAsia="黑体" w:cs="黑体"/>
          <w:b/>
          <w:bCs/>
          <w:sz w:val="28"/>
          <w:szCs w:val="28"/>
        </w:rPr>
        <w:t>综合评估情况与评估结论</w:t>
      </w:r>
    </w:p>
    <w:p>
      <w:pPr>
        <w:pStyle w:val="2"/>
        <w:numPr>
          <w:ilvl w:val="0"/>
          <w:numId w:val="7"/>
        </w:numPr>
        <w:adjustRightInd w:val="0"/>
        <w:spacing w:line="56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eastAsia="zh-CN"/>
        </w:rPr>
        <w:t>本项目立项的必要性</w:t>
      </w:r>
    </w:p>
    <w:p>
      <w:pPr>
        <w:pStyle w:val="2"/>
        <w:adjustRightInd w:val="0"/>
        <w:spacing w:line="560" w:lineRule="exact"/>
        <w:ind w:firstLine="560" w:firstLineChars="200"/>
        <w:rPr>
          <w:rFonts w:ascii="仿宋" w:hAnsi="仿宋" w:eastAsia="仿宋" w:cs="仿宋"/>
          <w:sz w:val="28"/>
          <w:szCs w:val="28"/>
          <w:lang w:eastAsia="zh-CN"/>
        </w:rPr>
      </w:pPr>
      <w:r>
        <w:rPr>
          <w:rFonts w:hint="eastAsia" w:ascii="仿宋" w:hAnsi="仿宋" w:eastAsia="仿宋" w:cs="仿宋"/>
          <w:sz w:val="28"/>
          <w:szCs w:val="28"/>
          <w:lang w:eastAsia="zh-CN"/>
        </w:rPr>
        <w:t>2020年忻州市政府工作报告提出，以习近平新时代中国特色社会主义思想为指导，按照省委“四为四高两同步”的总体思路和要求，统筹做好疫情防控和经济社会发展各项工作，加快推进“336”产业布局，提升区域发展水平，确保脱贫攻坚决战完胜，确保与全国全省同步全面建成小康社会，确保“十三五”规划圆满收官，推动经济高质量转型发展，打造宜居、宜业、宜游的创新型城市。抢抓中部盆地城市群一体化发展机遇，加快忻州主城区四大板块建设。一是忻州主城区南部晋北生活体验区重点围绕古城活化运营，实施南北大街北段改造、北城墙修复、长城博物馆建设，新建环古城公园和生态停车场，探索建立经营场所星级评价机制；二是中部杂粮融合示范区重点围绕强化培育市场主体意识，加快引入研发、加工、营销主体，竣工国家级杂粮市场、忻州海关综合服务中心、山西省杂粮检验检测中心、省农科院玉米研究所科技创新区综合实验楼主体工程；三是北部温泉康养区重点加快云中河景区4A级旅游景区升级改造，投运北岸休闲娱乐区、会展中心，加快建设高端公共温泉康养运动区、生态停车场和采摘园、户外综合拓展区、温泉风情街，开工南云中河王家庄—东冯城段生态修复综合河道治理工程，推进南云中河生态修复PPP项目。</w:t>
      </w:r>
    </w:p>
    <w:p>
      <w:pPr>
        <w:pStyle w:val="3"/>
        <w:adjustRightInd w:val="0"/>
        <w:spacing w:line="56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综上，本项目的立项是必要的。</w:t>
      </w:r>
    </w:p>
    <w:p>
      <w:pPr>
        <w:numPr>
          <w:ilvl w:val="0"/>
          <w:numId w:val="7"/>
        </w:numPr>
        <w:adjustRightInd w:val="0"/>
        <w:spacing w:line="56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投入经济性</w:t>
      </w:r>
    </w:p>
    <w:p>
      <w:pPr>
        <w:adjustRightInd w:val="0"/>
        <w:spacing w:line="560" w:lineRule="exact"/>
        <w:ind w:firstLine="560" w:firstLineChars="200"/>
        <w:rPr>
          <w:rFonts w:ascii="仿宋" w:hAnsi="仿宋" w:eastAsia="仿宋" w:cs="仿宋"/>
          <w:sz w:val="28"/>
          <w:szCs w:val="28"/>
          <w:lang w:val="el-GR"/>
        </w:rPr>
      </w:pPr>
      <w:r>
        <w:rPr>
          <w:rFonts w:hint="eastAsia" w:ascii="仿宋" w:hAnsi="仿宋" w:eastAsia="仿宋" w:cs="仿宋"/>
          <w:sz w:val="28"/>
          <w:szCs w:val="28"/>
        </w:rPr>
        <w:t>通过工程可行性研究，对本项目的经济合理性进行了分析，综合认为</w:t>
      </w:r>
      <w:r>
        <w:rPr>
          <w:rFonts w:hint="eastAsia" w:ascii="仿宋" w:hAnsi="仿宋" w:eastAsia="仿宋" w:cs="仿宋"/>
          <w:sz w:val="28"/>
          <w:szCs w:val="28"/>
          <w:lang w:val="el-GR"/>
        </w:rPr>
        <w:t>随着经济改革的深入，社会市场经济机制的逐步完善，产品价格越来越取决于市场需求的变化，同时，由于不同程度通货膨胀的实际存在，使投资越来越变得无法准确预测，而敏感性分析为这种不确定性提供了可靠的保证。</w:t>
      </w:r>
    </w:p>
    <w:p>
      <w:pPr>
        <w:adjustRightIn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lang w:val="el-GR"/>
        </w:rPr>
        <w:t>该项目国民经济投资内部收益率为12.746％高于社会折现率；由项目经济敏感性分析表可见，当成本增加10％、效益减少10％时，项目内部收益率大于8％，说明本工程具有较好的抗风险能力，</w:t>
      </w:r>
      <w:r>
        <w:rPr>
          <w:rFonts w:hint="eastAsia" w:ascii="仿宋" w:hAnsi="仿宋" w:eastAsia="仿宋" w:cs="仿宋"/>
          <w:sz w:val="28"/>
          <w:szCs w:val="28"/>
        </w:rPr>
        <w:t>其建设的经济性是合理的。</w:t>
      </w:r>
    </w:p>
    <w:p>
      <w:pPr>
        <w:pStyle w:val="2"/>
        <w:numPr>
          <w:ilvl w:val="0"/>
          <w:numId w:val="7"/>
        </w:numPr>
        <w:adjustRightInd w:val="0"/>
        <w:spacing w:line="560" w:lineRule="exact"/>
        <w:ind w:firstLine="562" w:firstLineChars="200"/>
        <w:rPr>
          <w:rFonts w:ascii="仿宋" w:hAnsi="仿宋" w:eastAsia="仿宋" w:cs="仿宋"/>
          <w:b/>
          <w:bCs/>
          <w:sz w:val="28"/>
          <w:szCs w:val="28"/>
          <w:lang w:eastAsia="zh-CN"/>
        </w:rPr>
      </w:pPr>
      <w:r>
        <w:rPr>
          <w:rFonts w:hint="eastAsia" w:ascii="仿宋" w:hAnsi="仿宋" w:eastAsia="仿宋" w:cs="仿宋"/>
          <w:b/>
          <w:bCs/>
          <w:sz w:val="28"/>
          <w:szCs w:val="28"/>
          <w:lang w:eastAsia="zh-CN"/>
        </w:rPr>
        <w:t>实施方案的可行性</w:t>
      </w:r>
    </w:p>
    <w:p>
      <w:pPr>
        <w:adjustRightInd w:val="0"/>
        <w:spacing w:line="560" w:lineRule="exact"/>
        <w:ind w:firstLine="560" w:firstLineChars="200"/>
        <w:rPr>
          <w:rFonts w:ascii="仿宋" w:hAnsi="仿宋" w:eastAsia="仿宋" w:cs="仿宋"/>
          <w:sz w:val="28"/>
          <w:szCs w:val="28"/>
          <w:lang w:bidi="en-US"/>
        </w:rPr>
      </w:pPr>
      <w:r>
        <w:rPr>
          <w:rFonts w:hint="eastAsia" w:ascii="仿宋" w:hAnsi="仿宋" w:eastAsia="仿宋" w:cs="仿宋"/>
          <w:sz w:val="28"/>
          <w:szCs w:val="28"/>
        </w:rPr>
        <w:t>忻州市人民政府于2022年1月7日印发了《太忻大道项目建设实施方案》（忻政办【2022】3号），根据实施方案，太忻大道（忻州城区-石岭关）</w:t>
      </w:r>
      <w:r>
        <w:rPr>
          <w:rFonts w:hint="eastAsia" w:ascii="仿宋" w:hAnsi="仿宋" w:eastAsia="仿宋" w:cs="仿宋"/>
          <w:sz w:val="28"/>
          <w:szCs w:val="28"/>
          <w:lang w:bidi="en-US"/>
        </w:rPr>
        <w:t>采用EPC模式建设，资金来源为：政府专项债券+上级补助资金+地方政府自筹。具体实施步骤如下：</w:t>
      </w:r>
    </w:p>
    <w:p>
      <w:pPr>
        <w:adjustRightInd w:val="0"/>
        <w:spacing w:line="560" w:lineRule="exact"/>
        <w:ind w:firstLine="560" w:firstLineChars="200"/>
        <w:rPr>
          <w:rFonts w:ascii="仿宋" w:hAnsi="仿宋" w:eastAsia="仿宋" w:cs="仿宋"/>
          <w:sz w:val="28"/>
          <w:szCs w:val="28"/>
          <w:lang w:bidi="en-US"/>
        </w:rPr>
      </w:pPr>
      <w:r>
        <w:rPr>
          <w:rFonts w:hint="eastAsia" w:ascii="仿宋" w:hAnsi="仿宋" w:eastAsia="仿宋" w:cs="仿宋"/>
          <w:sz w:val="28"/>
          <w:szCs w:val="28"/>
          <w:lang w:bidi="en-US"/>
        </w:rPr>
        <w:t>以与太忻大道（太原段）同步通车为目标，严格按照建设程序周期，进一步压实工期，倒排时间节点，按照以下时间节点推进：</w:t>
      </w:r>
    </w:p>
    <w:p>
      <w:pPr>
        <w:adjustRightInd w:val="0"/>
        <w:spacing w:line="560" w:lineRule="exact"/>
        <w:ind w:firstLine="560" w:firstLineChars="200"/>
        <w:rPr>
          <w:rFonts w:ascii="仿宋" w:hAnsi="仿宋" w:eastAsia="仿宋" w:cs="仿宋"/>
          <w:sz w:val="28"/>
          <w:szCs w:val="28"/>
          <w:lang w:bidi="en-US"/>
        </w:rPr>
      </w:pPr>
      <w:r>
        <w:rPr>
          <w:rFonts w:hint="eastAsia" w:ascii="仿宋" w:hAnsi="仿宋" w:eastAsia="仿宋" w:cs="仿宋"/>
          <w:sz w:val="28"/>
          <w:szCs w:val="28"/>
          <w:lang w:bidi="en-US"/>
        </w:rPr>
        <w:t>2022年1月上旬，完成太忻大道工可批复；</w:t>
      </w:r>
    </w:p>
    <w:p>
      <w:pPr>
        <w:adjustRightInd w:val="0"/>
        <w:spacing w:line="560" w:lineRule="exact"/>
        <w:ind w:firstLine="560" w:firstLineChars="200"/>
        <w:rPr>
          <w:rFonts w:ascii="仿宋" w:hAnsi="仿宋" w:eastAsia="仿宋" w:cs="仿宋"/>
          <w:sz w:val="28"/>
          <w:szCs w:val="28"/>
          <w:lang w:bidi="en-US"/>
        </w:rPr>
      </w:pPr>
      <w:r>
        <w:rPr>
          <w:rFonts w:hint="eastAsia" w:ascii="仿宋" w:hAnsi="仿宋" w:eastAsia="仿宋" w:cs="仿宋"/>
          <w:sz w:val="28"/>
          <w:szCs w:val="28"/>
          <w:lang w:bidi="en-US"/>
        </w:rPr>
        <w:t>2月上旬，完成前期专项评价全过程咨询、初步勘察设计招标；</w:t>
      </w:r>
    </w:p>
    <w:p>
      <w:pPr>
        <w:adjustRightInd w:val="0"/>
        <w:spacing w:line="560" w:lineRule="exact"/>
        <w:ind w:firstLine="560" w:firstLineChars="200"/>
        <w:rPr>
          <w:rFonts w:ascii="仿宋" w:hAnsi="仿宋" w:eastAsia="仿宋" w:cs="仿宋"/>
          <w:sz w:val="28"/>
          <w:szCs w:val="28"/>
          <w:lang w:bidi="en-US"/>
        </w:rPr>
      </w:pPr>
      <w:r>
        <w:rPr>
          <w:rFonts w:hint="eastAsia" w:ascii="仿宋" w:hAnsi="仿宋" w:eastAsia="仿宋" w:cs="仿宋"/>
          <w:sz w:val="28"/>
          <w:szCs w:val="28"/>
          <w:lang w:bidi="en-US"/>
        </w:rPr>
        <w:t>2月下旬，完成专项咨询报告和初步设计批复；</w:t>
      </w:r>
    </w:p>
    <w:p>
      <w:pPr>
        <w:adjustRightInd w:val="0"/>
        <w:spacing w:line="560" w:lineRule="exact"/>
        <w:ind w:firstLine="560" w:firstLineChars="200"/>
        <w:rPr>
          <w:rFonts w:ascii="仿宋" w:hAnsi="仿宋" w:eastAsia="仿宋" w:cs="仿宋"/>
          <w:sz w:val="28"/>
          <w:szCs w:val="28"/>
          <w:lang w:bidi="en-US"/>
        </w:rPr>
      </w:pPr>
      <w:r>
        <w:rPr>
          <w:rFonts w:hint="eastAsia" w:ascii="仿宋" w:hAnsi="仿宋" w:eastAsia="仿宋" w:cs="仿宋"/>
          <w:sz w:val="28"/>
          <w:szCs w:val="28"/>
          <w:lang w:bidi="en-US"/>
        </w:rPr>
        <w:t>2月下旬，组织项目EPC招标；</w:t>
      </w:r>
    </w:p>
    <w:p>
      <w:pPr>
        <w:adjustRightInd w:val="0"/>
        <w:spacing w:line="560" w:lineRule="exact"/>
        <w:ind w:firstLine="560" w:firstLineChars="200"/>
        <w:rPr>
          <w:rFonts w:ascii="仿宋" w:hAnsi="仿宋" w:eastAsia="仿宋" w:cs="仿宋"/>
          <w:sz w:val="28"/>
          <w:szCs w:val="28"/>
          <w:lang w:bidi="en-US"/>
        </w:rPr>
      </w:pPr>
      <w:r>
        <w:rPr>
          <w:rFonts w:hint="eastAsia" w:ascii="仿宋" w:hAnsi="仿宋" w:eastAsia="仿宋" w:cs="仿宋"/>
          <w:sz w:val="28"/>
          <w:szCs w:val="28"/>
          <w:lang w:bidi="en-US"/>
        </w:rPr>
        <w:t>3月中旬，完成用地批复和EPC招标；</w:t>
      </w:r>
    </w:p>
    <w:p>
      <w:pPr>
        <w:adjustRightInd w:val="0"/>
        <w:spacing w:line="560" w:lineRule="exact"/>
        <w:ind w:firstLine="560" w:firstLineChars="200"/>
        <w:rPr>
          <w:rFonts w:ascii="仿宋" w:hAnsi="仿宋" w:eastAsia="仿宋" w:cs="仿宋"/>
          <w:sz w:val="28"/>
          <w:szCs w:val="28"/>
          <w:lang w:bidi="en-US"/>
        </w:rPr>
      </w:pPr>
      <w:r>
        <w:rPr>
          <w:rFonts w:hint="eastAsia" w:ascii="仿宋" w:hAnsi="仿宋" w:eastAsia="仿宋" w:cs="仿宋"/>
          <w:sz w:val="28"/>
          <w:szCs w:val="28"/>
          <w:lang w:bidi="en-US"/>
        </w:rPr>
        <w:t>3月下旬，开工建设。</w:t>
      </w:r>
    </w:p>
    <w:p>
      <w:pPr>
        <w:adjustRightIn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lang w:bidi="en-US"/>
        </w:rPr>
        <w:t>同时，对上跨环城高速桥、上跨G55二广高速桥、南北通道菱形立交桥、徐凹村菱形立交桥4个控制性工程，先行谋划推进。</w:t>
      </w:r>
    </w:p>
    <w:p>
      <w:pPr>
        <w:pStyle w:val="3"/>
        <w:numPr>
          <w:ilvl w:val="0"/>
          <w:numId w:val="7"/>
        </w:numPr>
        <w:adjustRightInd w:val="0"/>
        <w:spacing w:line="560" w:lineRule="exact"/>
        <w:ind w:left="0" w:leftChars="0" w:firstLine="562" w:firstLineChars="200"/>
        <w:rPr>
          <w:rFonts w:ascii="仿宋" w:hAnsi="仿宋" w:eastAsia="仿宋" w:cs="仿宋"/>
          <w:b/>
          <w:bCs/>
          <w:sz w:val="28"/>
          <w:szCs w:val="28"/>
        </w:rPr>
      </w:pPr>
      <w:r>
        <w:rPr>
          <w:rFonts w:hint="eastAsia" w:ascii="仿宋" w:hAnsi="仿宋" w:eastAsia="仿宋" w:cs="仿宋"/>
          <w:b/>
          <w:bCs/>
          <w:sz w:val="28"/>
          <w:szCs w:val="28"/>
        </w:rPr>
        <w:t>总体结论</w:t>
      </w:r>
    </w:p>
    <w:p>
      <w:pPr>
        <w:pStyle w:val="3"/>
        <w:adjustRightInd w:val="0"/>
        <w:spacing w:line="56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通过科学的项目事前绩效评估，本项目绩效评价等级为良好的项目，其在项目立项程序上依据充分，有客观实际的绩效目标；在项目管理上，有较为健全的业务管理及财务管理制度并且能够有效的执行及监控。</w:t>
      </w:r>
    </w:p>
    <w:p>
      <w:pPr>
        <w:adjustRightIn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综上，本项目绩效评价结论等级为“建议予以支持”。</w:t>
      </w:r>
    </w:p>
    <w:p>
      <w:pPr>
        <w:adjustRightInd w:val="0"/>
        <w:spacing w:line="560" w:lineRule="exact"/>
        <w:ind w:firstLine="562" w:firstLineChars="200"/>
        <w:rPr>
          <w:rFonts w:ascii="黑体" w:hAnsi="黑体" w:eastAsia="黑体" w:cs="黑体"/>
          <w:b/>
          <w:bCs/>
          <w:sz w:val="28"/>
          <w:szCs w:val="28"/>
        </w:rPr>
      </w:pPr>
      <w:r>
        <w:rPr>
          <w:rFonts w:hint="eastAsia" w:ascii="黑体" w:hAnsi="黑体" w:eastAsia="黑体" w:cs="黑体"/>
          <w:b/>
          <w:bCs/>
          <w:sz w:val="28"/>
          <w:szCs w:val="28"/>
        </w:rPr>
        <w:t>四、主要经验及做法、存在问题和建议</w:t>
      </w:r>
    </w:p>
    <w:p>
      <w:pPr>
        <w:adjustRightIn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太忻大道（忻州城区-石岭关）建设项目总用地1470亩，其中耕地约789亩，其余681亩为非耕地。789亩耕地中涉及基本农田约703亩，剩余86亩为非基本农田。由于涉及基本农田数量较大，希望有关部门尽快协调解决。</w:t>
      </w:r>
    </w:p>
    <w:p>
      <w:pPr>
        <w:pStyle w:val="2"/>
        <w:adjustRightInd w:val="0"/>
        <w:spacing w:line="360" w:lineRule="auto"/>
        <w:ind w:firstLine="1120" w:firstLineChars="400"/>
        <w:rPr>
          <w:rFonts w:ascii="仿宋" w:hAnsi="仿宋" w:eastAsia="仿宋" w:cs="仿宋"/>
          <w:sz w:val="28"/>
          <w:szCs w:val="28"/>
          <w:lang w:eastAsia="zh-CN" w:bidi="ar-SA"/>
        </w:rPr>
      </w:pPr>
    </w:p>
    <w:p>
      <w:pPr>
        <w:pStyle w:val="2"/>
        <w:adjustRightInd w:val="0"/>
        <w:spacing w:line="360" w:lineRule="auto"/>
        <w:ind w:firstLine="5320" w:firstLineChars="1900"/>
        <w:rPr>
          <w:rFonts w:ascii="仿宋" w:hAnsi="仿宋" w:eastAsia="仿宋" w:cs="仿宋"/>
          <w:sz w:val="28"/>
          <w:szCs w:val="28"/>
          <w:lang w:eastAsia="zh-CN" w:bidi="ar-SA"/>
        </w:rPr>
      </w:pPr>
      <w:r>
        <w:rPr>
          <w:rFonts w:hint="eastAsia" w:ascii="仿宋" w:hAnsi="仿宋" w:eastAsia="仿宋" w:cs="仿宋"/>
          <w:sz w:val="28"/>
          <w:szCs w:val="28"/>
          <w:lang w:eastAsia="zh-CN" w:bidi="ar-SA"/>
        </w:rPr>
        <w:t>忻州市交通运输局</w:t>
      </w:r>
    </w:p>
    <w:p>
      <w:pPr>
        <w:pStyle w:val="3"/>
        <w:adjustRightInd w:val="0"/>
        <w:spacing w:line="360" w:lineRule="auto"/>
        <w:ind w:firstLine="3640" w:firstLineChars="1300"/>
        <w:rPr>
          <w:rFonts w:ascii="仿宋" w:hAnsi="仿宋" w:eastAsia="仿宋" w:cs="仿宋"/>
          <w:sz w:val="28"/>
          <w:szCs w:val="28"/>
        </w:rPr>
      </w:pPr>
      <w:bookmarkStart w:id="18" w:name="_GoBack"/>
      <w:bookmarkEnd w:id="18"/>
      <w:r>
        <w:rPr>
          <w:rFonts w:hint="eastAsia" w:ascii="仿宋" w:hAnsi="仿宋" w:eastAsia="仿宋" w:cs="仿宋"/>
          <w:sz w:val="28"/>
          <w:szCs w:val="28"/>
        </w:rPr>
        <w:t>202</w:t>
      </w:r>
      <w:r>
        <w:rPr>
          <w:rFonts w:hint="eastAsia" w:ascii="仿宋" w:hAnsi="仿宋" w:eastAsia="仿宋" w:cs="仿宋"/>
          <w:sz w:val="28"/>
          <w:szCs w:val="28"/>
          <w:lang w:val="en-US" w:eastAsia="zh-CN"/>
        </w:rPr>
        <w:t>3</w:t>
      </w:r>
      <w:r>
        <w:rPr>
          <w:rFonts w:hint="eastAsia" w:ascii="仿宋" w:hAnsi="仿宋" w:eastAsia="仿宋" w:cs="仿宋"/>
          <w:sz w:val="28"/>
          <w:szCs w:val="28"/>
        </w:rPr>
        <w:t>年</w:t>
      </w:r>
      <w:r>
        <w:rPr>
          <w:rFonts w:hint="eastAsia" w:ascii="仿宋" w:hAnsi="仿宋" w:eastAsia="仿宋" w:cs="仿宋"/>
          <w:sz w:val="28"/>
          <w:szCs w:val="28"/>
          <w:lang w:val="en-US" w:eastAsia="zh-CN"/>
        </w:rPr>
        <w:t>3</w:t>
      </w:r>
      <w:r>
        <w:rPr>
          <w:rFonts w:hint="eastAsia" w:ascii="仿宋" w:hAnsi="仿宋" w:eastAsia="仿宋" w:cs="仿宋"/>
          <w:sz w:val="28"/>
          <w:szCs w:val="28"/>
        </w:rPr>
        <w:t>月15日</w:t>
      </w:r>
    </w:p>
    <w:p>
      <w:pPr>
        <w:ind w:firstLine="560" w:firstLineChars="200"/>
        <w:rPr>
          <w:rFonts w:ascii="仿宋" w:hAnsi="仿宋" w:eastAsia="仿宋" w:cs="仿宋"/>
          <w:sz w:val="28"/>
          <w:szCs w:val="28"/>
        </w:rPr>
      </w:pPr>
    </w:p>
    <w:p>
      <w:pPr>
        <w:pStyle w:val="3"/>
        <w:rPr>
          <w:rFonts w:ascii="仿宋" w:hAnsi="仿宋" w:eastAsia="仿宋" w:cs="仿宋"/>
          <w:sz w:val="28"/>
          <w:szCs w:val="28"/>
        </w:rPr>
      </w:pPr>
    </w:p>
    <w:p>
      <w:pPr>
        <w:ind w:firstLine="422" w:firstLineChars="150"/>
        <w:rPr>
          <w:rFonts w:ascii="仿宋" w:hAnsi="仿宋" w:eastAsia="仿宋" w:cs="仿宋"/>
          <w:b/>
          <w:bCs/>
          <w:sz w:val="28"/>
          <w:szCs w:val="28"/>
        </w:rPr>
      </w:pPr>
    </w:p>
    <w:p>
      <w:pPr>
        <w:rPr>
          <w:rFonts w:ascii="仿宋" w:hAnsi="仿宋" w:eastAsia="仿宋" w:cs="仿宋"/>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4DF870"/>
    <w:multiLevelType w:val="singleLevel"/>
    <w:tmpl w:val="844DF870"/>
    <w:lvl w:ilvl="0" w:tentative="0">
      <w:start w:val="1"/>
      <w:numFmt w:val="chineseCounting"/>
      <w:suff w:val="nothing"/>
      <w:lvlText w:val="（%1）"/>
      <w:lvlJc w:val="left"/>
      <w:rPr>
        <w:rFonts w:hint="eastAsia"/>
      </w:rPr>
    </w:lvl>
  </w:abstractNum>
  <w:abstractNum w:abstractNumId="1">
    <w:nsid w:val="C4571313"/>
    <w:multiLevelType w:val="singleLevel"/>
    <w:tmpl w:val="C4571313"/>
    <w:lvl w:ilvl="0" w:tentative="0">
      <w:start w:val="2"/>
      <w:numFmt w:val="decimal"/>
      <w:suff w:val="nothing"/>
      <w:lvlText w:val="（%1）"/>
      <w:lvlJc w:val="left"/>
    </w:lvl>
  </w:abstractNum>
  <w:abstractNum w:abstractNumId="2">
    <w:nsid w:val="00000006"/>
    <w:multiLevelType w:val="multilevel"/>
    <w:tmpl w:val="00000006"/>
    <w:lvl w:ilvl="0" w:tentative="0">
      <w:start w:val="1"/>
      <w:numFmt w:val="chineseCountingThousand"/>
      <w:lvlText w:val="(%1)"/>
      <w:lvlJc w:val="left"/>
    </w:lvl>
    <w:lvl w:ilvl="1" w:tentative="0">
      <w:start w:val="1"/>
      <w:numFmt w:val="decimal"/>
      <w:suff w:val="nothing"/>
      <w:lvlText w:val="（%1）"/>
      <w:lvlJc w:val="left"/>
    </w:lvl>
    <w:lvl w:ilvl="2" w:tentative="0">
      <w:start w:val="1"/>
      <w:numFmt w:val="decimal"/>
      <w:suff w:val="nothing"/>
      <w:lvlText w:val="（%1）"/>
      <w:lvlJc w:val="left"/>
    </w:lvl>
    <w:lvl w:ilvl="3" w:tentative="0">
      <w:start w:val="1"/>
      <w:numFmt w:val="decimal"/>
      <w:suff w:val="nothing"/>
      <w:lvlText w:val="（%1）"/>
      <w:lvlJc w:val="left"/>
    </w:lvl>
    <w:lvl w:ilvl="4" w:tentative="0">
      <w:start w:val="1"/>
      <w:numFmt w:val="decimal"/>
      <w:suff w:val="nothing"/>
      <w:lvlText w:val="（%1）"/>
      <w:lvlJc w:val="left"/>
    </w:lvl>
    <w:lvl w:ilvl="5" w:tentative="0">
      <w:start w:val="1"/>
      <w:numFmt w:val="decimal"/>
      <w:suff w:val="nothing"/>
      <w:lvlText w:val="（%1）"/>
      <w:lvlJc w:val="left"/>
    </w:lvl>
    <w:lvl w:ilvl="6" w:tentative="0">
      <w:start w:val="1"/>
      <w:numFmt w:val="decimal"/>
      <w:suff w:val="nothing"/>
      <w:lvlText w:val="（%1）"/>
      <w:lvlJc w:val="left"/>
    </w:lvl>
    <w:lvl w:ilvl="7" w:tentative="0">
      <w:start w:val="1"/>
      <w:numFmt w:val="decimal"/>
      <w:suff w:val="nothing"/>
      <w:lvlText w:val="（%1）"/>
      <w:lvlJc w:val="left"/>
    </w:lvl>
    <w:lvl w:ilvl="8" w:tentative="0">
      <w:start w:val="1"/>
      <w:numFmt w:val="decimal"/>
      <w:suff w:val="nothing"/>
      <w:lvlText w:val="（%1）"/>
      <w:lvlJc w:val="left"/>
    </w:lvl>
  </w:abstractNum>
  <w:abstractNum w:abstractNumId="3">
    <w:nsid w:val="0BC37B51"/>
    <w:multiLevelType w:val="singleLevel"/>
    <w:tmpl w:val="0BC37B51"/>
    <w:lvl w:ilvl="0" w:tentative="0">
      <w:start w:val="1"/>
      <w:numFmt w:val="chineseCounting"/>
      <w:suff w:val="nothing"/>
      <w:lvlText w:val="（%1）"/>
      <w:lvlJc w:val="left"/>
      <w:pPr>
        <w:ind w:left="420"/>
      </w:pPr>
      <w:rPr>
        <w:rFonts w:hint="eastAsia"/>
      </w:rPr>
    </w:lvl>
  </w:abstractNum>
  <w:abstractNum w:abstractNumId="4">
    <w:nsid w:val="5064F8A4"/>
    <w:multiLevelType w:val="singleLevel"/>
    <w:tmpl w:val="5064F8A4"/>
    <w:lvl w:ilvl="0" w:tentative="0">
      <w:start w:val="1"/>
      <w:numFmt w:val="decimal"/>
      <w:suff w:val="nothing"/>
      <w:lvlText w:val="%1、"/>
      <w:lvlJc w:val="left"/>
    </w:lvl>
  </w:abstractNum>
  <w:abstractNum w:abstractNumId="5">
    <w:nsid w:val="5A58D398"/>
    <w:multiLevelType w:val="singleLevel"/>
    <w:tmpl w:val="5A58D398"/>
    <w:lvl w:ilvl="0" w:tentative="0">
      <w:start w:val="3"/>
      <w:numFmt w:val="chineseCounting"/>
      <w:suff w:val="nothing"/>
      <w:lvlText w:val="%1、"/>
      <w:lvlJc w:val="left"/>
      <w:rPr>
        <w:rFonts w:hint="eastAsia"/>
      </w:rPr>
    </w:lvl>
  </w:abstractNum>
  <w:abstractNum w:abstractNumId="6">
    <w:nsid w:val="78595008"/>
    <w:multiLevelType w:val="singleLevel"/>
    <w:tmpl w:val="78595008"/>
    <w:lvl w:ilvl="0" w:tentative="0">
      <w:start w:val="1"/>
      <w:numFmt w:val="chineseCounting"/>
      <w:suff w:val="nothing"/>
      <w:lvlText w:val="%1、"/>
      <w:lvlJc w:val="left"/>
      <w:pPr>
        <w:ind w:left="-221"/>
      </w:pPr>
      <w:rPr>
        <w:rFonts w:hint="eastAsia"/>
      </w:rPr>
    </w:lvl>
  </w:abstractNum>
  <w:num w:numId="1">
    <w:abstractNumId w:val="6"/>
  </w:num>
  <w:num w:numId="2">
    <w:abstractNumId w:val="3"/>
  </w:num>
  <w:num w:numId="3">
    <w:abstractNumId w:val="4"/>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4420D"/>
    <w:rsid w:val="00277FE6"/>
    <w:rsid w:val="00646716"/>
    <w:rsid w:val="006F20F4"/>
    <w:rsid w:val="00777643"/>
    <w:rsid w:val="008A32AF"/>
    <w:rsid w:val="00A4420D"/>
    <w:rsid w:val="00AA3403"/>
    <w:rsid w:val="0221090A"/>
    <w:rsid w:val="06E64FA1"/>
    <w:rsid w:val="0D3A63F7"/>
    <w:rsid w:val="0E4C7314"/>
    <w:rsid w:val="0F046751"/>
    <w:rsid w:val="14B52807"/>
    <w:rsid w:val="15C076B6"/>
    <w:rsid w:val="19B57B9A"/>
    <w:rsid w:val="1D7951C1"/>
    <w:rsid w:val="205B16EF"/>
    <w:rsid w:val="247E76DD"/>
    <w:rsid w:val="29075330"/>
    <w:rsid w:val="2A7778D7"/>
    <w:rsid w:val="2C0705D5"/>
    <w:rsid w:val="35E16674"/>
    <w:rsid w:val="35EF0255"/>
    <w:rsid w:val="3B211E60"/>
    <w:rsid w:val="3D6815CC"/>
    <w:rsid w:val="3E371C8E"/>
    <w:rsid w:val="42601716"/>
    <w:rsid w:val="49143E2E"/>
    <w:rsid w:val="4AF55860"/>
    <w:rsid w:val="4C855EDF"/>
    <w:rsid w:val="5495703C"/>
    <w:rsid w:val="596F4B80"/>
    <w:rsid w:val="5A26027B"/>
    <w:rsid w:val="6DAD7FDD"/>
    <w:rsid w:val="6F653D83"/>
    <w:rsid w:val="71467F79"/>
    <w:rsid w:val="78110443"/>
    <w:rsid w:val="7A70394F"/>
    <w:rsid w:val="7C8D66C7"/>
    <w:rsid w:val="7F01075C"/>
    <w:rsid w:val="7FC963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unhideWhenUsed/>
    <w:qFormat/>
    <w:uiPriority w:val="0"/>
    <w:pPr>
      <w:keepNext/>
      <w:keepLines/>
      <w:outlineLvl w:val="1"/>
    </w:pPr>
    <w:rPr>
      <w:rFonts w:ascii="Arial" w:hAnsi="Arial" w:eastAsia="黑体"/>
      <w:b/>
      <w:sz w:val="32"/>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宋体" w:hAnsi="宋体" w:eastAsia="宋体" w:cs="宋体"/>
      <w:sz w:val="22"/>
      <w:szCs w:val="22"/>
      <w:lang w:eastAsia="en-US" w:bidi="en-US"/>
    </w:rPr>
  </w:style>
  <w:style w:type="paragraph" w:styleId="3">
    <w:name w:val="toc 5"/>
    <w:basedOn w:val="1"/>
    <w:next w:val="1"/>
    <w:qFormat/>
    <w:uiPriority w:val="0"/>
    <w:pPr>
      <w:ind w:left="1680" w:leftChars="8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qFormat/>
    <w:uiPriority w:val="39"/>
    <w:pPr>
      <w:tabs>
        <w:tab w:val="left" w:pos="426"/>
        <w:tab w:val="right" w:leader="dot" w:pos="9030"/>
      </w:tabs>
      <w:spacing w:line="360" w:lineRule="auto"/>
      <w:ind w:firstLine="480" w:firstLineChars="200"/>
      <w:jc w:val="left"/>
    </w:pPr>
    <w:rPr>
      <w:rFonts w:ascii="宋体" w:hAnsi="宋体"/>
      <w:sz w:val="24"/>
      <w:lang w:val="el-G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558</Words>
  <Characters>3187</Characters>
  <Lines>26</Lines>
  <Paragraphs>7</Paragraphs>
  <TotalTime>17</TotalTime>
  <ScaleCrop>false</ScaleCrop>
  <LinksUpToDate>false</LinksUpToDate>
  <CharactersWithSpaces>3738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2022-02-16T03:26:00Z</dcterms:created>
  <dc:creator>财务科</dc:creator>
  <cp:lastModifiedBy>dell</cp:lastModifiedBy>
  <cp:lastPrinted>2023-05-04T09:53:11Z</cp:lastPrinted>
  <dcterms:modified xsi:type="dcterms:W3CDTF">2023-05-04T09:56:30Z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ICV">
    <vt:lpwstr>8BDFA366BBD04B84BB966AEE6C3BE97D</vt:lpwstr>
  </property>
</Properties>
</file>