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5"/>
        <w:snapToGrid w:val="0"/>
        <w:rPr>
          <w:rFonts w:hint="eastAsia" w:ascii="Times New Roman" w:hAnsi="Times New Roman" w:cs="Times New Roman"/>
          <w:sz w:val="48"/>
        </w:rPr>
      </w:pPr>
    </w:p>
    <w:p>
      <w:pPr>
        <w:pStyle w:val="15"/>
        <w:wordWrap w:val="0"/>
        <w:snapToGrid w:val="0"/>
        <w:rPr>
          <w:rFonts w:ascii="Times New Roman" w:hAnsi="Times New Roman" w:cs="Times New Roman"/>
          <w:sz w:val="48"/>
        </w:rPr>
      </w:pPr>
    </w:p>
    <w:p>
      <w:pPr>
        <w:pStyle w:val="15"/>
        <w:wordWrap w:val="0"/>
        <w:snapToGrid w:val="0"/>
        <w:rPr>
          <w:rFonts w:ascii="Times New Roman" w:hAnsi="Times New Roman" w:cs="Times New Roman"/>
          <w:sz w:val="48"/>
        </w:rPr>
      </w:pPr>
    </w:p>
    <w:p>
      <w:pPr>
        <w:pStyle w:val="15"/>
        <w:wordWrap w:val="0"/>
        <w:snapToGrid w:val="0"/>
        <w:rPr>
          <w:rFonts w:ascii="Times New Roman" w:hAnsi="Times New Roman" w:cs="Times New Roman"/>
          <w:sz w:val="48"/>
        </w:rPr>
      </w:pPr>
    </w:p>
    <w:p>
      <w:pPr>
        <w:pStyle w:val="15"/>
        <w:wordWrap w:val="0"/>
        <w:snapToGrid w:val="0"/>
        <w:spacing w:line="360" w:lineRule="auto"/>
        <w:rPr>
          <w:rFonts w:ascii="Times New Roman" w:hAnsi="Times New Roman" w:cs="Times New Roman"/>
          <w:sz w:val="48"/>
        </w:rPr>
      </w:pPr>
    </w:p>
    <w:p>
      <w:pPr>
        <w:pStyle w:val="15"/>
        <w:snapToGrid w:val="0"/>
        <w:spacing w:line="480" w:lineRule="auto"/>
        <w:jc w:val="center"/>
        <w:rPr>
          <w:rFonts w:ascii="Times New Roman" w:hAnsi="Times New Roman" w:eastAsia="黑体" w:cs="Times New Roman"/>
          <w:b/>
          <w:sz w:val="48"/>
        </w:rPr>
      </w:pPr>
      <w:r>
        <w:rPr>
          <w:rFonts w:ascii="Times New Roman" w:hAnsi="Times New Roman" w:eastAsia="黑体" w:cs="Times New Roman"/>
          <w:b/>
          <w:sz w:val="48"/>
        </w:rPr>
        <w:t>风电场工程建设项目环境影响报告表</w:t>
      </w:r>
    </w:p>
    <w:p>
      <w:pPr>
        <w:pStyle w:val="15"/>
        <w:snapToGrid w:val="0"/>
        <w:spacing w:line="480" w:lineRule="auto"/>
        <w:jc w:val="center"/>
        <w:rPr>
          <w:rFonts w:ascii="Times New Roman" w:hAnsi="Times New Roman" w:cs="Times New Roman"/>
          <w:b/>
          <w:sz w:val="36"/>
          <w:szCs w:val="36"/>
        </w:rPr>
      </w:pPr>
      <w:r>
        <w:rPr>
          <w:rFonts w:hint="eastAsia" w:ascii="Times New Roman" w:hAnsi="Times New Roman" w:cs="Times New Roman"/>
          <w:b/>
          <w:sz w:val="36"/>
          <w:szCs w:val="36"/>
        </w:rPr>
        <w:t>（公示本）</w:t>
      </w: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rPr>
      </w:pPr>
    </w:p>
    <w:p>
      <w:pPr>
        <w:pStyle w:val="15"/>
        <w:snapToGrid w:val="0"/>
        <w:spacing w:line="600" w:lineRule="auto"/>
        <w:jc w:val="center"/>
        <w:rPr>
          <w:rFonts w:ascii="Times New Roman" w:hAnsi="Times New Roman" w:cs="Times New Roman"/>
          <w:b/>
        </w:rPr>
      </w:pPr>
    </w:p>
    <w:p>
      <w:pPr>
        <w:pStyle w:val="15"/>
        <w:wordWrap w:val="0"/>
        <w:snapToGrid w:val="0"/>
        <w:spacing w:line="600" w:lineRule="auto"/>
        <w:ind w:left="1494" w:hanging="1494" w:hangingChars="496"/>
        <w:jc w:val="center"/>
        <w:rPr>
          <w:rFonts w:hAnsi="宋体" w:cs="Times New Roman"/>
          <w:b/>
          <w:spacing w:val="-8"/>
          <w:sz w:val="30"/>
          <w:szCs w:val="30"/>
          <w:u w:val="single"/>
        </w:rPr>
      </w:pPr>
      <w:r>
        <w:rPr>
          <w:rFonts w:hAnsi="宋体" w:cs="Times New Roman"/>
          <w:b/>
          <w:sz w:val="30"/>
          <w:szCs w:val="30"/>
        </w:rPr>
        <w:t>项目名称</w:t>
      </w:r>
      <w:r>
        <w:rPr>
          <w:rFonts w:hint="eastAsia" w:hAnsi="宋体" w:cs="Times New Roman"/>
          <w:b/>
          <w:sz w:val="30"/>
          <w:szCs w:val="30"/>
        </w:rPr>
        <w:t>：</w:t>
      </w:r>
      <w:r>
        <w:rPr>
          <w:rFonts w:hint="eastAsia" w:hAnsi="宋体" w:cs="Times New Roman"/>
          <w:b/>
          <w:sz w:val="30"/>
          <w:szCs w:val="30"/>
          <w:u w:val="single"/>
        </w:rPr>
        <w:t xml:space="preserve"> 太原重工股份有限公司</w:t>
      </w:r>
      <w:r>
        <w:rPr>
          <w:rFonts w:hint="eastAsia" w:hAnsi="宋体" w:cs="Times New Roman"/>
          <w:b/>
          <w:spacing w:val="-8"/>
          <w:sz w:val="30"/>
          <w:szCs w:val="30"/>
          <w:u w:val="single"/>
        </w:rPr>
        <w:t>岢岚6MW分散式风电项目</w:t>
      </w:r>
    </w:p>
    <w:p>
      <w:pPr>
        <w:pStyle w:val="15"/>
        <w:wordWrap w:val="0"/>
        <w:snapToGrid w:val="0"/>
        <w:spacing w:line="600" w:lineRule="auto"/>
        <w:ind w:firstLine="148" w:firstLineChars="49"/>
        <w:rPr>
          <w:rFonts w:hAnsi="宋体" w:cs="Times New Roman"/>
          <w:b/>
          <w:sz w:val="30"/>
          <w:szCs w:val="30"/>
          <w:u w:val="single"/>
        </w:rPr>
      </w:pPr>
      <w:r>
        <w:rPr>
          <w:rFonts w:hint="eastAsia" w:hAnsi="宋体" w:cs="Times New Roman"/>
          <w:b/>
          <w:sz w:val="30"/>
          <w:szCs w:val="30"/>
        </w:rPr>
        <w:t>评价</w:t>
      </w:r>
      <w:r>
        <w:rPr>
          <w:rFonts w:hAnsi="宋体" w:cs="Times New Roman"/>
          <w:b/>
          <w:sz w:val="30"/>
          <w:szCs w:val="30"/>
        </w:rPr>
        <w:t>单位：</w:t>
      </w:r>
      <w:r>
        <w:rPr>
          <w:rFonts w:hint="eastAsia" w:hAnsi="宋体" w:cs="Times New Roman"/>
          <w:b/>
          <w:sz w:val="30"/>
          <w:szCs w:val="30"/>
          <w:u w:val="single"/>
        </w:rPr>
        <w:t xml:space="preserve">        </w:t>
      </w:r>
      <w:r>
        <w:rPr>
          <w:rFonts w:hint="eastAsia" w:hAnsi="宋体" w:cs="Times New Roman"/>
          <w:b/>
          <w:spacing w:val="-8"/>
          <w:sz w:val="30"/>
          <w:szCs w:val="30"/>
          <w:u w:val="single"/>
        </w:rPr>
        <w:t>山西高腾环境科技有限公司</w:t>
      </w:r>
    </w:p>
    <w:p>
      <w:pPr>
        <w:pStyle w:val="15"/>
        <w:wordWrap w:val="0"/>
        <w:snapToGrid w:val="0"/>
        <w:jc w:val="center"/>
        <w:rPr>
          <w:rFonts w:ascii="Times New Roman" w:hAnsi="Times New Roman" w:cs="Times New Roman"/>
          <w:sz w:val="30"/>
        </w:rPr>
      </w:pPr>
    </w:p>
    <w:p>
      <w:pPr>
        <w:pStyle w:val="15"/>
        <w:wordWrap w:val="0"/>
        <w:snapToGrid w:val="0"/>
        <w:jc w:val="center"/>
        <w:rPr>
          <w:rFonts w:ascii="Times New Roman" w:hAnsi="Times New Roman" w:cs="Times New Roman"/>
          <w:sz w:val="30"/>
        </w:rPr>
      </w:pPr>
    </w:p>
    <w:p>
      <w:pPr>
        <w:pStyle w:val="15"/>
        <w:wordWrap w:val="0"/>
        <w:snapToGrid w:val="0"/>
        <w:jc w:val="center"/>
        <w:rPr>
          <w:rFonts w:ascii="Times New Roman" w:hAnsi="Times New Roman" w:cs="Times New Roman"/>
          <w:sz w:val="30"/>
        </w:rPr>
      </w:pPr>
    </w:p>
    <w:p>
      <w:pPr>
        <w:pStyle w:val="15"/>
        <w:wordWrap w:val="0"/>
        <w:snapToGrid w:val="0"/>
        <w:jc w:val="center"/>
        <w:rPr>
          <w:rFonts w:ascii="Times New Roman" w:hAnsi="Times New Roman" w:cs="Times New Roman"/>
          <w:b/>
          <w:sz w:val="30"/>
        </w:rPr>
      </w:pPr>
      <w:r>
        <w:rPr>
          <w:rFonts w:ascii="Times New Roman" w:hAnsi="Times New Roman" w:cs="Times New Roman"/>
          <w:b/>
          <w:sz w:val="30"/>
        </w:rPr>
        <w:t xml:space="preserve">制编日期   </w:t>
      </w:r>
      <w:r>
        <w:rPr>
          <w:rFonts w:hint="eastAsia" w:ascii="Times New Roman" w:hAnsi="Times New Roman" w:cs="Times New Roman"/>
          <w:b/>
          <w:sz w:val="30"/>
        </w:rPr>
        <w:t>二〇一八</w:t>
      </w:r>
      <w:r>
        <w:rPr>
          <w:rFonts w:ascii="Times New Roman" w:hAnsi="Times New Roman" w:cs="Times New Roman"/>
          <w:b/>
          <w:sz w:val="30"/>
        </w:rPr>
        <w:t>年</w:t>
      </w:r>
      <w:r>
        <w:rPr>
          <w:rFonts w:hint="eastAsia" w:ascii="Times New Roman" w:hAnsi="Times New Roman" w:cs="Times New Roman"/>
          <w:b/>
          <w:sz w:val="30"/>
        </w:rPr>
        <w:t>十一</w:t>
      </w:r>
      <w:r>
        <w:rPr>
          <w:rFonts w:ascii="Times New Roman" w:hAnsi="Times New Roman" w:cs="Times New Roman"/>
          <w:b/>
          <w:sz w:val="30"/>
        </w:rPr>
        <w:t>月</w:t>
      </w:r>
    </w:p>
    <w:p>
      <w:pPr>
        <w:pStyle w:val="15"/>
        <w:wordWrap w:val="0"/>
        <w:snapToGrid w:val="0"/>
        <w:rPr>
          <w:rFonts w:ascii="Times New Roman" w:hAnsi="Times New Roman" w:cs="Times New Roman"/>
        </w:rPr>
      </w:pPr>
    </w:p>
    <w:p>
      <w:pPr>
        <w:pStyle w:val="15"/>
        <w:wordWrap w:val="0"/>
        <w:snapToGrid w:val="0"/>
        <w:rPr>
          <w:rFonts w:ascii="Times New Roman" w:hAnsi="Times New Roman" w:cs="Times New Roman"/>
          <w:sz w:val="48"/>
        </w:rPr>
        <w:sectPr>
          <w:pgSz w:w="11906" w:h="16838"/>
          <w:pgMar w:top="1440" w:right="1800" w:bottom="1440" w:left="1800" w:header="851" w:footer="992" w:gutter="0"/>
          <w:cols w:space="720" w:num="1"/>
          <w:docGrid w:type="lines" w:linePitch="312"/>
        </w:sectPr>
      </w:pPr>
    </w:p>
    <w:p>
      <w:pPr>
        <w:pStyle w:val="15"/>
        <w:wordWrap w:val="0"/>
        <w:snapToGrid w:val="0"/>
        <w:rPr>
          <w:rFonts w:ascii="Times New Roman" w:hAnsi="Times New Roman" w:cs="Times New Roman"/>
          <w:sz w:val="48"/>
        </w:rPr>
      </w:pPr>
      <w:r>
        <w:rPr>
          <w:rFonts w:ascii="Times New Roman" w:hAnsi="Times New Roman" w:eastAsia="宋体" w:cs="Times New Roman"/>
          <w:kern w:val="2"/>
          <w:sz w:val="48"/>
          <w:szCs w:val="21"/>
          <w:lang w:val="en-US" w:eastAsia="zh-CN" w:bidi="ar-SA"/>
        </w:rPr>
        <w:pict>
          <v:shape id="图片框 1025" o:spid="_x0000_s1026" type="#_x0000_t75" style="height:586.65pt;width:415.1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ascii="Times New Roman" w:hAnsi="Times New Roman" w:eastAsia="宋体" w:cs="Times New Roman"/>
          <w:kern w:val="2"/>
          <w:sz w:val="48"/>
          <w:szCs w:val="21"/>
          <w:lang w:val="en-US" w:eastAsia="zh-CN" w:bidi="ar-SA"/>
        </w:rPr>
        <w:pict>
          <v:shape id="图片框 1026" o:spid="_x0000_s1027" type="#_x0000_t75" style="height:586.65pt;width:415.1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ascii="Times New Roman" w:hAnsi="Times New Roman" w:eastAsia="宋体" w:cs="Times New Roman"/>
          <w:kern w:val="2"/>
          <w:sz w:val="48"/>
          <w:szCs w:val="21"/>
          <w:lang w:val="en-US" w:eastAsia="zh-CN" w:bidi="ar-SA"/>
        </w:rPr>
        <w:pict>
          <v:shape id="图片框 1027" o:spid="_x0000_s1028" type="#_x0000_t75" style="height:586.65pt;width:415.1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jc w:val="center"/>
        <w:rPr>
          <w:sz w:val="28"/>
          <w:szCs w:val="28"/>
        </w:rPr>
      </w:pPr>
    </w:p>
    <w:p>
      <w:pPr>
        <w:widowControl/>
        <w:jc w:val="left"/>
        <w:rPr>
          <w:sz w:val="28"/>
          <w:szCs w:val="28"/>
        </w:rPr>
      </w:pPr>
      <w:r>
        <w:rPr>
          <w:sz w:val="28"/>
          <w:szCs w:val="28"/>
        </w:rPr>
        <w:br w:type="page"/>
      </w:r>
    </w:p>
    <w:p>
      <w:pPr>
        <w:widowControl/>
        <w:jc w:val="center"/>
        <w:rPr>
          <w:sz w:val="28"/>
          <w:szCs w:val="28"/>
        </w:rPr>
      </w:pPr>
      <w:r>
        <w:rPr>
          <w:rFonts w:hint="eastAsia"/>
          <w:sz w:val="28"/>
          <w:szCs w:val="28"/>
        </w:rPr>
        <w:t>《</w:t>
      </w:r>
      <w:r>
        <w:rPr>
          <w:sz w:val="28"/>
          <w:szCs w:val="28"/>
        </w:rPr>
        <w:t>建设项目环境影响报告表》编制说明</w:t>
      </w:r>
    </w:p>
    <w:p>
      <w:pPr>
        <w:wordWrap w:val="0"/>
        <w:rPr>
          <w:sz w:val="28"/>
          <w:szCs w:val="28"/>
        </w:rPr>
      </w:pPr>
      <w:r>
        <w:rPr>
          <w:rFonts w:hint="eastAsia"/>
          <w:sz w:val="28"/>
          <w:szCs w:val="28"/>
        </w:rPr>
        <w:t xml:space="preserve">    </w:t>
      </w:r>
      <w:r>
        <w:rPr>
          <w:sz w:val="28"/>
          <w:szCs w:val="28"/>
        </w:rPr>
        <w:t>《建设项目环境影响报告表》由具有从事环境影响评价工作资质的单位编制。</w:t>
      </w:r>
    </w:p>
    <w:p>
      <w:pPr>
        <w:wordWrap w:val="0"/>
        <w:rPr>
          <w:sz w:val="28"/>
          <w:szCs w:val="28"/>
        </w:rPr>
      </w:pPr>
      <w:r>
        <w:rPr>
          <w:rFonts w:hint="eastAsia"/>
          <w:sz w:val="28"/>
          <w:szCs w:val="28"/>
        </w:rPr>
        <w:t xml:space="preserve">    </w:t>
      </w:r>
      <w:r>
        <w:rPr>
          <w:sz w:val="28"/>
          <w:szCs w:val="28"/>
        </w:rPr>
        <w:t>1、项目名称——指项目立项批复时的名称，应不超过30个字(两个英文字段作一个汉字)</w:t>
      </w:r>
      <w:r>
        <w:rPr>
          <w:rFonts w:hint="eastAsia"/>
          <w:sz w:val="28"/>
          <w:szCs w:val="28"/>
        </w:rPr>
        <w:t>。</w:t>
      </w:r>
    </w:p>
    <w:p>
      <w:pPr>
        <w:wordWrap w:val="0"/>
        <w:rPr>
          <w:sz w:val="28"/>
          <w:szCs w:val="28"/>
        </w:rPr>
      </w:pPr>
      <w:r>
        <w:rPr>
          <w:rFonts w:hint="eastAsia"/>
          <w:sz w:val="28"/>
          <w:szCs w:val="28"/>
        </w:rPr>
        <w:t xml:space="preserve">    </w:t>
      </w:r>
      <w:r>
        <w:rPr>
          <w:sz w:val="28"/>
          <w:szCs w:val="28"/>
        </w:rPr>
        <w:t>2、建设地点——指项目所在地详细地址，公路、铁路应填写起止地点。</w:t>
      </w:r>
    </w:p>
    <w:p>
      <w:pPr>
        <w:wordWrap w:val="0"/>
        <w:rPr>
          <w:sz w:val="28"/>
          <w:szCs w:val="28"/>
        </w:rPr>
      </w:pPr>
      <w:r>
        <w:rPr>
          <w:rFonts w:hint="eastAsia"/>
          <w:sz w:val="28"/>
          <w:szCs w:val="28"/>
        </w:rPr>
        <w:t xml:space="preserve">    </w:t>
      </w:r>
      <w:r>
        <w:rPr>
          <w:sz w:val="28"/>
          <w:szCs w:val="28"/>
        </w:rPr>
        <w:t>3、行业类别——按国标填写。</w:t>
      </w:r>
    </w:p>
    <w:p>
      <w:pPr>
        <w:wordWrap w:val="0"/>
        <w:rPr>
          <w:sz w:val="28"/>
          <w:szCs w:val="28"/>
        </w:rPr>
      </w:pPr>
      <w:r>
        <w:rPr>
          <w:rFonts w:hint="eastAsia"/>
          <w:sz w:val="28"/>
          <w:szCs w:val="28"/>
        </w:rPr>
        <w:t xml:space="preserve">    </w:t>
      </w:r>
      <w:r>
        <w:rPr>
          <w:sz w:val="28"/>
          <w:szCs w:val="28"/>
        </w:rPr>
        <w:t>4、总投资——指项目投资总额。</w:t>
      </w:r>
    </w:p>
    <w:p>
      <w:pPr>
        <w:wordWrap w:val="0"/>
        <w:rPr>
          <w:sz w:val="28"/>
          <w:szCs w:val="28"/>
        </w:rPr>
      </w:pPr>
      <w:r>
        <w:rPr>
          <w:rFonts w:hint="eastAsia"/>
          <w:sz w:val="28"/>
          <w:szCs w:val="28"/>
        </w:rPr>
        <w:t xml:space="preserve">    </w:t>
      </w:r>
      <w:r>
        <w:rPr>
          <w:sz w:val="28"/>
          <w:szCs w:val="28"/>
        </w:rPr>
        <w:t>5、主要环境保护目标——指项目区周围一定范围内集中居民住宅区、学校、医院、保护文物、风景名胜区、水源地和生态敏感点等，应尽可能给出保护目标、性质、规模和距厂界距离等。</w:t>
      </w:r>
    </w:p>
    <w:p>
      <w:pPr>
        <w:wordWrap w:val="0"/>
        <w:rPr>
          <w:sz w:val="28"/>
          <w:szCs w:val="28"/>
        </w:rPr>
      </w:pPr>
      <w:r>
        <w:rPr>
          <w:rFonts w:hint="eastAsia"/>
          <w:sz w:val="28"/>
          <w:szCs w:val="28"/>
        </w:rPr>
        <w:t xml:space="preserve">    </w:t>
      </w:r>
      <w:r>
        <w:rPr>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wordWrap w:val="0"/>
        <w:rPr>
          <w:sz w:val="28"/>
          <w:szCs w:val="28"/>
        </w:rPr>
      </w:pPr>
      <w:r>
        <w:rPr>
          <w:rFonts w:hint="eastAsia"/>
          <w:sz w:val="28"/>
          <w:szCs w:val="28"/>
        </w:rPr>
        <w:t xml:space="preserve">    </w:t>
      </w:r>
      <w:r>
        <w:rPr>
          <w:sz w:val="28"/>
          <w:szCs w:val="28"/>
        </w:rPr>
        <w:t xml:space="preserve">7、预审意见——由行业主管部门填写答复意见，无主管部门项目，可不填。 </w:t>
      </w:r>
    </w:p>
    <w:p>
      <w:pPr>
        <w:wordWrap w:val="0"/>
        <w:ind w:firstLine="560"/>
        <w:rPr>
          <w:sz w:val="28"/>
          <w:szCs w:val="28"/>
        </w:rPr>
      </w:pPr>
      <w:r>
        <w:rPr>
          <w:sz w:val="28"/>
          <w:szCs w:val="28"/>
        </w:rPr>
        <w:t>8、审批意见——由负责审批该项目的环境保护行政主管部门批复。</w:t>
      </w:r>
    </w:p>
    <w:p>
      <w:pPr>
        <w:wordWrap w:val="0"/>
        <w:ind w:firstLine="560"/>
        <w:rPr>
          <w:sz w:val="28"/>
          <w:szCs w:val="28"/>
        </w:rPr>
      </w:pPr>
    </w:p>
    <w:p>
      <w:pPr>
        <w:ind w:firstLine="560"/>
        <w:jc w:val="center"/>
        <w:rPr>
          <w:rFonts w:hint="eastAsia" w:cs="黑?"/>
          <w:kern w:val="0"/>
          <w:sz w:val="30"/>
          <w:szCs w:val="30"/>
        </w:rPr>
      </w:pPr>
    </w:p>
    <w:p>
      <w:pPr>
        <w:ind w:firstLine="560"/>
        <w:jc w:val="center"/>
        <w:rPr>
          <w:rFonts w:cs="黑?"/>
          <w:kern w:val="0"/>
          <w:sz w:val="30"/>
          <w:szCs w:val="30"/>
        </w:rPr>
      </w:pPr>
      <w:r>
        <w:rPr>
          <w:rFonts w:cs="黑?"/>
          <w:kern w:val="0"/>
          <w:sz w:val="30"/>
          <w:szCs w:val="30"/>
        </w:rPr>
        <w:t>报告表编制内容与目录</w:t>
      </w:r>
    </w:p>
    <w:p>
      <w:pPr>
        <w:pStyle w:val="67"/>
        <w:jc w:val="both"/>
        <w:rPr>
          <w:rFonts w:ascii="Times New Roman" w:hAnsi="Times New Roman"/>
          <w:color w:val="auto"/>
        </w:rPr>
      </w:pPr>
      <w:r>
        <w:rPr>
          <w:rFonts w:ascii="Times New Roman" w:hAnsi="Times New Roman"/>
          <w:color w:val="auto"/>
          <w:lang w:val="zh-CN"/>
        </w:rPr>
        <w:t>目</w:t>
      </w:r>
      <w:r>
        <w:rPr>
          <w:rFonts w:hint="eastAsia" w:ascii="Times New Roman" w:hAnsi="Times New Roman"/>
          <w:color w:val="auto"/>
          <w:lang w:val="zh-CN"/>
        </w:rPr>
        <w:t xml:space="preserve"> </w:t>
      </w:r>
      <w:r>
        <w:rPr>
          <w:rFonts w:ascii="Times New Roman" w:hAnsi="Times New Roman"/>
          <w:color w:val="auto"/>
          <w:lang w:val="zh-CN"/>
        </w:rPr>
        <w:t>录</w:t>
      </w:r>
    </w:p>
    <w:p>
      <w:pPr>
        <w:pStyle w:val="23"/>
        <w:tabs>
          <w:tab w:val="right" w:leader="dot" w:pos="8296"/>
        </w:tabs>
        <w:spacing w:line="420" w:lineRule="exact"/>
        <w:jc w:val="both"/>
        <w:rPr>
          <w:rFonts w:ascii="Times New Roman" w:hAnsi="Times New Roman"/>
          <w:b w:val="0"/>
          <w:bCs w:val="0"/>
          <w:caps w:val="0"/>
          <w:sz w:val="21"/>
          <w:szCs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HYPERLINK  \l "_Toc528854941" </w:instrText>
      </w:r>
      <w:r>
        <w:fldChar w:fldCharType="separate"/>
      </w:r>
      <w:r>
        <w:rPr>
          <w:rStyle w:val="32"/>
          <w:rFonts w:hint="eastAsia" w:ascii="Times New Roman" w:hAnsi="Times New Roman"/>
          <w:b w:val="0"/>
          <w:color w:val="auto"/>
          <w:sz w:val="21"/>
          <w:szCs w:val="21"/>
        </w:rPr>
        <w:t>一、建设项目基本情况</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_Toc528854941 \h </w:instrText>
      </w:r>
      <w:r>
        <w:rPr>
          <w:rFonts w:ascii="Times New Roman" w:hAnsi="Times New Roman"/>
          <w:b w:val="0"/>
          <w:sz w:val="21"/>
          <w:szCs w:val="21"/>
        </w:rPr>
        <w:fldChar w:fldCharType="separate"/>
      </w:r>
      <w:r>
        <w:rPr>
          <w:rFonts w:ascii="Times New Roman" w:hAnsi="Times New Roman"/>
          <w:b w:val="0"/>
          <w:sz w:val="21"/>
          <w:szCs w:val="21"/>
        </w:rPr>
        <w:t>1</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"_Toc528854942" </w:instrText>
      </w:r>
      <w:r>
        <w:fldChar w:fldCharType="separate"/>
      </w:r>
      <w:r>
        <w:rPr>
          <w:rStyle w:val="32"/>
          <w:rFonts w:hint="eastAsia" w:ascii="Times New Roman" w:hAnsi="Times New Roman"/>
          <w:b w:val="0"/>
          <w:color w:val="auto"/>
          <w:sz w:val="21"/>
          <w:szCs w:val="21"/>
        </w:rPr>
        <w:t>二、风电场总平面布置</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_Toc528854942 \h </w:instrText>
      </w:r>
      <w:r>
        <w:rPr>
          <w:rFonts w:ascii="Times New Roman" w:hAnsi="Times New Roman"/>
          <w:b w:val="0"/>
          <w:sz w:val="21"/>
          <w:szCs w:val="21"/>
        </w:rPr>
        <w:fldChar w:fldCharType="separate"/>
      </w:r>
      <w:r>
        <w:rPr>
          <w:rFonts w:ascii="Times New Roman" w:hAnsi="Times New Roman"/>
          <w:b w:val="0"/>
          <w:sz w:val="21"/>
          <w:szCs w:val="21"/>
        </w:rPr>
        <w:t>10</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"_Toc528854943" </w:instrText>
      </w:r>
      <w:r>
        <w:fldChar w:fldCharType="separate"/>
      </w:r>
      <w:r>
        <w:rPr>
          <w:rStyle w:val="32"/>
          <w:rFonts w:hint="eastAsia" w:ascii="Times New Roman" w:hAnsi="Times New Roman"/>
          <w:b w:val="0"/>
          <w:color w:val="auto"/>
          <w:sz w:val="21"/>
          <w:szCs w:val="21"/>
        </w:rPr>
        <w:t>三、建设项目所在地自然环境简况</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_Toc528854943 \h </w:instrText>
      </w:r>
      <w:r>
        <w:rPr>
          <w:rFonts w:ascii="Times New Roman" w:hAnsi="Times New Roman"/>
          <w:b w:val="0"/>
          <w:sz w:val="21"/>
          <w:szCs w:val="21"/>
        </w:rPr>
        <w:fldChar w:fldCharType="separate"/>
      </w:r>
      <w:r>
        <w:rPr>
          <w:rFonts w:ascii="Times New Roman" w:hAnsi="Times New Roman"/>
          <w:b w:val="0"/>
          <w:sz w:val="21"/>
          <w:szCs w:val="21"/>
        </w:rPr>
        <w:t>15</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"_Toc528854944" </w:instrText>
      </w:r>
      <w:r>
        <w:fldChar w:fldCharType="separate"/>
      </w:r>
      <w:r>
        <w:rPr>
          <w:rStyle w:val="32"/>
          <w:rFonts w:hint="eastAsia" w:ascii="Times New Roman" w:hAnsi="Times New Roman"/>
          <w:b w:val="0"/>
          <w:color w:val="auto"/>
          <w:sz w:val="21"/>
          <w:szCs w:val="21"/>
        </w:rPr>
        <w:t>四、评价适用标准</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_Toc528854944 \h </w:instrText>
      </w:r>
      <w:r>
        <w:rPr>
          <w:rFonts w:ascii="Times New Roman" w:hAnsi="Times New Roman"/>
          <w:b w:val="0"/>
          <w:sz w:val="21"/>
          <w:szCs w:val="21"/>
        </w:rPr>
        <w:fldChar w:fldCharType="separate"/>
      </w:r>
      <w:r>
        <w:rPr>
          <w:rFonts w:ascii="Times New Roman" w:hAnsi="Times New Roman"/>
          <w:b w:val="0"/>
          <w:sz w:val="21"/>
          <w:szCs w:val="21"/>
        </w:rPr>
        <w:t>26</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"_Toc528854945" </w:instrText>
      </w:r>
      <w:r>
        <w:fldChar w:fldCharType="separate"/>
      </w:r>
      <w:r>
        <w:rPr>
          <w:rStyle w:val="32"/>
          <w:rFonts w:hint="eastAsia" w:ascii="Times New Roman" w:hAnsi="Times New Roman"/>
          <w:b w:val="0"/>
          <w:color w:val="auto"/>
          <w:sz w:val="21"/>
          <w:szCs w:val="21"/>
        </w:rPr>
        <w:t>五、建设项目工程分析</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_Toc528854945 \h </w:instrText>
      </w:r>
      <w:r>
        <w:rPr>
          <w:rFonts w:ascii="Times New Roman" w:hAnsi="Times New Roman"/>
          <w:b w:val="0"/>
          <w:sz w:val="21"/>
          <w:szCs w:val="21"/>
        </w:rPr>
        <w:fldChar w:fldCharType="separate"/>
      </w:r>
      <w:r>
        <w:rPr>
          <w:rFonts w:ascii="Times New Roman" w:hAnsi="Times New Roman"/>
          <w:b w:val="0"/>
          <w:sz w:val="21"/>
          <w:szCs w:val="21"/>
        </w:rPr>
        <w:t>27</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"_Toc528854946" </w:instrText>
      </w:r>
      <w:r>
        <w:fldChar w:fldCharType="separate"/>
      </w:r>
      <w:r>
        <w:rPr>
          <w:rStyle w:val="32"/>
          <w:rFonts w:hint="eastAsia" w:ascii="Times New Roman" w:hAnsi="Times New Roman"/>
          <w:b w:val="0"/>
          <w:color w:val="auto"/>
          <w:sz w:val="21"/>
          <w:szCs w:val="21"/>
        </w:rPr>
        <w:t>六、环境影响分析、拟采取防治措施及预期治理效果</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_Toc528854946 \h </w:instrText>
      </w:r>
      <w:r>
        <w:rPr>
          <w:rFonts w:ascii="Times New Roman" w:hAnsi="Times New Roman"/>
          <w:b w:val="0"/>
          <w:sz w:val="21"/>
          <w:szCs w:val="21"/>
        </w:rPr>
        <w:fldChar w:fldCharType="separate"/>
      </w:r>
      <w:r>
        <w:rPr>
          <w:rFonts w:ascii="Times New Roman" w:hAnsi="Times New Roman"/>
          <w:b w:val="0"/>
          <w:sz w:val="21"/>
          <w:szCs w:val="21"/>
        </w:rPr>
        <w:t>39</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"_Toc528854947" </w:instrText>
      </w:r>
      <w:r>
        <w:fldChar w:fldCharType="separate"/>
      </w:r>
      <w:r>
        <w:rPr>
          <w:rStyle w:val="32"/>
          <w:rFonts w:hint="eastAsia" w:ascii="Times New Roman" w:hAnsi="Times New Roman"/>
          <w:b w:val="0"/>
          <w:color w:val="auto"/>
          <w:sz w:val="21"/>
          <w:szCs w:val="21"/>
        </w:rPr>
        <w:t>七、环境效益</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_Toc528854947 \h </w:instrText>
      </w:r>
      <w:r>
        <w:rPr>
          <w:rFonts w:ascii="Times New Roman" w:hAnsi="Times New Roman"/>
          <w:b w:val="0"/>
          <w:sz w:val="21"/>
          <w:szCs w:val="21"/>
        </w:rPr>
        <w:fldChar w:fldCharType="separate"/>
      </w:r>
      <w:r>
        <w:rPr>
          <w:rFonts w:ascii="Times New Roman" w:hAnsi="Times New Roman"/>
          <w:b w:val="0"/>
          <w:sz w:val="21"/>
          <w:szCs w:val="21"/>
        </w:rPr>
        <w:t>51</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"_Toc528854948" </w:instrText>
      </w:r>
      <w:r>
        <w:fldChar w:fldCharType="separate"/>
      </w:r>
      <w:r>
        <w:rPr>
          <w:rStyle w:val="32"/>
          <w:rFonts w:hint="eastAsia" w:ascii="Times New Roman" w:hAnsi="Times New Roman"/>
          <w:b w:val="0"/>
          <w:color w:val="auto"/>
          <w:sz w:val="21"/>
          <w:szCs w:val="21"/>
        </w:rPr>
        <w:t>八、评价结论与建议</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_Toc528854948 \h </w:instrText>
      </w:r>
      <w:r>
        <w:rPr>
          <w:rFonts w:ascii="Times New Roman" w:hAnsi="Times New Roman"/>
          <w:b w:val="0"/>
          <w:sz w:val="21"/>
          <w:szCs w:val="21"/>
        </w:rPr>
        <w:fldChar w:fldCharType="separate"/>
      </w:r>
      <w:r>
        <w:rPr>
          <w:rFonts w:ascii="Times New Roman" w:hAnsi="Times New Roman"/>
          <w:b w:val="0"/>
          <w:sz w:val="21"/>
          <w:szCs w:val="21"/>
        </w:rPr>
        <w:t>52</w:t>
      </w:r>
      <w:r>
        <w:rPr>
          <w:rFonts w:ascii="Times New Roman" w:hAnsi="Times New Roman"/>
          <w:b w:val="0"/>
          <w:sz w:val="21"/>
          <w:szCs w:val="21"/>
        </w:rPr>
        <w:fldChar w:fldCharType="end"/>
      </w:r>
      <w:r>
        <w:fldChar w:fldCharType="end"/>
      </w:r>
    </w:p>
    <w:p>
      <w:pPr>
        <w:pStyle w:val="23"/>
        <w:tabs>
          <w:tab w:val="right" w:leader="dot" w:pos="8296"/>
        </w:tabs>
        <w:spacing w:line="420" w:lineRule="exact"/>
        <w:jc w:val="both"/>
        <w:rPr>
          <w:rFonts w:ascii="Times New Roman" w:hAnsi="Times New Roman"/>
          <w:b w:val="0"/>
          <w:bCs w:val="0"/>
          <w:caps w:val="0"/>
          <w:sz w:val="21"/>
          <w:szCs w:val="21"/>
        </w:rPr>
      </w:pPr>
      <w:r>
        <w:fldChar w:fldCharType="begin"/>
      </w:r>
      <w:r>
        <w:instrText xml:space="preserve">HYPERLINK  \l "_Toc528854949" </w:instrText>
      </w:r>
      <w:r>
        <w:fldChar w:fldCharType="separate"/>
      </w:r>
      <w:r>
        <w:rPr>
          <w:rStyle w:val="32"/>
          <w:rFonts w:hint="eastAsia" w:ascii="Times New Roman" w:hAnsi="Times New Roman"/>
          <w:b w:val="0"/>
          <w:color w:val="auto"/>
          <w:sz w:val="21"/>
          <w:szCs w:val="21"/>
        </w:rPr>
        <w:t>生态影响评价</w:t>
      </w:r>
      <w:r>
        <w:rPr>
          <w:rFonts w:ascii="Times New Roman" w:hAnsi="Times New Roman"/>
          <w:b w:val="0"/>
          <w:sz w:val="21"/>
          <w:szCs w:val="21"/>
        </w:rPr>
        <w:tab/>
      </w:r>
      <w:r>
        <w:rPr>
          <w:rFonts w:ascii="Times New Roman" w:hAnsi="Times New Roman"/>
          <w:b w:val="0"/>
          <w:sz w:val="21"/>
          <w:szCs w:val="21"/>
        </w:rPr>
        <w:fldChar w:fldCharType="begin"/>
      </w:r>
      <w:r>
        <w:rPr>
          <w:rFonts w:ascii="Times New Roman" w:hAnsi="Times New Roman"/>
          <w:b w:val="0"/>
          <w:sz w:val="21"/>
          <w:szCs w:val="21"/>
        </w:rPr>
        <w:instrText xml:space="preserve"> PAGEREF _Toc528854949 \h </w:instrText>
      </w:r>
      <w:r>
        <w:rPr>
          <w:rFonts w:ascii="Times New Roman" w:hAnsi="Times New Roman"/>
          <w:b w:val="0"/>
          <w:sz w:val="21"/>
          <w:szCs w:val="21"/>
        </w:rPr>
        <w:fldChar w:fldCharType="separate"/>
      </w:r>
      <w:r>
        <w:rPr>
          <w:rFonts w:ascii="Times New Roman" w:hAnsi="Times New Roman"/>
          <w:b w:val="0"/>
          <w:sz w:val="21"/>
          <w:szCs w:val="21"/>
        </w:rPr>
        <w:t>1</w:t>
      </w:r>
      <w:r>
        <w:rPr>
          <w:rFonts w:ascii="Times New Roman" w:hAnsi="Times New Roman"/>
          <w:b w:val="0"/>
          <w:sz w:val="21"/>
          <w:szCs w:val="21"/>
        </w:rPr>
        <w:fldChar w:fldCharType="end"/>
      </w:r>
      <w:r>
        <w:fldChar w:fldCharType="end"/>
      </w:r>
    </w:p>
    <w:p>
      <w:pPr>
        <w:pStyle w:val="27"/>
        <w:spacing w:line="420" w:lineRule="exact"/>
        <w:jc w:val="both"/>
        <w:rPr>
          <w:rFonts w:ascii="Times New Roman" w:hAnsi="Times New Roman"/>
          <w:smallCaps w:val="0"/>
          <w:sz w:val="21"/>
          <w:szCs w:val="21"/>
        </w:rPr>
      </w:pPr>
      <w:r>
        <w:fldChar w:fldCharType="begin"/>
      </w:r>
      <w:r>
        <w:instrText xml:space="preserve">HYPERLINK  \l "_Toc528854950" </w:instrText>
      </w:r>
      <w:r>
        <w:fldChar w:fldCharType="separate"/>
      </w:r>
      <w:r>
        <w:rPr>
          <w:rStyle w:val="32"/>
          <w:rFonts w:ascii="Times New Roman" w:hAnsi="Times New Roman"/>
          <w:bCs/>
          <w:color w:val="auto"/>
          <w:sz w:val="21"/>
          <w:szCs w:val="21"/>
        </w:rPr>
        <w:t>1</w:t>
      </w:r>
      <w:r>
        <w:rPr>
          <w:rStyle w:val="32"/>
          <w:rFonts w:hint="eastAsia" w:ascii="Times New Roman" w:hAnsi="Times New Roman"/>
          <w:bCs/>
          <w:color w:val="auto"/>
          <w:sz w:val="21"/>
          <w:szCs w:val="21"/>
        </w:rPr>
        <w:t>、生态环境影响评价原则</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_Toc528854950 \h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"_Toc528854951" </w:instrText>
      </w:r>
      <w:r>
        <w:fldChar w:fldCharType="separate"/>
      </w:r>
      <w:r>
        <w:rPr>
          <w:rStyle w:val="32"/>
          <w:rFonts w:ascii="Times New Roman" w:hAnsi="Times New Roman"/>
          <w:i w:val="0"/>
          <w:color w:val="auto"/>
          <w:sz w:val="21"/>
          <w:szCs w:val="21"/>
        </w:rPr>
        <w:t>1.1</w:t>
      </w:r>
      <w:r>
        <w:rPr>
          <w:rStyle w:val="32"/>
          <w:rFonts w:hint="eastAsia" w:ascii="Times New Roman" w:hAnsi="Times New Roman"/>
          <w:i w:val="0"/>
          <w:color w:val="auto"/>
          <w:sz w:val="21"/>
          <w:szCs w:val="21"/>
        </w:rPr>
        <w:t>评价目的</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_Toc528854951 \h </w:instrText>
      </w:r>
      <w:r>
        <w:rPr>
          <w:rFonts w:ascii="Times New Roman" w:hAnsi="Times New Roman"/>
          <w:i w:val="0"/>
          <w:sz w:val="21"/>
          <w:szCs w:val="21"/>
        </w:rPr>
        <w:fldChar w:fldCharType="separate"/>
      </w:r>
      <w:r>
        <w:rPr>
          <w:rFonts w:ascii="Times New Roman" w:hAnsi="Times New Roman"/>
          <w:i w:val="0"/>
          <w:sz w:val="21"/>
          <w:szCs w:val="21"/>
        </w:rPr>
        <w:t>1</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"_Toc528854952" </w:instrText>
      </w:r>
      <w:r>
        <w:fldChar w:fldCharType="separate"/>
      </w:r>
      <w:r>
        <w:rPr>
          <w:rStyle w:val="32"/>
          <w:rFonts w:ascii="Times New Roman" w:hAnsi="Times New Roman"/>
          <w:i w:val="0"/>
          <w:color w:val="auto"/>
          <w:sz w:val="21"/>
          <w:szCs w:val="21"/>
        </w:rPr>
        <w:t>1.2</w:t>
      </w:r>
      <w:r>
        <w:rPr>
          <w:rStyle w:val="32"/>
          <w:rFonts w:hint="eastAsia" w:ascii="Times New Roman" w:hAnsi="Times New Roman"/>
          <w:i w:val="0"/>
          <w:color w:val="auto"/>
          <w:sz w:val="21"/>
          <w:szCs w:val="21"/>
        </w:rPr>
        <w:t>评价原则</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_Toc528854952 \h </w:instrText>
      </w:r>
      <w:r>
        <w:rPr>
          <w:rFonts w:ascii="Times New Roman" w:hAnsi="Times New Roman"/>
          <w:i w:val="0"/>
          <w:sz w:val="21"/>
          <w:szCs w:val="21"/>
        </w:rPr>
        <w:fldChar w:fldCharType="separate"/>
      </w:r>
      <w:r>
        <w:rPr>
          <w:rFonts w:ascii="Times New Roman" w:hAnsi="Times New Roman"/>
          <w:i w:val="0"/>
          <w:sz w:val="21"/>
          <w:szCs w:val="21"/>
        </w:rPr>
        <w:t>1</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"_Toc528854953" </w:instrText>
      </w:r>
      <w:r>
        <w:fldChar w:fldCharType="separate"/>
      </w:r>
      <w:r>
        <w:rPr>
          <w:rStyle w:val="32"/>
          <w:rFonts w:ascii="Times New Roman" w:hAnsi="Times New Roman"/>
          <w:i w:val="0"/>
          <w:color w:val="auto"/>
          <w:sz w:val="21"/>
          <w:szCs w:val="21"/>
        </w:rPr>
        <w:t>1.3</w:t>
      </w:r>
      <w:r>
        <w:rPr>
          <w:rStyle w:val="32"/>
          <w:rFonts w:hint="eastAsia" w:ascii="Times New Roman" w:hAnsi="Times New Roman"/>
          <w:i w:val="0"/>
          <w:color w:val="auto"/>
          <w:sz w:val="21"/>
          <w:szCs w:val="21"/>
        </w:rPr>
        <w:t>评价等级</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_Toc528854953 \h </w:instrText>
      </w:r>
      <w:r>
        <w:rPr>
          <w:rFonts w:ascii="Times New Roman" w:hAnsi="Times New Roman"/>
          <w:i w:val="0"/>
          <w:sz w:val="21"/>
          <w:szCs w:val="21"/>
        </w:rPr>
        <w:fldChar w:fldCharType="separate"/>
      </w:r>
      <w:r>
        <w:rPr>
          <w:rFonts w:ascii="Times New Roman" w:hAnsi="Times New Roman"/>
          <w:i w:val="0"/>
          <w:sz w:val="21"/>
          <w:szCs w:val="21"/>
        </w:rPr>
        <w:t>1</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"_Toc528854954" </w:instrText>
      </w:r>
      <w:r>
        <w:fldChar w:fldCharType="separate"/>
      </w:r>
      <w:r>
        <w:rPr>
          <w:rStyle w:val="32"/>
          <w:rFonts w:ascii="Times New Roman" w:hAnsi="Times New Roman"/>
          <w:i w:val="0"/>
          <w:color w:val="auto"/>
          <w:sz w:val="21"/>
          <w:szCs w:val="21"/>
        </w:rPr>
        <w:t>1.4</w:t>
      </w:r>
      <w:r>
        <w:rPr>
          <w:rStyle w:val="32"/>
          <w:rFonts w:hint="eastAsia" w:ascii="Times New Roman" w:hAnsi="Times New Roman"/>
          <w:i w:val="0"/>
          <w:color w:val="auto"/>
          <w:sz w:val="21"/>
          <w:szCs w:val="21"/>
        </w:rPr>
        <w:t>评价范围</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_Toc528854954 \h </w:instrText>
      </w:r>
      <w:r>
        <w:rPr>
          <w:rFonts w:ascii="Times New Roman" w:hAnsi="Times New Roman"/>
          <w:i w:val="0"/>
          <w:sz w:val="21"/>
          <w:szCs w:val="21"/>
        </w:rPr>
        <w:fldChar w:fldCharType="separate"/>
      </w:r>
      <w:r>
        <w:rPr>
          <w:rFonts w:ascii="Times New Roman" w:hAnsi="Times New Roman"/>
          <w:i w:val="0"/>
          <w:sz w:val="21"/>
          <w:szCs w:val="21"/>
        </w:rPr>
        <w:t>2</w:t>
      </w:r>
      <w:r>
        <w:rPr>
          <w:rFonts w:ascii="Times New Roman" w:hAnsi="Times New Roman"/>
          <w:i w:val="0"/>
          <w:sz w:val="21"/>
          <w:szCs w:val="21"/>
        </w:rPr>
        <w:fldChar w:fldCharType="end"/>
      </w:r>
      <w:r>
        <w:fldChar w:fldCharType="end"/>
      </w:r>
    </w:p>
    <w:p>
      <w:pPr>
        <w:pStyle w:val="27"/>
        <w:spacing w:line="420" w:lineRule="exact"/>
        <w:jc w:val="both"/>
        <w:rPr>
          <w:rFonts w:ascii="Times New Roman" w:hAnsi="Times New Roman"/>
          <w:smallCaps w:val="0"/>
          <w:sz w:val="21"/>
          <w:szCs w:val="21"/>
        </w:rPr>
      </w:pPr>
      <w:r>
        <w:fldChar w:fldCharType="begin"/>
      </w:r>
      <w:r>
        <w:instrText xml:space="preserve">HYPERLINK  \l "_Toc528854955" </w:instrText>
      </w:r>
      <w:r>
        <w:fldChar w:fldCharType="separate"/>
      </w:r>
      <w:r>
        <w:rPr>
          <w:rStyle w:val="32"/>
          <w:rFonts w:ascii="Times New Roman" w:hAnsi="Times New Roman"/>
          <w:bCs/>
          <w:color w:val="auto"/>
          <w:sz w:val="21"/>
          <w:szCs w:val="21"/>
        </w:rPr>
        <w:t>2</w:t>
      </w:r>
      <w:r>
        <w:rPr>
          <w:rStyle w:val="32"/>
          <w:rFonts w:hint="eastAsia" w:ascii="Times New Roman" w:hAnsi="Times New Roman"/>
          <w:bCs/>
          <w:color w:val="auto"/>
          <w:sz w:val="21"/>
          <w:szCs w:val="21"/>
        </w:rPr>
        <w:t>、生态环境现状调查与评价</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_Toc528854955 \h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"_Toc528854956" </w:instrText>
      </w:r>
      <w:r>
        <w:fldChar w:fldCharType="separate"/>
      </w:r>
      <w:r>
        <w:rPr>
          <w:rStyle w:val="32"/>
          <w:rFonts w:ascii="Times New Roman" w:hAnsi="Times New Roman"/>
          <w:i w:val="0"/>
          <w:color w:val="auto"/>
          <w:sz w:val="21"/>
          <w:szCs w:val="21"/>
        </w:rPr>
        <w:t>2.1</w:t>
      </w:r>
      <w:r>
        <w:rPr>
          <w:rStyle w:val="32"/>
          <w:rFonts w:hint="eastAsia" w:ascii="Times New Roman" w:hAnsi="Times New Roman"/>
          <w:i w:val="0"/>
          <w:color w:val="auto"/>
          <w:sz w:val="21"/>
          <w:szCs w:val="21"/>
        </w:rPr>
        <w:t>土壤类型及分布</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_Toc528854956 \h </w:instrText>
      </w:r>
      <w:r>
        <w:rPr>
          <w:rFonts w:ascii="Times New Roman" w:hAnsi="Times New Roman"/>
          <w:i w:val="0"/>
          <w:sz w:val="21"/>
          <w:szCs w:val="21"/>
        </w:rPr>
        <w:fldChar w:fldCharType="separate"/>
      </w:r>
      <w:r>
        <w:rPr>
          <w:rFonts w:ascii="Times New Roman" w:hAnsi="Times New Roman"/>
          <w:i w:val="0"/>
          <w:sz w:val="21"/>
          <w:szCs w:val="21"/>
        </w:rPr>
        <w:t>2</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"_Toc528854957" </w:instrText>
      </w:r>
      <w:r>
        <w:fldChar w:fldCharType="separate"/>
      </w:r>
      <w:r>
        <w:rPr>
          <w:rStyle w:val="32"/>
          <w:rFonts w:ascii="Times New Roman" w:hAnsi="Times New Roman"/>
          <w:i w:val="0"/>
          <w:color w:val="auto"/>
          <w:sz w:val="21"/>
          <w:szCs w:val="21"/>
        </w:rPr>
        <w:t>2.2</w:t>
      </w:r>
      <w:r>
        <w:rPr>
          <w:rStyle w:val="32"/>
          <w:rFonts w:hint="eastAsia" w:ascii="Times New Roman" w:hAnsi="Times New Roman"/>
          <w:i w:val="0"/>
          <w:color w:val="auto"/>
          <w:sz w:val="21"/>
          <w:szCs w:val="21"/>
        </w:rPr>
        <w:t>土地利用现状</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_Toc528854957 \h </w:instrText>
      </w:r>
      <w:r>
        <w:rPr>
          <w:rFonts w:ascii="Times New Roman" w:hAnsi="Times New Roman"/>
          <w:i w:val="0"/>
          <w:sz w:val="21"/>
          <w:szCs w:val="21"/>
        </w:rPr>
        <w:fldChar w:fldCharType="separate"/>
      </w:r>
      <w:r>
        <w:rPr>
          <w:rFonts w:ascii="Times New Roman" w:hAnsi="Times New Roman"/>
          <w:i w:val="0"/>
          <w:sz w:val="21"/>
          <w:szCs w:val="21"/>
        </w:rPr>
        <w:t>3</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"_Toc528854958" </w:instrText>
      </w:r>
      <w:r>
        <w:fldChar w:fldCharType="separate"/>
      </w:r>
      <w:r>
        <w:rPr>
          <w:rStyle w:val="32"/>
          <w:rFonts w:ascii="Times New Roman" w:hAnsi="Times New Roman"/>
          <w:i w:val="0"/>
          <w:color w:val="auto"/>
          <w:sz w:val="21"/>
          <w:szCs w:val="21"/>
        </w:rPr>
        <w:t>2.3</w:t>
      </w:r>
      <w:r>
        <w:rPr>
          <w:rStyle w:val="32"/>
          <w:rFonts w:hint="eastAsia" w:ascii="Times New Roman" w:hAnsi="Times New Roman"/>
          <w:i w:val="0"/>
          <w:color w:val="auto"/>
          <w:sz w:val="21"/>
          <w:szCs w:val="21"/>
        </w:rPr>
        <w:t>植被类型现状</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_Toc528854958 \h </w:instrText>
      </w:r>
      <w:r>
        <w:rPr>
          <w:rFonts w:ascii="Times New Roman" w:hAnsi="Times New Roman"/>
          <w:i w:val="0"/>
          <w:sz w:val="21"/>
          <w:szCs w:val="21"/>
        </w:rPr>
        <w:fldChar w:fldCharType="separate"/>
      </w:r>
      <w:r>
        <w:rPr>
          <w:rFonts w:ascii="Times New Roman" w:hAnsi="Times New Roman"/>
          <w:i w:val="0"/>
          <w:sz w:val="21"/>
          <w:szCs w:val="21"/>
        </w:rPr>
        <w:t>4</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"_Toc528854959" </w:instrText>
      </w:r>
      <w:r>
        <w:fldChar w:fldCharType="separate"/>
      </w:r>
      <w:r>
        <w:rPr>
          <w:rStyle w:val="32"/>
          <w:rFonts w:ascii="Times New Roman" w:hAnsi="Times New Roman"/>
          <w:i w:val="0"/>
          <w:color w:val="auto"/>
          <w:sz w:val="21"/>
          <w:szCs w:val="21"/>
        </w:rPr>
        <w:t>2.4</w:t>
      </w:r>
      <w:r>
        <w:rPr>
          <w:rStyle w:val="32"/>
          <w:rFonts w:hint="eastAsia" w:ascii="Times New Roman" w:hAnsi="Times New Roman"/>
          <w:i w:val="0"/>
          <w:color w:val="auto"/>
          <w:sz w:val="21"/>
          <w:szCs w:val="21"/>
        </w:rPr>
        <w:t>土壤侵蚀现状</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_Toc528854959 \h </w:instrText>
      </w:r>
      <w:r>
        <w:rPr>
          <w:rFonts w:ascii="Times New Roman" w:hAnsi="Times New Roman"/>
          <w:i w:val="0"/>
          <w:sz w:val="21"/>
          <w:szCs w:val="21"/>
        </w:rPr>
        <w:fldChar w:fldCharType="separate"/>
      </w:r>
      <w:r>
        <w:rPr>
          <w:rFonts w:ascii="Times New Roman" w:hAnsi="Times New Roman"/>
          <w:i w:val="0"/>
          <w:sz w:val="21"/>
          <w:szCs w:val="21"/>
        </w:rPr>
        <w:t>5</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"_Toc528854960" </w:instrText>
      </w:r>
      <w:r>
        <w:fldChar w:fldCharType="separate"/>
      </w:r>
      <w:r>
        <w:rPr>
          <w:rStyle w:val="32"/>
          <w:rFonts w:ascii="Times New Roman" w:hAnsi="Times New Roman"/>
          <w:i w:val="0"/>
          <w:color w:val="auto"/>
          <w:sz w:val="21"/>
          <w:szCs w:val="21"/>
        </w:rPr>
        <w:t>2.5</w:t>
      </w:r>
      <w:r>
        <w:rPr>
          <w:rStyle w:val="32"/>
          <w:rFonts w:hint="eastAsia" w:ascii="Times New Roman" w:hAnsi="Times New Roman"/>
          <w:i w:val="0"/>
          <w:color w:val="auto"/>
          <w:sz w:val="21"/>
          <w:szCs w:val="21"/>
        </w:rPr>
        <w:t>动物分布现状</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_Toc528854960 \h </w:instrText>
      </w:r>
      <w:r>
        <w:rPr>
          <w:rFonts w:ascii="Times New Roman" w:hAnsi="Times New Roman"/>
          <w:i w:val="0"/>
          <w:sz w:val="21"/>
          <w:szCs w:val="21"/>
        </w:rPr>
        <w:fldChar w:fldCharType="separate"/>
      </w:r>
      <w:r>
        <w:rPr>
          <w:rFonts w:ascii="Times New Roman" w:hAnsi="Times New Roman"/>
          <w:i w:val="0"/>
          <w:sz w:val="21"/>
          <w:szCs w:val="21"/>
        </w:rPr>
        <w:t>5</w:t>
      </w:r>
      <w:r>
        <w:rPr>
          <w:rFonts w:ascii="Times New Roman" w:hAnsi="Times New Roman"/>
          <w:i w:val="0"/>
          <w:sz w:val="21"/>
          <w:szCs w:val="21"/>
        </w:rPr>
        <w:fldChar w:fldCharType="end"/>
      </w:r>
      <w:r>
        <w:fldChar w:fldCharType="end"/>
      </w:r>
    </w:p>
    <w:p>
      <w:pPr>
        <w:pStyle w:val="27"/>
        <w:spacing w:line="420" w:lineRule="exact"/>
        <w:jc w:val="both"/>
        <w:rPr>
          <w:rFonts w:ascii="Times New Roman" w:hAnsi="Times New Roman"/>
          <w:smallCaps w:val="0"/>
          <w:sz w:val="21"/>
          <w:szCs w:val="21"/>
        </w:rPr>
      </w:pPr>
      <w:r>
        <w:fldChar w:fldCharType="begin"/>
      </w:r>
      <w:r>
        <w:instrText xml:space="preserve">HYPERLINK  \l "_Toc528854961" </w:instrText>
      </w:r>
      <w:r>
        <w:fldChar w:fldCharType="separate"/>
      </w:r>
      <w:r>
        <w:rPr>
          <w:rStyle w:val="32"/>
          <w:rFonts w:ascii="Times New Roman" w:hAnsi="Times New Roman"/>
          <w:bCs/>
          <w:color w:val="auto"/>
          <w:sz w:val="21"/>
          <w:szCs w:val="21"/>
        </w:rPr>
        <w:t>3</w:t>
      </w:r>
      <w:r>
        <w:rPr>
          <w:rStyle w:val="32"/>
          <w:rFonts w:hint="eastAsia" w:ascii="Times New Roman" w:hAnsi="Times New Roman"/>
          <w:bCs/>
          <w:color w:val="auto"/>
          <w:sz w:val="21"/>
          <w:szCs w:val="21"/>
        </w:rPr>
        <w:t>、生态环境影响预测与评价</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_Toc528854961 \h </w:instrText>
      </w:r>
      <w:r>
        <w:rPr>
          <w:rFonts w:ascii="Times New Roman" w:hAnsi="Times New Roman"/>
          <w:sz w:val="21"/>
          <w:szCs w:val="21"/>
        </w:rPr>
        <w:fldChar w:fldCharType="separate"/>
      </w:r>
      <w:r>
        <w:rPr>
          <w:rFonts w:ascii="Times New Roman" w:hAnsi="Times New Roman"/>
          <w:sz w:val="21"/>
          <w:szCs w:val="21"/>
        </w:rPr>
        <w:t>6</w:t>
      </w:r>
      <w:r>
        <w:rPr>
          <w:rFonts w:ascii="Times New Roman" w:hAnsi="Times New Roman"/>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"_Toc528854962" </w:instrText>
      </w:r>
      <w:r>
        <w:fldChar w:fldCharType="separate"/>
      </w:r>
      <w:r>
        <w:rPr>
          <w:rStyle w:val="32"/>
          <w:rFonts w:ascii="Times New Roman" w:hAnsi="Times New Roman"/>
          <w:i w:val="0"/>
          <w:color w:val="auto"/>
          <w:sz w:val="21"/>
          <w:szCs w:val="21"/>
        </w:rPr>
        <w:t>3.1</w:t>
      </w:r>
      <w:r>
        <w:rPr>
          <w:rStyle w:val="32"/>
          <w:rFonts w:hint="eastAsia" w:ascii="Times New Roman" w:hAnsi="Times New Roman"/>
          <w:i w:val="0"/>
          <w:color w:val="auto"/>
          <w:sz w:val="21"/>
          <w:szCs w:val="21"/>
        </w:rPr>
        <w:t>项目施工期对生态环境的影响</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_Toc528854962 \h </w:instrText>
      </w:r>
      <w:r>
        <w:rPr>
          <w:rFonts w:ascii="Times New Roman" w:hAnsi="Times New Roman"/>
          <w:i w:val="0"/>
          <w:sz w:val="21"/>
          <w:szCs w:val="21"/>
        </w:rPr>
        <w:fldChar w:fldCharType="separate"/>
      </w:r>
      <w:r>
        <w:rPr>
          <w:rFonts w:ascii="Times New Roman" w:hAnsi="Times New Roman"/>
          <w:i w:val="0"/>
          <w:sz w:val="21"/>
          <w:szCs w:val="21"/>
        </w:rPr>
        <w:t>6</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"_Toc528854963" </w:instrText>
      </w:r>
      <w:r>
        <w:fldChar w:fldCharType="separate"/>
      </w:r>
      <w:r>
        <w:rPr>
          <w:rStyle w:val="32"/>
          <w:rFonts w:ascii="Times New Roman" w:hAnsi="Times New Roman"/>
          <w:i w:val="0"/>
          <w:color w:val="auto"/>
          <w:sz w:val="21"/>
          <w:szCs w:val="21"/>
        </w:rPr>
        <w:t>3.2</w:t>
      </w:r>
      <w:r>
        <w:rPr>
          <w:rStyle w:val="32"/>
          <w:rFonts w:hint="eastAsia" w:ascii="Times New Roman" w:hAnsi="Times New Roman"/>
          <w:i w:val="0"/>
          <w:color w:val="auto"/>
          <w:sz w:val="21"/>
          <w:szCs w:val="21"/>
        </w:rPr>
        <w:t>项目运营期对生态环境的影响</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_Toc528854963 \h </w:instrText>
      </w:r>
      <w:r>
        <w:rPr>
          <w:rFonts w:ascii="Times New Roman" w:hAnsi="Times New Roman"/>
          <w:i w:val="0"/>
          <w:sz w:val="21"/>
          <w:szCs w:val="21"/>
        </w:rPr>
        <w:fldChar w:fldCharType="separate"/>
      </w:r>
      <w:r>
        <w:rPr>
          <w:rFonts w:ascii="Times New Roman" w:hAnsi="Times New Roman"/>
          <w:i w:val="0"/>
          <w:sz w:val="21"/>
          <w:szCs w:val="21"/>
        </w:rPr>
        <w:t>8</w:t>
      </w:r>
      <w:r>
        <w:rPr>
          <w:rFonts w:ascii="Times New Roman" w:hAnsi="Times New Roman"/>
          <w:i w:val="0"/>
          <w:sz w:val="21"/>
          <w:szCs w:val="21"/>
        </w:rPr>
        <w:fldChar w:fldCharType="end"/>
      </w:r>
      <w:r>
        <w:fldChar w:fldCharType="end"/>
      </w:r>
    </w:p>
    <w:p>
      <w:pPr>
        <w:pStyle w:val="27"/>
        <w:spacing w:line="420" w:lineRule="exact"/>
        <w:jc w:val="both"/>
        <w:rPr>
          <w:rFonts w:ascii="Times New Roman" w:hAnsi="Times New Roman"/>
          <w:smallCaps w:val="0"/>
          <w:sz w:val="21"/>
          <w:szCs w:val="21"/>
        </w:rPr>
      </w:pPr>
      <w:r>
        <w:fldChar w:fldCharType="begin"/>
      </w:r>
      <w:r>
        <w:instrText xml:space="preserve">HYPERLINK  \l "_Toc528854964" </w:instrText>
      </w:r>
      <w:r>
        <w:fldChar w:fldCharType="separate"/>
      </w:r>
      <w:r>
        <w:rPr>
          <w:rStyle w:val="32"/>
          <w:rFonts w:ascii="Times New Roman" w:hAnsi="Times New Roman"/>
          <w:bCs/>
          <w:color w:val="auto"/>
          <w:sz w:val="21"/>
          <w:szCs w:val="21"/>
        </w:rPr>
        <w:t>4</w:t>
      </w:r>
      <w:r>
        <w:rPr>
          <w:rStyle w:val="32"/>
          <w:rFonts w:hint="eastAsia" w:ascii="Times New Roman" w:hAnsi="Times New Roman"/>
          <w:bCs/>
          <w:color w:val="auto"/>
          <w:sz w:val="21"/>
          <w:szCs w:val="21"/>
        </w:rPr>
        <w:t>、景观影响评价</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_Toc528854964 \h </w:instrText>
      </w:r>
      <w:r>
        <w:rPr>
          <w:rFonts w:ascii="Times New Roman" w:hAnsi="Times New Roman"/>
          <w:sz w:val="21"/>
          <w:szCs w:val="21"/>
        </w:rPr>
        <w:fldChar w:fldCharType="separate"/>
      </w:r>
      <w:r>
        <w:rPr>
          <w:rFonts w:ascii="Times New Roman" w:hAnsi="Times New Roman"/>
          <w:sz w:val="21"/>
          <w:szCs w:val="21"/>
        </w:rPr>
        <w:t>8</w:t>
      </w:r>
      <w:r>
        <w:rPr>
          <w:rFonts w:ascii="Times New Roman" w:hAnsi="Times New Roman"/>
          <w:sz w:val="21"/>
          <w:szCs w:val="21"/>
        </w:rPr>
        <w:fldChar w:fldCharType="end"/>
      </w:r>
      <w:r>
        <w:fldChar w:fldCharType="end"/>
      </w:r>
    </w:p>
    <w:p>
      <w:pPr>
        <w:pStyle w:val="27"/>
        <w:spacing w:line="420" w:lineRule="exact"/>
        <w:jc w:val="both"/>
        <w:rPr>
          <w:rFonts w:ascii="Times New Roman" w:hAnsi="Times New Roman"/>
          <w:smallCaps w:val="0"/>
          <w:sz w:val="21"/>
          <w:szCs w:val="21"/>
        </w:rPr>
      </w:pPr>
      <w:r>
        <w:fldChar w:fldCharType="begin"/>
      </w:r>
      <w:r>
        <w:instrText xml:space="preserve">HYPERLINK  \l "_Toc528854965" </w:instrText>
      </w:r>
      <w:r>
        <w:fldChar w:fldCharType="separate"/>
      </w:r>
      <w:r>
        <w:rPr>
          <w:rStyle w:val="32"/>
          <w:rFonts w:ascii="Times New Roman" w:hAnsi="Times New Roman"/>
          <w:bCs/>
          <w:color w:val="auto"/>
          <w:sz w:val="21"/>
          <w:szCs w:val="21"/>
        </w:rPr>
        <w:t>5</w:t>
      </w:r>
      <w:r>
        <w:rPr>
          <w:rStyle w:val="32"/>
          <w:rFonts w:hint="eastAsia" w:ascii="Times New Roman" w:hAnsi="Times New Roman"/>
          <w:bCs/>
          <w:color w:val="auto"/>
          <w:sz w:val="21"/>
          <w:szCs w:val="21"/>
        </w:rPr>
        <w:t>、生态影响的防护、恢复措施及替代方案</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_Toc528854965 \h </w:instrText>
      </w:r>
      <w:r>
        <w:rPr>
          <w:rFonts w:ascii="Times New Roman" w:hAnsi="Times New Roman"/>
          <w:sz w:val="21"/>
          <w:szCs w:val="21"/>
        </w:rPr>
        <w:fldChar w:fldCharType="separate"/>
      </w:r>
      <w:r>
        <w:rPr>
          <w:rFonts w:ascii="Times New Roman" w:hAnsi="Times New Roman"/>
          <w:sz w:val="21"/>
          <w:szCs w:val="21"/>
        </w:rPr>
        <w:t>10</w:t>
      </w:r>
      <w:r>
        <w:rPr>
          <w:rFonts w:ascii="Times New Roman" w:hAnsi="Times New Roman"/>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"_Toc528854966" </w:instrText>
      </w:r>
      <w:r>
        <w:fldChar w:fldCharType="separate"/>
      </w:r>
      <w:r>
        <w:rPr>
          <w:rStyle w:val="32"/>
          <w:rFonts w:ascii="Times New Roman" w:hAnsi="Times New Roman"/>
          <w:i w:val="0"/>
          <w:color w:val="auto"/>
          <w:sz w:val="21"/>
          <w:szCs w:val="21"/>
        </w:rPr>
        <w:t>5.1</w:t>
      </w:r>
      <w:r>
        <w:rPr>
          <w:rStyle w:val="32"/>
          <w:rFonts w:hint="eastAsia" w:ascii="Times New Roman" w:hAnsi="Times New Roman"/>
          <w:i w:val="0"/>
          <w:color w:val="auto"/>
          <w:sz w:val="21"/>
          <w:szCs w:val="21"/>
        </w:rPr>
        <w:t>生态影响防护与恢复原则</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_Toc528854966 \h </w:instrText>
      </w:r>
      <w:r>
        <w:rPr>
          <w:rFonts w:ascii="Times New Roman" w:hAnsi="Times New Roman"/>
          <w:i w:val="0"/>
          <w:sz w:val="21"/>
          <w:szCs w:val="21"/>
        </w:rPr>
        <w:fldChar w:fldCharType="separate"/>
      </w:r>
      <w:r>
        <w:rPr>
          <w:rFonts w:ascii="Times New Roman" w:hAnsi="Times New Roman"/>
          <w:i w:val="0"/>
          <w:sz w:val="21"/>
          <w:szCs w:val="21"/>
        </w:rPr>
        <w:t>10</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"_Toc528854967" </w:instrText>
      </w:r>
      <w:r>
        <w:fldChar w:fldCharType="separate"/>
      </w:r>
      <w:r>
        <w:rPr>
          <w:rStyle w:val="32"/>
          <w:rFonts w:ascii="Times New Roman" w:hAnsi="Times New Roman"/>
          <w:i w:val="0"/>
          <w:color w:val="auto"/>
          <w:sz w:val="21"/>
          <w:szCs w:val="21"/>
        </w:rPr>
        <w:t>5.2</w:t>
      </w:r>
      <w:r>
        <w:rPr>
          <w:rStyle w:val="32"/>
          <w:rFonts w:hint="eastAsia" w:ascii="Times New Roman" w:hAnsi="Times New Roman"/>
          <w:i w:val="0"/>
          <w:color w:val="auto"/>
          <w:sz w:val="21"/>
          <w:szCs w:val="21"/>
        </w:rPr>
        <w:t>生态影响的防护与恢复措施</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_Toc528854967 \h </w:instrText>
      </w:r>
      <w:r>
        <w:rPr>
          <w:rFonts w:ascii="Times New Roman" w:hAnsi="Times New Roman"/>
          <w:i w:val="0"/>
          <w:sz w:val="21"/>
          <w:szCs w:val="21"/>
        </w:rPr>
        <w:fldChar w:fldCharType="separate"/>
      </w:r>
      <w:r>
        <w:rPr>
          <w:rFonts w:ascii="Times New Roman" w:hAnsi="Times New Roman"/>
          <w:i w:val="0"/>
          <w:sz w:val="21"/>
          <w:szCs w:val="21"/>
        </w:rPr>
        <w:t>10</w:t>
      </w:r>
      <w:r>
        <w:rPr>
          <w:rFonts w:ascii="Times New Roman" w:hAnsi="Times New Roman"/>
          <w:i w:val="0"/>
          <w:sz w:val="21"/>
          <w:szCs w:val="21"/>
        </w:rPr>
        <w:fldChar w:fldCharType="end"/>
      </w:r>
      <w:r>
        <w:fldChar w:fldCharType="end"/>
      </w:r>
    </w:p>
    <w:p>
      <w:pPr>
        <w:pStyle w:val="14"/>
        <w:tabs>
          <w:tab w:val="right" w:leader="dot" w:pos="8296"/>
        </w:tabs>
        <w:spacing w:line="420" w:lineRule="exact"/>
        <w:jc w:val="both"/>
        <w:rPr>
          <w:rFonts w:ascii="Times New Roman" w:hAnsi="Times New Roman"/>
          <w:i w:val="0"/>
          <w:iCs w:val="0"/>
          <w:sz w:val="21"/>
          <w:szCs w:val="21"/>
        </w:rPr>
      </w:pPr>
      <w:r>
        <w:fldChar w:fldCharType="begin"/>
      </w:r>
      <w:r>
        <w:instrText xml:space="preserve">HYPERLINK  \l "_Toc528854968" </w:instrText>
      </w:r>
      <w:r>
        <w:fldChar w:fldCharType="separate"/>
      </w:r>
      <w:r>
        <w:rPr>
          <w:rStyle w:val="32"/>
          <w:rFonts w:ascii="Times New Roman" w:hAnsi="Times New Roman"/>
          <w:i w:val="0"/>
          <w:color w:val="auto"/>
          <w:sz w:val="21"/>
          <w:szCs w:val="21"/>
        </w:rPr>
        <w:t>5.3</w:t>
      </w:r>
      <w:r>
        <w:rPr>
          <w:rStyle w:val="32"/>
          <w:rFonts w:hint="eastAsia" w:ascii="Times New Roman" w:hAnsi="Times New Roman"/>
          <w:i w:val="0"/>
          <w:color w:val="auto"/>
          <w:sz w:val="21"/>
          <w:szCs w:val="21"/>
        </w:rPr>
        <w:t>生态环境管理</w:t>
      </w:r>
      <w:r>
        <w:rPr>
          <w:rFonts w:ascii="Times New Roman" w:hAnsi="Times New Roman"/>
          <w:i w:val="0"/>
          <w:sz w:val="21"/>
          <w:szCs w:val="21"/>
        </w:rPr>
        <w:tab/>
      </w:r>
      <w:r>
        <w:rPr>
          <w:rFonts w:ascii="Times New Roman" w:hAnsi="Times New Roman"/>
          <w:i w:val="0"/>
          <w:sz w:val="21"/>
          <w:szCs w:val="21"/>
        </w:rPr>
        <w:fldChar w:fldCharType="begin"/>
      </w:r>
      <w:r>
        <w:rPr>
          <w:rFonts w:ascii="Times New Roman" w:hAnsi="Times New Roman"/>
          <w:i w:val="0"/>
          <w:sz w:val="21"/>
          <w:szCs w:val="21"/>
        </w:rPr>
        <w:instrText xml:space="preserve"> PAGEREF _Toc528854968 \h </w:instrText>
      </w:r>
      <w:r>
        <w:rPr>
          <w:rFonts w:ascii="Times New Roman" w:hAnsi="Times New Roman"/>
          <w:i w:val="0"/>
          <w:sz w:val="21"/>
          <w:szCs w:val="21"/>
        </w:rPr>
        <w:fldChar w:fldCharType="separate"/>
      </w:r>
      <w:r>
        <w:rPr>
          <w:rFonts w:ascii="Times New Roman" w:hAnsi="Times New Roman"/>
          <w:i w:val="0"/>
          <w:sz w:val="21"/>
          <w:szCs w:val="21"/>
        </w:rPr>
        <w:t>11</w:t>
      </w:r>
      <w:r>
        <w:rPr>
          <w:rFonts w:ascii="Times New Roman" w:hAnsi="Times New Roman"/>
          <w:i w:val="0"/>
          <w:sz w:val="21"/>
          <w:szCs w:val="21"/>
        </w:rPr>
        <w:fldChar w:fldCharType="end"/>
      </w:r>
      <w:r>
        <w:fldChar w:fldCharType="end"/>
      </w:r>
    </w:p>
    <w:p>
      <w:pPr>
        <w:pStyle w:val="27"/>
        <w:spacing w:line="420" w:lineRule="exact"/>
        <w:jc w:val="both"/>
        <w:rPr>
          <w:rFonts w:ascii="Times New Roman" w:hAnsi="Times New Roman"/>
          <w:smallCaps w:val="0"/>
          <w:sz w:val="21"/>
          <w:szCs w:val="22"/>
        </w:rPr>
      </w:pPr>
      <w:r>
        <w:fldChar w:fldCharType="begin"/>
      </w:r>
      <w:r>
        <w:instrText xml:space="preserve">HYPERLINK  \l "_Toc528854969" </w:instrText>
      </w:r>
      <w:r>
        <w:fldChar w:fldCharType="separate"/>
      </w:r>
      <w:r>
        <w:rPr>
          <w:rStyle w:val="32"/>
          <w:rFonts w:ascii="Times New Roman" w:hAnsi="Times New Roman"/>
          <w:bCs/>
          <w:color w:val="auto"/>
          <w:sz w:val="21"/>
          <w:szCs w:val="21"/>
        </w:rPr>
        <w:t>6</w:t>
      </w:r>
      <w:r>
        <w:rPr>
          <w:rStyle w:val="32"/>
          <w:rFonts w:hint="eastAsia" w:ascii="Times New Roman" w:hAnsi="Times New Roman"/>
          <w:bCs/>
          <w:color w:val="auto"/>
          <w:sz w:val="21"/>
          <w:szCs w:val="21"/>
        </w:rPr>
        <w:t>、生态环境影响评价小结</w:t>
      </w:r>
      <w:r>
        <w:rPr>
          <w:rFonts w:ascii="Times New Roman" w:hAnsi="Times New Roman"/>
          <w:sz w:val="21"/>
          <w:szCs w:val="21"/>
        </w:rPr>
        <w:tab/>
      </w:r>
      <w:r>
        <w:rPr>
          <w:rFonts w:ascii="Times New Roman" w:hAnsi="Times New Roman"/>
          <w:sz w:val="21"/>
          <w:szCs w:val="21"/>
        </w:rPr>
        <w:fldChar w:fldCharType="begin"/>
      </w:r>
      <w:r>
        <w:rPr>
          <w:rFonts w:ascii="Times New Roman" w:hAnsi="Times New Roman"/>
          <w:sz w:val="21"/>
          <w:szCs w:val="21"/>
        </w:rPr>
        <w:instrText xml:space="preserve"> PAGEREF _Toc528854969 \h </w:instrText>
      </w:r>
      <w:r>
        <w:rPr>
          <w:rFonts w:ascii="Times New Roman" w:hAnsi="Times New Roman"/>
          <w:sz w:val="21"/>
          <w:szCs w:val="21"/>
        </w:rPr>
        <w:fldChar w:fldCharType="separate"/>
      </w:r>
      <w:r>
        <w:rPr>
          <w:rFonts w:ascii="Times New Roman" w:hAnsi="Times New Roman"/>
          <w:sz w:val="21"/>
          <w:szCs w:val="21"/>
        </w:rPr>
        <w:t>16</w:t>
      </w:r>
      <w:r>
        <w:rPr>
          <w:rFonts w:ascii="Times New Roman" w:hAnsi="Times New Roman"/>
          <w:sz w:val="21"/>
          <w:szCs w:val="21"/>
        </w:rPr>
        <w:fldChar w:fldCharType="end"/>
      </w:r>
      <w:r>
        <w:fldChar w:fldCharType="end"/>
      </w:r>
    </w:p>
    <w:p>
      <w:pPr>
        <w:spacing w:line="420" w:lineRule="exact"/>
      </w:pPr>
      <w:r>
        <w:rPr>
          <w:b/>
          <w:bCs/>
          <w:lang w:val="zh-CN"/>
        </w:rPr>
        <w:fldChar w:fldCharType="end"/>
      </w:r>
    </w:p>
    <w:p>
      <w:pPr>
        <w:spacing w:line="420" w:lineRule="exact"/>
      </w:pPr>
    </w:p>
    <w:p>
      <w:pPr>
        <w:autoSpaceDE w:val="0"/>
        <w:autoSpaceDN w:val="0"/>
        <w:adjustRightInd w:val="0"/>
        <w:spacing w:line="420" w:lineRule="exact"/>
        <w:rPr>
          <w:rFonts w:cs="宋?"/>
          <w:kern w:val="0"/>
          <w:szCs w:val="21"/>
        </w:rPr>
      </w:pPr>
      <w:r>
        <w:rPr>
          <w:rFonts w:cs="宋?"/>
          <w:kern w:val="0"/>
          <w:szCs w:val="21"/>
        </w:rPr>
        <w:t>附图</w:t>
      </w:r>
    </w:p>
    <w:p>
      <w:pPr>
        <w:autoSpaceDE w:val="0"/>
        <w:autoSpaceDN w:val="0"/>
        <w:adjustRightInd w:val="0"/>
        <w:spacing w:line="420" w:lineRule="exact"/>
        <w:rPr>
          <w:rFonts w:cs="宋?"/>
          <w:kern w:val="0"/>
          <w:szCs w:val="21"/>
        </w:rPr>
      </w:pPr>
      <w:r>
        <w:rPr>
          <w:rFonts w:cs="宋?"/>
          <w:kern w:val="0"/>
          <w:szCs w:val="21"/>
        </w:rPr>
        <w:t>附图</w:t>
      </w:r>
      <w:r>
        <w:rPr>
          <w:kern w:val="0"/>
          <w:szCs w:val="21"/>
        </w:rPr>
        <w:t xml:space="preserve"> 1</w:t>
      </w:r>
      <w:r>
        <w:rPr>
          <w:rFonts w:cs="宋?"/>
          <w:kern w:val="0"/>
          <w:szCs w:val="21"/>
        </w:rPr>
        <w:t>：地理位置图</w:t>
      </w:r>
    </w:p>
    <w:p>
      <w:pPr>
        <w:tabs>
          <w:tab w:val="left" w:pos="1936"/>
        </w:tabs>
        <w:spacing w:line="420" w:lineRule="exact"/>
        <w:rPr>
          <w:rFonts w:cs="宋?"/>
          <w:kern w:val="0"/>
          <w:szCs w:val="21"/>
        </w:rPr>
      </w:pPr>
      <w:r>
        <w:rPr>
          <w:rFonts w:cs="宋?"/>
          <w:kern w:val="0"/>
          <w:szCs w:val="21"/>
        </w:rPr>
        <w:t>附图</w:t>
      </w:r>
      <w:r>
        <w:rPr>
          <w:kern w:val="0"/>
          <w:szCs w:val="21"/>
        </w:rPr>
        <w:t xml:space="preserve"> 2</w:t>
      </w:r>
      <w:r>
        <w:rPr>
          <w:rFonts w:cs="宋?"/>
          <w:kern w:val="0"/>
          <w:szCs w:val="21"/>
        </w:rPr>
        <w:t>：风机、集电线路和施工道路布置图</w:t>
      </w:r>
    </w:p>
    <w:p>
      <w:pPr>
        <w:autoSpaceDE w:val="0"/>
        <w:autoSpaceDN w:val="0"/>
        <w:adjustRightInd w:val="0"/>
        <w:spacing w:line="420" w:lineRule="exact"/>
        <w:rPr>
          <w:rFonts w:cs="宋?"/>
          <w:kern w:val="0"/>
          <w:szCs w:val="21"/>
        </w:rPr>
      </w:pPr>
      <w:r>
        <w:rPr>
          <w:rFonts w:cs="宋?"/>
          <w:kern w:val="0"/>
          <w:szCs w:val="21"/>
        </w:rPr>
        <w:t>附图</w:t>
      </w:r>
      <w:r>
        <w:rPr>
          <w:kern w:val="0"/>
          <w:szCs w:val="21"/>
        </w:rPr>
        <w:t xml:space="preserve"> 3</w:t>
      </w:r>
      <w:r>
        <w:rPr>
          <w:rFonts w:hint="eastAsia"/>
          <w:kern w:val="0"/>
          <w:szCs w:val="21"/>
        </w:rPr>
        <w:t>：</w:t>
      </w:r>
      <w:r>
        <w:rPr>
          <w:rFonts w:cs="宋?"/>
          <w:kern w:val="0"/>
          <w:szCs w:val="21"/>
        </w:rPr>
        <w:t>施工营地平面布置图</w:t>
      </w:r>
    </w:p>
    <w:p>
      <w:pPr>
        <w:autoSpaceDE w:val="0"/>
        <w:autoSpaceDN w:val="0"/>
        <w:adjustRightInd w:val="0"/>
        <w:spacing w:line="420" w:lineRule="exact"/>
        <w:rPr>
          <w:rFonts w:cs="宋?"/>
          <w:kern w:val="0"/>
          <w:szCs w:val="21"/>
        </w:rPr>
      </w:pPr>
      <w:r>
        <w:rPr>
          <w:rFonts w:cs="宋?"/>
          <w:kern w:val="0"/>
          <w:szCs w:val="21"/>
        </w:rPr>
        <w:t>附图</w:t>
      </w:r>
      <w:r>
        <w:rPr>
          <w:kern w:val="0"/>
          <w:szCs w:val="21"/>
        </w:rPr>
        <w:t xml:space="preserve"> 4</w:t>
      </w:r>
      <w:r>
        <w:rPr>
          <w:rFonts w:cs="宋?"/>
          <w:kern w:val="0"/>
          <w:szCs w:val="21"/>
        </w:rPr>
        <w:t>：地表水系图</w:t>
      </w:r>
    </w:p>
    <w:p>
      <w:pPr>
        <w:autoSpaceDE w:val="0"/>
        <w:autoSpaceDN w:val="0"/>
        <w:adjustRightInd w:val="0"/>
        <w:spacing w:line="420" w:lineRule="exact"/>
        <w:rPr>
          <w:rFonts w:cs="宋?"/>
          <w:kern w:val="0"/>
          <w:szCs w:val="21"/>
        </w:rPr>
      </w:pPr>
      <w:r>
        <w:rPr>
          <w:rFonts w:cs="宋?"/>
          <w:kern w:val="0"/>
          <w:szCs w:val="21"/>
        </w:rPr>
        <w:t>附图</w:t>
      </w:r>
      <w:r>
        <w:rPr>
          <w:kern w:val="0"/>
          <w:szCs w:val="21"/>
        </w:rPr>
        <w:t xml:space="preserve"> 5</w:t>
      </w:r>
      <w:r>
        <w:rPr>
          <w:rFonts w:cs="宋?"/>
          <w:kern w:val="0"/>
          <w:szCs w:val="21"/>
        </w:rPr>
        <w:t>： 天桥泉域图</w:t>
      </w:r>
    </w:p>
    <w:p>
      <w:pPr>
        <w:autoSpaceDE w:val="0"/>
        <w:autoSpaceDN w:val="0"/>
        <w:adjustRightInd w:val="0"/>
        <w:spacing w:line="420" w:lineRule="exact"/>
        <w:rPr>
          <w:rFonts w:cs="宋?"/>
          <w:kern w:val="0"/>
          <w:szCs w:val="21"/>
        </w:rPr>
      </w:pPr>
      <w:r>
        <w:rPr>
          <w:rFonts w:cs="宋?"/>
          <w:kern w:val="0"/>
          <w:szCs w:val="21"/>
        </w:rPr>
        <w:t>附图</w:t>
      </w:r>
      <w:r>
        <w:rPr>
          <w:kern w:val="0"/>
          <w:szCs w:val="21"/>
        </w:rPr>
        <w:t xml:space="preserve"> 6</w:t>
      </w:r>
      <w:r>
        <w:rPr>
          <w:rFonts w:cs="宋?"/>
          <w:kern w:val="0"/>
          <w:szCs w:val="21"/>
        </w:rPr>
        <w:t>：</w:t>
      </w:r>
      <w:r>
        <w:rPr>
          <w:rFonts w:hint="eastAsia" w:cs="宋?"/>
          <w:kern w:val="0"/>
          <w:szCs w:val="21"/>
        </w:rPr>
        <w:t>岢岚县水源地图</w:t>
      </w:r>
    </w:p>
    <w:p>
      <w:pPr>
        <w:autoSpaceDE w:val="0"/>
        <w:autoSpaceDN w:val="0"/>
        <w:adjustRightInd w:val="0"/>
        <w:spacing w:line="420" w:lineRule="exact"/>
        <w:rPr>
          <w:rFonts w:cs="宋?"/>
          <w:kern w:val="0"/>
          <w:szCs w:val="21"/>
        </w:rPr>
      </w:pPr>
      <w:r>
        <w:rPr>
          <w:rFonts w:cs="宋?"/>
          <w:kern w:val="0"/>
          <w:szCs w:val="21"/>
        </w:rPr>
        <w:t>附图</w:t>
      </w:r>
      <w:r>
        <w:rPr>
          <w:kern w:val="0"/>
          <w:szCs w:val="21"/>
        </w:rPr>
        <w:t xml:space="preserve"> 7</w:t>
      </w:r>
      <w:r>
        <w:rPr>
          <w:rFonts w:cs="宋?"/>
          <w:kern w:val="0"/>
          <w:szCs w:val="21"/>
        </w:rPr>
        <w:t>：</w:t>
      </w:r>
      <w:r>
        <w:rPr>
          <w:rFonts w:hint="eastAsia" w:cs="宋?"/>
          <w:kern w:val="0"/>
          <w:szCs w:val="21"/>
        </w:rPr>
        <w:t>项目与芦芽山和管涔山森林公园位置关系图；</w:t>
      </w:r>
    </w:p>
    <w:p>
      <w:pPr>
        <w:autoSpaceDE w:val="0"/>
        <w:autoSpaceDN w:val="0"/>
        <w:adjustRightInd w:val="0"/>
        <w:spacing w:line="420" w:lineRule="exact"/>
        <w:rPr>
          <w:rFonts w:cs="宋?"/>
          <w:kern w:val="0"/>
          <w:szCs w:val="21"/>
        </w:rPr>
      </w:pPr>
      <w:r>
        <w:rPr>
          <w:rFonts w:hint="eastAsia" w:cs="宋?"/>
          <w:kern w:val="0"/>
          <w:szCs w:val="21"/>
        </w:rPr>
        <w:t>附图 8：岢岚县生态功能区划图</w:t>
      </w:r>
    </w:p>
    <w:p>
      <w:pPr>
        <w:autoSpaceDE w:val="0"/>
        <w:autoSpaceDN w:val="0"/>
        <w:adjustRightInd w:val="0"/>
        <w:spacing w:line="420" w:lineRule="exact"/>
        <w:rPr>
          <w:rFonts w:cs="宋?"/>
          <w:kern w:val="0"/>
          <w:szCs w:val="21"/>
        </w:rPr>
      </w:pPr>
      <w:r>
        <w:rPr>
          <w:rFonts w:hint="eastAsia" w:cs="宋?"/>
          <w:kern w:val="0"/>
          <w:szCs w:val="21"/>
        </w:rPr>
        <w:t>附图 9：岢岚县生态经济区划图</w:t>
      </w:r>
    </w:p>
    <w:p>
      <w:pPr>
        <w:autoSpaceDE w:val="0"/>
        <w:autoSpaceDN w:val="0"/>
        <w:adjustRightInd w:val="0"/>
        <w:spacing w:line="420" w:lineRule="exact"/>
        <w:rPr>
          <w:rFonts w:cs="宋?"/>
          <w:kern w:val="0"/>
          <w:szCs w:val="21"/>
        </w:rPr>
      </w:pPr>
      <w:r>
        <w:rPr>
          <w:rFonts w:hint="eastAsia" w:cs="宋?"/>
          <w:kern w:val="0"/>
          <w:szCs w:val="21"/>
        </w:rPr>
        <w:t>附图 10：山西省主体功能区划图</w:t>
      </w:r>
    </w:p>
    <w:p>
      <w:pPr>
        <w:pStyle w:val="15"/>
        <w:spacing w:line="420" w:lineRule="exact"/>
        <w:rPr>
          <w:rFonts w:ascii="Times New Roman" w:hAnsi="Times New Roman"/>
        </w:rPr>
      </w:pPr>
      <w:r>
        <w:rPr>
          <w:rFonts w:hint="eastAsia" w:ascii="Times New Roman" w:hAnsi="Times New Roman"/>
        </w:rPr>
        <w:t>附图 11：四邻关系及敏感目标分布图</w:t>
      </w:r>
    </w:p>
    <w:p>
      <w:pPr>
        <w:pStyle w:val="15"/>
        <w:spacing w:line="420" w:lineRule="exact"/>
        <w:rPr>
          <w:rFonts w:ascii="Times New Roman" w:hAnsi="Times New Roman"/>
        </w:rPr>
      </w:pPr>
      <w:r>
        <w:rPr>
          <w:rFonts w:hint="eastAsia" w:ascii="Times New Roman" w:hAnsi="Times New Roman"/>
        </w:rPr>
        <w:t>附图 12：土地利用现状图</w:t>
      </w:r>
    </w:p>
    <w:p>
      <w:pPr>
        <w:pStyle w:val="15"/>
        <w:spacing w:line="420" w:lineRule="exact"/>
        <w:rPr>
          <w:rFonts w:ascii="Times New Roman" w:hAnsi="Times New Roman"/>
        </w:rPr>
      </w:pPr>
      <w:r>
        <w:rPr>
          <w:rFonts w:hint="eastAsia" w:ascii="Times New Roman" w:hAnsi="Times New Roman"/>
        </w:rPr>
        <w:t>附图 13：植被类型分布图</w:t>
      </w:r>
    </w:p>
    <w:p>
      <w:pPr>
        <w:pStyle w:val="15"/>
        <w:spacing w:line="420" w:lineRule="exact"/>
        <w:rPr>
          <w:rFonts w:ascii="Times New Roman" w:hAnsi="Times New Roman"/>
        </w:rPr>
      </w:pPr>
      <w:r>
        <w:rPr>
          <w:rFonts w:hint="eastAsia" w:ascii="Times New Roman" w:hAnsi="Times New Roman"/>
        </w:rPr>
        <w:t>附图 14：土壤侵蚀结果图</w:t>
      </w:r>
    </w:p>
    <w:p>
      <w:pPr>
        <w:pStyle w:val="15"/>
        <w:spacing w:line="420" w:lineRule="exact"/>
        <w:rPr>
          <w:rFonts w:ascii="Times New Roman" w:hAnsi="Times New Roman"/>
        </w:rPr>
      </w:pPr>
      <w:r>
        <w:rPr>
          <w:rFonts w:hint="eastAsia" w:ascii="Times New Roman" w:hAnsi="Times New Roman"/>
        </w:rPr>
        <w:t>附图 15：</w:t>
      </w:r>
      <w:r>
        <w:rPr>
          <w:rFonts w:ascii="Times New Roman" w:hAnsi="Times New Roman"/>
        </w:rPr>
        <w:t>典型生态保护措施平面示意图</w:t>
      </w:r>
    </w:p>
    <w:p>
      <w:pPr>
        <w:autoSpaceDE w:val="0"/>
        <w:autoSpaceDN w:val="0"/>
        <w:adjustRightInd w:val="0"/>
        <w:spacing w:line="420" w:lineRule="exact"/>
        <w:rPr>
          <w:rFonts w:cs="宋?"/>
          <w:kern w:val="0"/>
          <w:szCs w:val="21"/>
        </w:rPr>
      </w:pPr>
    </w:p>
    <w:p>
      <w:pPr>
        <w:autoSpaceDE w:val="0"/>
        <w:autoSpaceDN w:val="0"/>
        <w:adjustRightInd w:val="0"/>
        <w:spacing w:line="420" w:lineRule="exact"/>
        <w:rPr>
          <w:rFonts w:cs="宋?"/>
          <w:kern w:val="0"/>
          <w:szCs w:val="21"/>
        </w:rPr>
      </w:pPr>
      <w:r>
        <w:rPr>
          <w:rFonts w:cs="宋?"/>
          <w:kern w:val="0"/>
          <w:szCs w:val="21"/>
        </w:rPr>
        <w:t>附件</w:t>
      </w:r>
    </w:p>
    <w:p>
      <w:pPr>
        <w:autoSpaceDE w:val="0"/>
        <w:autoSpaceDN w:val="0"/>
        <w:adjustRightInd w:val="0"/>
        <w:spacing w:line="420" w:lineRule="exact"/>
        <w:rPr>
          <w:rFonts w:cs="宋?"/>
          <w:kern w:val="0"/>
          <w:szCs w:val="21"/>
        </w:rPr>
      </w:pPr>
      <w:r>
        <w:rPr>
          <w:rFonts w:cs="宋?"/>
          <w:kern w:val="0"/>
          <w:szCs w:val="21"/>
        </w:rPr>
        <w:t>附件</w:t>
      </w:r>
      <w:r>
        <w:rPr>
          <w:rFonts w:hint="eastAsia" w:cs="宋?"/>
          <w:kern w:val="0"/>
          <w:szCs w:val="21"/>
        </w:rPr>
        <w:t xml:space="preserve"> 1</w:t>
      </w:r>
      <w:r>
        <w:rPr>
          <w:rFonts w:cs="宋?"/>
          <w:kern w:val="0"/>
          <w:szCs w:val="21"/>
        </w:rPr>
        <w:t>：环评委托书</w:t>
      </w:r>
    </w:p>
    <w:p>
      <w:pPr>
        <w:autoSpaceDE w:val="0"/>
        <w:autoSpaceDN w:val="0"/>
        <w:adjustRightInd w:val="0"/>
        <w:spacing w:line="420" w:lineRule="exact"/>
        <w:rPr>
          <w:rFonts w:cs="宋?"/>
          <w:kern w:val="0"/>
          <w:szCs w:val="21"/>
        </w:rPr>
      </w:pPr>
      <w:r>
        <w:rPr>
          <w:rFonts w:cs="宋?"/>
          <w:kern w:val="0"/>
          <w:szCs w:val="21"/>
        </w:rPr>
        <w:t>附件</w:t>
      </w:r>
      <w:r>
        <w:rPr>
          <w:rFonts w:hint="eastAsia" w:cs="宋?"/>
          <w:kern w:val="0"/>
          <w:szCs w:val="21"/>
        </w:rPr>
        <w:t xml:space="preserve"> 2</w:t>
      </w:r>
      <w:r>
        <w:rPr>
          <w:rFonts w:cs="宋?"/>
          <w:kern w:val="0"/>
          <w:szCs w:val="21"/>
        </w:rPr>
        <w:t>：</w:t>
      </w:r>
      <w:r>
        <w:rPr>
          <w:rFonts w:hint="eastAsia" w:cs="宋?"/>
          <w:kern w:val="0"/>
          <w:szCs w:val="21"/>
        </w:rPr>
        <w:t>关于印发《山西省‘十三五’分散式风电开发建设方案》的通知</w:t>
      </w:r>
    </w:p>
    <w:p>
      <w:pPr>
        <w:autoSpaceDE w:val="0"/>
        <w:autoSpaceDN w:val="0"/>
        <w:adjustRightInd w:val="0"/>
        <w:spacing w:line="420" w:lineRule="exact"/>
        <w:rPr>
          <w:rFonts w:cs="宋?"/>
          <w:kern w:val="0"/>
          <w:szCs w:val="21"/>
        </w:rPr>
      </w:pPr>
      <w:r>
        <w:rPr>
          <w:rFonts w:cs="宋?"/>
          <w:kern w:val="0"/>
          <w:szCs w:val="21"/>
        </w:rPr>
        <w:t>附件</w:t>
      </w:r>
      <w:r>
        <w:rPr>
          <w:rFonts w:hint="eastAsia" w:cs="宋?"/>
          <w:kern w:val="0"/>
          <w:szCs w:val="21"/>
        </w:rPr>
        <w:t xml:space="preserve"> 3</w:t>
      </w:r>
      <w:r>
        <w:rPr>
          <w:rFonts w:cs="宋?"/>
          <w:kern w:val="0"/>
          <w:szCs w:val="21"/>
        </w:rPr>
        <w:t>：</w:t>
      </w:r>
      <w:r>
        <w:rPr>
          <w:rFonts w:hint="eastAsia" w:cs="宋?"/>
          <w:kern w:val="0"/>
          <w:szCs w:val="21"/>
        </w:rPr>
        <w:t>风电场选址意见</w:t>
      </w:r>
    </w:p>
    <w:p>
      <w:pPr>
        <w:autoSpaceDE w:val="0"/>
        <w:autoSpaceDN w:val="0"/>
        <w:adjustRightInd w:val="0"/>
        <w:spacing w:line="420" w:lineRule="exact"/>
        <w:rPr>
          <w:rFonts w:cs="宋?"/>
          <w:kern w:val="0"/>
          <w:szCs w:val="21"/>
        </w:rPr>
      </w:pPr>
      <w:r>
        <w:rPr>
          <w:rFonts w:hint="eastAsia" w:cs="宋?"/>
          <w:kern w:val="0"/>
          <w:szCs w:val="21"/>
        </w:rPr>
        <w:t>附件 4：</w:t>
      </w:r>
      <w:r>
        <w:rPr>
          <w:rFonts w:cs="宋?"/>
          <w:kern w:val="0"/>
          <w:szCs w:val="21"/>
        </w:rPr>
        <w:t>声环境质量监测报告</w:t>
      </w:r>
    </w:p>
    <w:p>
      <w:pPr>
        <w:autoSpaceDE w:val="0"/>
        <w:autoSpaceDN w:val="0"/>
        <w:adjustRightInd w:val="0"/>
        <w:spacing w:line="420" w:lineRule="exact"/>
        <w:rPr>
          <w:rFonts w:cs="宋?"/>
          <w:kern w:val="0"/>
          <w:szCs w:val="21"/>
        </w:rPr>
      </w:pPr>
      <w:r>
        <w:rPr>
          <w:rFonts w:hint="eastAsia" w:cs="宋?"/>
          <w:kern w:val="0"/>
          <w:szCs w:val="21"/>
        </w:rPr>
        <w:t>附件 5：关于忻州市2018年风电开发建设项目涉及生态保护红线划定方案的报告</w:t>
      </w:r>
    </w:p>
    <w:p>
      <w:pPr>
        <w:autoSpaceDE w:val="0"/>
        <w:autoSpaceDN w:val="0"/>
        <w:adjustRightInd w:val="0"/>
        <w:spacing w:line="420" w:lineRule="exact"/>
        <w:rPr>
          <w:rFonts w:cs="宋?"/>
          <w:kern w:val="0"/>
          <w:szCs w:val="21"/>
        </w:rPr>
      </w:pPr>
      <w:r>
        <w:rPr>
          <w:rFonts w:hint="eastAsia" w:cs="宋?"/>
          <w:kern w:val="0"/>
          <w:szCs w:val="21"/>
        </w:rPr>
        <w:t>附件 6：专家技术审查意见</w:t>
      </w:r>
    </w:p>
    <w:p>
      <w:pPr>
        <w:autoSpaceDE w:val="0"/>
        <w:autoSpaceDN w:val="0"/>
        <w:adjustRightInd w:val="0"/>
        <w:spacing w:line="420" w:lineRule="exact"/>
        <w:rPr>
          <w:rFonts w:cs="宋?"/>
          <w:kern w:val="0"/>
          <w:szCs w:val="21"/>
        </w:rPr>
      </w:pPr>
    </w:p>
    <w:p>
      <w:pPr>
        <w:autoSpaceDE w:val="0"/>
        <w:autoSpaceDN w:val="0"/>
        <w:adjustRightInd w:val="0"/>
        <w:spacing w:line="420" w:lineRule="exact"/>
        <w:rPr>
          <w:rFonts w:cs="宋?"/>
          <w:kern w:val="0"/>
          <w:szCs w:val="21"/>
        </w:rPr>
      </w:pPr>
      <w:r>
        <w:rPr>
          <w:rFonts w:cs="宋?"/>
          <w:kern w:val="0"/>
          <w:szCs w:val="21"/>
        </w:rPr>
        <w:t>附表</w:t>
      </w:r>
      <w:r>
        <w:rPr>
          <w:rFonts w:hint="eastAsia" w:cs="宋?"/>
          <w:kern w:val="0"/>
          <w:szCs w:val="21"/>
        </w:rPr>
        <w:t>：</w:t>
      </w:r>
      <w:r>
        <w:rPr>
          <w:rFonts w:cs="宋?"/>
          <w:kern w:val="0"/>
          <w:szCs w:val="21"/>
        </w:rPr>
        <w:t>建设项目</w:t>
      </w:r>
      <w:r>
        <w:rPr>
          <w:rFonts w:hint="eastAsia" w:cs="宋?"/>
          <w:kern w:val="0"/>
          <w:szCs w:val="21"/>
        </w:rPr>
        <w:t>基础信息表</w:t>
      </w:r>
    </w:p>
    <w:p>
      <w:pPr>
        <w:tabs>
          <w:tab w:val="left" w:pos="1936"/>
        </w:tabs>
        <w:wordWrap w:val="0"/>
        <w:rPr>
          <w:rFonts w:cs="宋?"/>
          <w:kern w:val="0"/>
          <w:sz w:val="24"/>
        </w:rPr>
        <w:sectPr>
          <w:pgSz w:w="11906" w:h="16838"/>
          <w:pgMar w:top="1440" w:right="1800" w:bottom="1440" w:left="1800" w:header="851" w:footer="992" w:gutter="0"/>
          <w:cols w:space="720" w:num="1"/>
          <w:docGrid w:type="lines" w:linePitch="312"/>
        </w:sectPr>
      </w:pPr>
    </w:p>
    <w:p>
      <w:pPr>
        <w:pStyle w:val="15"/>
        <w:wordWrap w:val="0"/>
        <w:snapToGrid w:val="0"/>
        <w:spacing w:beforeLines="25" w:afterLines="25" w:line="440" w:lineRule="exact"/>
        <w:outlineLvl w:val="0"/>
        <w:rPr>
          <w:rFonts w:ascii="Times New Roman" w:hAnsi="Times New Roman" w:cs="Times New Roman"/>
          <w:b/>
          <w:bCs/>
          <w:sz w:val="28"/>
          <w:szCs w:val="28"/>
        </w:rPr>
      </w:pPr>
      <w:bookmarkStart w:id="0" w:name="_Toc528854941"/>
      <w:r>
        <w:rPr>
          <w:rFonts w:hint="eastAsia" w:ascii="Times New Roman" w:hAnsi="Times New Roman" w:cs="Times New Roman"/>
          <w:b/>
          <w:bCs/>
          <w:sz w:val="28"/>
          <w:szCs w:val="28"/>
        </w:rPr>
        <w:t>一、建设项目基本情况</w:t>
      </w:r>
      <w:bookmarkEnd w:id="0"/>
    </w:p>
    <w:tbl>
      <w:tblP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909"/>
        <w:gridCol w:w="1601"/>
        <w:gridCol w:w="1270"/>
        <w:gridCol w:w="998"/>
        <w:gridCol w:w="426"/>
        <w:gridCol w:w="1330"/>
        <w:gridCol w:w="988"/>
      </w:tblGrid>
      <w:tr>
        <w:trPr>
          <w:trHeight w:val="34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spacing w:line="360" w:lineRule="exact"/>
              <w:jc w:val="center"/>
              <w:rPr>
                <w:rFonts w:ascii="Times New Roman" w:hAnsi="Times New Roman" w:cs="Times New Roman"/>
                <w:sz w:val="24"/>
                <w:szCs w:val="24"/>
              </w:rPr>
            </w:pPr>
            <w:r>
              <w:rPr>
                <w:rFonts w:ascii="Times New Roman" w:hAnsi="Times New Roman" w:cs="Times New Roman"/>
                <w:sz w:val="24"/>
                <w:szCs w:val="24"/>
              </w:rPr>
              <w:t>项目名称</w:t>
            </w:r>
          </w:p>
        </w:tc>
        <w:tc>
          <w:tcPr>
            <w:tcW w:w="6613" w:type="dxa"/>
            <w:gridSpan w:val="6"/>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bCs/>
                <w:sz w:val="24"/>
                <w:szCs w:val="24"/>
              </w:rPr>
            </w:pPr>
            <w:r>
              <w:rPr>
                <w:rFonts w:hint="eastAsia" w:ascii="Times New Roman" w:hAnsi="Times New Roman" w:cs="Times New Roman"/>
                <w:bCs/>
                <w:sz w:val="24"/>
                <w:szCs w:val="24"/>
              </w:rPr>
              <w:t>太原重工股份有限公司岢岚6MW分散式风电项目</w:t>
            </w:r>
          </w:p>
        </w:tc>
      </w:tr>
      <w:tr>
        <w:trPr>
          <w:trHeight w:val="34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建设单位</w:t>
            </w:r>
          </w:p>
        </w:tc>
        <w:tc>
          <w:tcPr>
            <w:tcW w:w="6613" w:type="dxa"/>
            <w:gridSpan w:val="6"/>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bCs/>
                <w:sz w:val="24"/>
                <w:szCs w:val="24"/>
              </w:rPr>
              <w:t>太原重工股份有限公司</w:t>
            </w:r>
          </w:p>
        </w:tc>
      </w:tr>
      <w:tr>
        <w:trPr>
          <w:trHeight w:val="34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法人代表</w:t>
            </w:r>
          </w:p>
        </w:tc>
        <w:tc>
          <w:tcPr>
            <w:tcW w:w="2871"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王创民</w:t>
            </w:r>
          </w:p>
        </w:tc>
        <w:tc>
          <w:tcPr>
            <w:tcW w:w="1424"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联系人</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宋?"/>
                <w:kern w:val="0"/>
                <w:sz w:val="24"/>
                <w:szCs w:val="24"/>
              </w:rPr>
              <w:t>成将</w:t>
            </w:r>
          </w:p>
        </w:tc>
      </w:tr>
      <w:tr>
        <w:trPr>
          <w:trHeight w:val="34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通讯地址</w:t>
            </w:r>
          </w:p>
        </w:tc>
        <w:tc>
          <w:tcPr>
            <w:tcW w:w="6613" w:type="dxa"/>
            <w:gridSpan w:val="6"/>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山西省</w:t>
            </w:r>
            <w:r>
              <w:rPr>
                <w:rFonts w:hint="eastAsia" w:ascii="Times New Roman" w:hAnsi="Times New Roman" w:cs="Times New Roman"/>
                <w:sz w:val="24"/>
                <w:szCs w:val="24"/>
              </w:rPr>
              <w:t>万柏林区玉河街53号</w:t>
            </w:r>
          </w:p>
        </w:tc>
      </w:tr>
      <w:tr>
        <w:trPr>
          <w:trHeight w:val="413"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联系电话</w:t>
            </w:r>
          </w:p>
        </w:tc>
        <w:tc>
          <w:tcPr>
            <w:tcW w:w="1601"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kern w:val="0"/>
                <w:sz w:val="24"/>
                <w:szCs w:val="24"/>
              </w:rPr>
              <w:t>13546335442</w:t>
            </w:r>
          </w:p>
        </w:tc>
        <w:tc>
          <w:tcPr>
            <w:tcW w:w="1270"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传真</w:t>
            </w:r>
          </w:p>
        </w:tc>
        <w:tc>
          <w:tcPr>
            <w:tcW w:w="1424"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w:t>
            </w:r>
          </w:p>
        </w:tc>
        <w:tc>
          <w:tcPr>
            <w:tcW w:w="1330"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邮政编码</w:t>
            </w:r>
          </w:p>
        </w:tc>
        <w:tc>
          <w:tcPr>
            <w:tcW w:w="988"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030000</w:t>
            </w:r>
          </w:p>
        </w:tc>
      </w:tr>
      <w:tr>
        <w:trPr>
          <w:trHeight w:val="27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建设地点</w:t>
            </w:r>
          </w:p>
        </w:tc>
        <w:tc>
          <w:tcPr>
            <w:tcW w:w="6613" w:type="dxa"/>
            <w:gridSpan w:val="6"/>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sz w:val="24"/>
              </w:rPr>
            </w:pPr>
            <w:r>
              <w:rPr>
                <w:rFonts w:ascii="Times New Roman" w:hAnsi="Times New Roman"/>
                <w:sz w:val="24"/>
              </w:rPr>
              <w:t>山西省忻州市岢岚县</w:t>
            </w:r>
            <w:r>
              <w:rPr>
                <w:rFonts w:hint="eastAsia" w:ascii="Times New Roman" w:hAnsi="Times New Roman"/>
                <w:sz w:val="24"/>
              </w:rPr>
              <w:t>岚漪镇后砖窑村一带</w:t>
            </w:r>
          </w:p>
        </w:tc>
      </w:tr>
      <w:tr>
        <w:trPr>
          <w:trHeight w:val="27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wordWrap w:val="0"/>
              <w:autoSpaceDE w:val="0"/>
              <w:autoSpaceDN w:val="0"/>
              <w:adjustRightInd w:val="0"/>
              <w:spacing w:line="360" w:lineRule="exact"/>
              <w:ind w:left="159"/>
              <w:jc w:val="center"/>
              <w:rPr>
                <w:sz w:val="24"/>
              </w:rPr>
            </w:pPr>
            <w:r>
              <w:rPr>
                <w:rFonts w:cs="宋?"/>
                <w:kern w:val="0"/>
                <w:sz w:val="24"/>
              </w:rPr>
              <w:t>立项审批部门</w:t>
            </w:r>
          </w:p>
        </w:tc>
        <w:tc>
          <w:tcPr>
            <w:tcW w:w="2871" w:type="dxa"/>
            <w:gridSpan w:val="2"/>
            <w:tcBorders>
              <w:top w:val="single" w:color="auto" w:sz="4" w:space="0"/>
              <w:left w:val="single" w:color="auto" w:sz="4" w:space="0"/>
              <w:bottom w:val="single" w:color="auto" w:sz="4" w:space="0"/>
              <w:right w:val="single" w:color="auto" w:sz="4" w:space="0"/>
            </w:tcBorders>
            <w:vAlign w:val="center"/>
          </w:tcPr>
          <w:p>
            <w:pPr>
              <w:wordWrap w:val="0"/>
              <w:autoSpaceDE w:val="0"/>
              <w:autoSpaceDN w:val="0"/>
              <w:adjustRightInd w:val="0"/>
              <w:spacing w:line="360" w:lineRule="exact"/>
              <w:ind w:left="166"/>
              <w:jc w:val="center"/>
              <w:rPr>
                <w:rFonts w:cs="宋?"/>
                <w:kern w:val="0"/>
                <w:sz w:val="24"/>
              </w:rPr>
            </w:pPr>
            <w:r>
              <w:rPr>
                <w:rFonts w:cs="宋?"/>
                <w:kern w:val="0"/>
                <w:sz w:val="24"/>
              </w:rPr>
              <w:t>山西省发展和改革委员会</w:t>
            </w:r>
          </w:p>
        </w:tc>
        <w:tc>
          <w:tcPr>
            <w:tcW w:w="1424" w:type="dxa"/>
            <w:gridSpan w:val="2"/>
            <w:tcBorders>
              <w:top w:val="single" w:color="auto" w:sz="4" w:space="0"/>
              <w:left w:val="single" w:color="auto" w:sz="4" w:space="0"/>
              <w:bottom w:val="single" w:color="auto" w:sz="4" w:space="0"/>
              <w:right w:val="single" w:color="auto" w:sz="4" w:space="0"/>
            </w:tcBorders>
            <w:vAlign w:val="center"/>
          </w:tcPr>
          <w:p>
            <w:pPr>
              <w:wordWrap w:val="0"/>
              <w:autoSpaceDE w:val="0"/>
              <w:autoSpaceDN w:val="0"/>
              <w:adjustRightInd w:val="0"/>
              <w:spacing w:line="360" w:lineRule="exact"/>
              <w:ind w:firstLine="120" w:firstLineChars="50"/>
              <w:jc w:val="center"/>
              <w:rPr>
                <w:rFonts w:cs="宋?"/>
                <w:kern w:val="0"/>
                <w:sz w:val="24"/>
              </w:rPr>
            </w:pPr>
            <w:r>
              <w:rPr>
                <w:rFonts w:cs="宋?"/>
                <w:kern w:val="0"/>
                <w:sz w:val="24"/>
              </w:rPr>
              <w:t>批准文号</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wordWrap w:val="0"/>
              <w:autoSpaceDE w:val="0"/>
              <w:autoSpaceDN w:val="0"/>
              <w:adjustRightInd w:val="0"/>
              <w:spacing w:line="360" w:lineRule="exact"/>
              <w:jc w:val="center"/>
              <w:rPr>
                <w:rFonts w:cs="宋?"/>
                <w:kern w:val="0"/>
                <w:sz w:val="24"/>
              </w:rPr>
            </w:pPr>
            <w:r>
              <w:rPr>
                <w:rFonts w:cs="宋?"/>
                <w:kern w:val="0"/>
                <w:sz w:val="24"/>
              </w:rPr>
              <w:t>晋发改新能源发</w:t>
            </w:r>
            <w:r>
              <w:rPr>
                <w:kern w:val="0"/>
                <w:sz w:val="24"/>
              </w:rPr>
              <w:t>[201</w:t>
            </w:r>
            <w:r>
              <w:rPr>
                <w:rFonts w:hint="eastAsia"/>
                <w:kern w:val="0"/>
                <w:sz w:val="24"/>
              </w:rPr>
              <w:t>8</w:t>
            </w:r>
            <w:r>
              <w:rPr>
                <w:kern w:val="0"/>
                <w:sz w:val="24"/>
              </w:rPr>
              <w:t>]</w:t>
            </w:r>
            <w:r>
              <w:rPr>
                <w:rFonts w:hint="eastAsia"/>
                <w:kern w:val="0"/>
                <w:sz w:val="24"/>
              </w:rPr>
              <w:t>319</w:t>
            </w:r>
            <w:r>
              <w:rPr>
                <w:rFonts w:cs="宋?"/>
                <w:kern w:val="0"/>
                <w:sz w:val="24"/>
              </w:rPr>
              <w:t>号</w:t>
            </w:r>
          </w:p>
        </w:tc>
      </w:tr>
      <w:tr>
        <w:trPr>
          <w:trHeight w:val="34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建设性质</w:t>
            </w:r>
          </w:p>
        </w:tc>
        <w:tc>
          <w:tcPr>
            <w:tcW w:w="2871"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新建</w:t>
            </w:r>
          </w:p>
        </w:tc>
        <w:tc>
          <w:tcPr>
            <w:tcW w:w="1424"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行业类别及代码</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bookmarkStart w:id="1" w:name="OLE_LINK7"/>
            <w:r>
              <w:rPr>
                <w:rFonts w:hint="eastAsia" w:ascii="Times New Roman" w:hAnsi="Times New Roman" w:cs="Times New Roman"/>
                <w:sz w:val="24"/>
                <w:szCs w:val="24"/>
              </w:rPr>
              <w:t>风力</w:t>
            </w:r>
            <w:r>
              <w:rPr>
                <w:rFonts w:ascii="Times New Roman" w:hAnsi="Times New Roman" w:cs="Times New Roman"/>
                <w:sz w:val="24"/>
                <w:szCs w:val="24"/>
              </w:rPr>
              <w:t>发电D441</w:t>
            </w:r>
            <w:bookmarkEnd w:id="1"/>
            <w:r>
              <w:rPr>
                <w:rFonts w:hint="eastAsia" w:ascii="Times New Roman" w:hAnsi="Times New Roman" w:cs="Times New Roman"/>
                <w:sz w:val="24"/>
                <w:szCs w:val="24"/>
              </w:rPr>
              <w:t>4</w:t>
            </w:r>
          </w:p>
        </w:tc>
      </w:tr>
      <w:tr>
        <w:trPr>
          <w:trHeight w:val="347"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永久占地面积(平方米)</w:t>
            </w:r>
          </w:p>
        </w:tc>
        <w:tc>
          <w:tcPr>
            <w:tcW w:w="2871"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1056</w:t>
            </w:r>
          </w:p>
        </w:tc>
        <w:tc>
          <w:tcPr>
            <w:tcW w:w="1424"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绿化面积</w:t>
            </w:r>
          </w:p>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(平方米)</w:t>
            </w:r>
          </w:p>
        </w:tc>
        <w:tc>
          <w:tcPr>
            <w:tcW w:w="2318"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p>
        </w:tc>
      </w:tr>
      <w:tr>
        <w:trPr>
          <w:trHeight w:val="932"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工程总投资(万元)</w:t>
            </w:r>
          </w:p>
        </w:tc>
        <w:tc>
          <w:tcPr>
            <w:tcW w:w="1601"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bCs/>
                <w:sz w:val="24"/>
                <w:szCs w:val="24"/>
              </w:rPr>
              <w:t>5236.05</w:t>
            </w:r>
          </w:p>
        </w:tc>
        <w:tc>
          <w:tcPr>
            <w:tcW w:w="1270"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环保投资</w:t>
            </w:r>
          </w:p>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(万元)</w:t>
            </w:r>
          </w:p>
        </w:tc>
        <w:tc>
          <w:tcPr>
            <w:tcW w:w="998"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170</w:t>
            </w:r>
          </w:p>
        </w:tc>
        <w:tc>
          <w:tcPr>
            <w:tcW w:w="1756"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环保投资占总投资比例（%）</w:t>
            </w:r>
          </w:p>
        </w:tc>
        <w:tc>
          <w:tcPr>
            <w:tcW w:w="988"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3.25</w:t>
            </w:r>
          </w:p>
        </w:tc>
      </w:tr>
      <w:tr>
        <w:trPr>
          <w:trHeight w:val="490"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建设规模</w:t>
            </w:r>
          </w:p>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MW</w:t>
            </w:r>
            <w:r>
              <w:rPr>
                <w:rFonts w:hint="eastAsia" w:ascii="Times New Roman" w:hAnsi="Times New Roman" w:cs="Times New Roman"/>
                <w:sz w:val="24"/>
                <w:szCs w:val="24"/>
              </w:rPr>
              <w:t>）</w:t>
            </w:r>
          </w:p>
        </w:tc>
        <w:tc>
          <w:tcPr>
            <w:tcW w:w="1601" w:type="dxa"/>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6.0</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ascii="Times New Roman" w:hAnsi="Times New Roman" w:cs="Times New Roman"/>
                <w:sz w:val="24"/>
                <w:szCs w:val="24"/>
              </w:rPr>
              <w:t>预期投产日期</w:t>
            </w:r>
          </w:p>
        </w:tc>
        <w:tc>
          <w:tcPr>
            <w:tcW w:w="2744" w:type="dxa"/>
            <w:gridSpan w:val="3"/>
            <w:tcBorders>
              <w:top w:val="single" w:color="auto" w:sz="4" w:space="0"/>
              <w:left w:val="single" w:color="auto" w:sz="4" w:space="0"/>
              <w:bottom w:val="single" w:color="auto" w:sz="4" w:space="0"/>
              <w:right w:val="single" w:color="auto" w:sz="4" w:space="0"/>
            </w:tcBorders>
            <w:vAlign w:val="center"/>
          </w:tcPr>
          <w:p>
            <w:pPr>
              <w:pStyle w:val="15"/>
              <w:wordWrap w:val="0"/>
              <w:spacing w:line="360" w:lineRule="exact"/>
              <w:jc w:val="center"/>
              <w:rPr>
                <w:rFonts w:ascii="Times New Roman" w:hAnsi="Times New Roman" w:cs="Times New Roman"/>
                <w:sz w:val="24"/>
                <w:szCs w:val="24"/>
              </w:rPr>
            </w:pPr>
            <w:r>
              <w:rPr>
                <w:rFonts w:hint="eastAsia" w:ascii="Times New Roman" w:hAnsi="Times New Roman" w:cs="Times New Roman"/>
                <w:sz w:val="24"/>
                <w:szCs w:val="24"/>
              </w:rPr>
              <w:t>2020年5月</w:t>
            </w:r>
          </w:p>
        </w:tc>
      </w:tr>
      <w:tr>
        <w:trPr>
          <w:trHeight w:val="2805" w:hRule="atLeast"/>
          <w:jc w:val="center"/>
        </w:trPr>
        <w:tc>
          <w:tcPr>
            <w:tcW w:w="8522" w:type="dxa"/>
            <w:gridSpan w:val="7"/>
            <w:tcBorders>
              <w:top w:val="single" w:color="auto" w:sz="4" w:space="0"/>
              <w:left w:val="single" w:color="auto" w:sz="4" w:space="0"/>
              <w:bottom w:val="single" w:color="auto" w:sz="4" w:space="0"/>
              <w:right w:val="single" w:color="auto" w:sz="4" w:space="0"/>
            </w:tcBorders>
            <w:vAlign w:val="center"/>
          </w:tcPr>
          <w:p>
            <w:pPr>
              <w:pStyle w:val="15"/>
              <w:wordWrap w:val="0"/>
              <w:spacing w:line="440" w:lineRule="exact"/>
              <w:rPr>
                <w:rFonts w:ascii="Times New Roman" w:hAnsi="Times New Roman" w:cs="Times New Roman"/>
                <w:b/>
                <w:bCs/>
                <w:sz w:val="28"/>
                <w:szCs w:val="28"/>
              </w:rPr>
            </w:pPr>
            <w:r>
              <w:rPr>
                <w:rFonts w:ascii="Times New Roman" w:hAnsi="Times New Roman" w:cs="Times New Roman"/>
                <w:b/>
                <w:bCs/>
                <w:sz w:val="28"/>
                <w:szCs w:val="28"/>
              </w:rPr>
              <w:t>一、工程内容及规模</w:t>
            </w:r>
          </w:p>
          <w:p>
            <w:pPr>
              <w:pStyle w:val="29"/>
              <w:wordWrap w:val="0"/>
              <w:spacing w:beforeLines="25" w:beforeAutospacing="0" w:afterLines="25" w:afterAutospacing="0" w:line="440" w:lineRule="exact"/>
              <w:jc w:val="both"/>
              <w:rPr>
                <w:rFonts w:ascii="Times New Roman" w:hAnsi="Times New Roman" w:cs="Times New Roman"/>
                <w:b/>
                <w:sz w:val="28"/>
                <w:szCs w:val="28"/>
              </w:rPr>
            </w:pPr>
            <w:r>
              <w:rPr>
                <w:rFonts w:hint="eastAsia" w:ascii="Times New Roman" w:hAnsi="Times New Roman" w:cs="Times New Roman"/>
                <w:b/>
                <w:sz w:val="28"/>
                <w:szCs w:val="28"/>
              </w:rPr>
              <w:t>1、项目提出背景</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山西水电资源贫乏，主要以燃煤发电为主，由此带来的问题是煤炭资源消耗量大，燃煤排放的SO</w:t>
            </w:r>
            <w:r>
              <w:rPr>
                <w:rFonts w:hint="eastAsia" w:cs="宋?"/>
                <w:kern w:val="0"/>
                <w:sz w:val="24"/>
                <w:vertAlign w:val="subscript"/>
              </w:rPr>
              <w:t>2</w:t>
            </w:r>
            <w:r>
              <w:rPr>
                <w:rFonts w:hint="eastAsia" w:cs="宋?"/>
                <w:kern w:val="0"/>
                <w:sz w:val="24"/>
              </w:rPr>
              <w:t>、烟尘、NOx对环境造成污染，同时因燃煤发电需水量大，加剧了地区干旱缺水的紧张局面。风电作为一种清洁环保的能源，基本不存在环境污染，在山西风力资源丰富的地区建设风电场，可减少对煤炭和水资源的消耗，保护环境，有利于国民</w:t>
            </w:r>
            <w:r>
              <w:rPr>
                <w:rFonts w:cs="宋?"/>
                <w:kern w:val="0"/>
                <w:sz w:val="24"/>
              </w:rPr>
              <w:t>经济的可持续发展。</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根据国家能源局《关于加快推进分散式风电项目建设有关要求的通知》（国能发新能【2017】3号）要求，山西省发展和改革委员会于2018年4月20日以晋发改新能源发【2018】218号文发布“关于印发《山西省‘十三五’分散式风电开发建设方案》的通知”（附件2），忻州市规划建设总规模为50MW的分散式风电开发项目。本项目为忻州市岢岚分散式风电项目，规划装机容量为6MW，符合山西省能源发展规划要求。</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为响应山西省能源发展规划，</w:t>
            </w:r>
            <w:r>
              <w:rPr>
                <w:rFonts w:cs="宋?"/>
                <w:kern w:val="0"/>
                <w:sz w:val="24"/>
              </w:rPr>
              <w:t>太原重工股份有限公司</w:t>
            </w:r>
            <w:r>
              <w:rPr>
                <w:rFonts w:hint="eastAsia" w:cs="宋?"/>
                <w:kern w:val="0"/>
                <w:sz w:val="24"/>
              </w:rPr>
              <w:t>投资5236.05万元</w:t>
            </w:r>
            <w:r>
              <w:rPr>
                <w:rFonts w:cs="宋?"/>
                <w:kern w:val="0"/>
                <w:sz w:val="24"/>
              </w:rPr>
              <w:t>拟在山西省忻州市岢岚县岚漪镇后砖窑村一带</w:t>
            </w:r>
            <w:r>
              <w:rPr>
                <w:rFonts w:hint="eastAsia" w:cs="宋?"/>
                <w:kern w:val="0"/>
                <w:sz w:val="24"/>
              </w:rPr>
              <w:t>建设岢岚分散式风电项目，装机容量为6MW。</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岚县</w:t>
            </w:r>
            <w:r>
              <w:rPr>
                <w:rFonts w:cs="宋?"/>
                <w:kern w:val="0"/>
                <w:sz w:val="24"/>
              </w:rPr>
              <w:t>环保、住建、林业、</w:t>
            </w:r>
            <w:r>
              <w:rPr>
                <w:rFonts w:hint="eastAsia" w:cs="宋?"/>
                <w:kern w:val="0"/>
                <w:sz w:val="24"/>
              </w:rPr>
              <w:t>文化</w:t>
            </w:r>
            <w:r>
              <w:rPr>
                <w:rFonts w:cs="宋?"/>
                <w:kern w:val="0"/>
                <w:sz w:val="24"/>
              </w:rPr>
              <w:t>等部门已同意本项目选址。</w:t>
            </w:r>
          </w:p>
          <w:p>
            <w:pPr>
              <w:wordWrap w:val="0"/>
              <w:autoSpaceDE w:val="0"/>
              <w:autoSpaceDN w:val="0"/>
              <w:adjustRightInd w:val="0"/>
              <w:spacing w:line="420" w:lineRule="exact"/>
              <w:ind w:firstLine="480" w:firstLineChars="200"/>
              <w:rPr>
                <w:rFonts w:cs="宋?"/>
                <w:kern w:val="0"/>
                <w:sz w:val="24"/>
              </w:rPr>
            </w:pPr>
            <w:r>
              <w:rPr>
                <w:sz w:val="24"/>
              </w:rPr>
              <w:t>根据《中华人民共和国环境保护法》、《建设项目环境保护管理条例》和《中华人民共和国环境影响评价法》规定</w:t>
            </w:r>
            <w:r>
              <w:rPr>
                <w:rFonts w:cs="宋?"/>
                <w:kern w:val="0"/>
                <w:sz w:val="24"/>
              </w:rPr>
              <w:t>，</w:t>
            </w:r>
            <w:r>
              <w:rPr>
                <w:rFonts w:hint="eastAsia"/>
                <w:bCs/>
                <w:sz w:val="24"/>
              </w:rPr>
              <w:t>太原重工股份有限公司岢岚6MW分散式风电项目</w:t>
            </w:r>
            <w:r>
              <w:rPr>
                <w:rFonts w:cs="宋?"/>
                <w:kern w:val="0"/>
                <w:sz w:val="24"/>
              </w:rPr>
              <w:t>应进行环境影响评价</w:t>
            </w:r>
            <w:r>
              <w:rPr>
                <w:rFonts w:hint="eastAsia" w:cs="宋?"/>
                <w:kern w:val="0"/>
                <w:sz w:val="24"/>
              </w:rPr>
              <w:t>。</w:t>
            </w:r>
            <w:r>
              <w:rPr>
                <w:sz w:val="24"/>
              </w:rPr>
              <w:t>根据《建设项目环境影响评价分类管理名录》</w:t>
            </w:r>
            <w:r>
              <w:rPr>
                <w:rFonts w:hint="eastAsia"/>
                <w:sz w:val="24"/>
              </w:rPr>
              <w:t>（2018年4月28日），本项目归入“三十一、电力、热力生产和供应业”</w:t>
            </w:r>
            <w:r>
              <w:rPr>
                <w:rFonts w:hint="eastAsia" w:cs="宋体"/>
                <w:sz w:val="24"/>
              </w:rPr>
              <w:t>大类中的</w:t>
            </w:r>
            <w:r>
              <w:rPr>
                <w:rFonts w:hint="eastAsia"/>
                <w:sz w:val="24"/>
              </w:rPr>
              <w:t>“91其他能源发电”小类中的“其他风力发电”，本项目风机容量为6MW，不涉及敏感区，应</w:t>
            </w:r>
            <w:r>
              <w:rPr>
                <w:rFonts w:cs="宋?"/>
                <w:kern w:val="0"/>
                <w:sz w:val="24"/>
              </w:rPr>
              <w:t>编制环境影响报告表。</w:t>
            </w:r>
            <w:r>
              <w:rPr>
                <w:kern w:val="0"/>
                <w:sz w:val="24"/>
              </w:rPr>
              <w:t>201</w:t>
            </w:r>
            <w:r>
              <w:rPr>
                <w:rFonts w:hint="eastAsia"/>
                <w:kern w:val="0"/>
                <w:sz w:val="24"/>
              </w:rPr>
              <w:t>8</w:t>
            </w:r>
            <w:r>
              <w:rPr>
                <w:rFonts w:cs="宋?"/>
                <w:kern w:val="0"/>
                <w:sz w:val="24"/>
              </w:rPr>
              <w:t>年</w:t>
            </w:r>
            <w:r>
              <w:rPr>
                <w:rFonts w:hint="eastAsia"/>
                <w:kern w:val="0"/>
                <w:sz w:val="24"/>
              </w:rPr>
              <w:t>8</w:t>
            </w:r>
            <w:r>
              <w:rPr>
                <w:rFonts w:cs="宋?"/>
                <w:kern w:val="0"/>
                <w:sz w:val="24"/>
              </w:rPr>
              <w:t>月</w:t>
            </w:r>
            <w:r>
              <w:rPr>
                <w:rFonts w:hint="eastAsia" w:cs="宋?"/>
                <w:kern w:val="0"/>
                <w:sz w:val="24"/>
              </w:rPr>
              <w:t>15日</w:t>
            </w:r>
            <w:r>
              <w:rPr>
                <w:rFonts w:cs="宋?"/>
                <w:kern w:val="0"/>
                <w:sz w:val="24"/>
              </w:rPr>
              <w:t>，太原重工股份有限公司委托</w:t>
            </w:r>
            <w:r>
              <w:rPr>
                <w:rFonts w:hint="eastAsia" w:cs="宋?"/>
                <w:kern w:val="0"/>
                <w:sz w:val="24"/>
              </w:rPr>
              <w:t>山西高腾环境科技有限公司</w:t>
            </w:r>
            <w:r>
              <w:rPr>
                <w:rFonts w:cs="宋?"/>
                <w:kern w:val="0"/>
                <w:sz w:val="24"/>
              </w:rPr>
              <w:t>承担该项目的环境影响评价工作（见附件）。接受委托后，我单位组织项目</w:t>
            </w:r>
            <w:r>
              <w:rPr>
                <w:rFonts w:hint="eastAsia" w:cs="宋?"/>
                <w:kern w:val="0"/>
                <w:sz w:val="24"/>
              </w:rPr>
              <w:t>环评人员</w:t>
            </w:r>
            <w:r>
              <w:rPr>
                <w:rFonts w:cs="宋?"/>
                <w:kern w:val="0"/>
                <w:sz w:val="24"/>
              </w:rPr>
              <w:t>在认真研读项目可行性研究报告的基础上</w:t>
            </w:r>
            <w:r>
              <w:rPr>
                <w:rFonts w:hint="eastAsia" w:cs="宋?"/>
                <w:kern w:val="0"/>
                <w:sz w:val="24"/>
              </w:rPr>
              <w:t>，</w:t>
            </w:r>
            <w:r>
              <w:rPr>
                <w:rFonts w:cs="宋?"/>
                <w:kern w:val="0"/>
                <w:sz w:val="24"/>
              </w:rPr>
              <w:t>到项目所在地进行了现场踏勘、调研，对项目所处区域的自然物理环境、自然生态环境、社会经济环境等进行了调查，详细了解了项目的组成、施工工艺，初步分析了项目的环境影响特征、排污环节和污染治理措施。在严格遵循国家有关法律法规，按照技术导则要求的基础上，编制完成了《</w:t>
            </w:r>
            <w:r>
              <w:rPr>
                <w:rFonts w:hint="eastAsia"/>
                <w:bCs/>
                <w:sz w:val="24"/>
              </w:rPr>
              <w:t>太原重工股份有限公司岢岚6MW分散式风电项目</w:t>
            </w:r>
            <w:r>
              <w:rPr>
                <w:rFonts w:cs="宋?"/>
                <w:kern w:val="0"/>
                <w:sz w:val="24"/>
              </w:rPr>
              <w:t>环境影响报告表》</w:t>
            </w:r>
            <w:r>
              <w:rPr>
                <w:rFonts w:hint="eastAsia" w:cs="宋?"/>
                <w:kern w:val="0"/>
                <w:sz w:val="24"/>
              </w:rPr>
              <w:t>（送审本）</w:t>
            </w:r>
            <w:r>
              <w:rPr>
                <w:rFonts w:cs="宋?"/>
                <w:kern w:val="0"/>
                <w:sz w:val="24"/>
              </w:rPr>
              <w:t>。</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2018年11月8日忻州市环境保护局于在忻州市主持召开了《太原重工股份有限公司太原重工股份有限公司岢岚6MW分散式风电项目环境影响报告表》技术审查会，形成了专家审查意见。会后，我单位根据专家意见进行了认真的修改，完成了《太原重工股份有限公司太原重工股份有限公司岢岚6MW分散式风电项目环境影响报告表》（报批本），现提交建设单位，并由建设单位呈报忻州市环保局报批。</w:t>
            </w:r>
          </w:p>
          <w:p>
            <w:pPr>
              <w:wordWrap w:val="0"/>
              <w:autoSpaceDE w:val="0"/>
              <w:autoSpaceDN w:val="0"/>
              <w:adjustRightInd w:val="0"/>
              <w:spacing w:line="420" w:lineRule="exact"/>
              <w:ind w:firstLine="480" w:firstLineChars="200"/>
              <w:rPr>
                <w:rFonts w:cs="宋?"/>
                <w:kern w:val="0"/>
                <w:sz w:val="24"/>
              </w:rPr>
            </w:pPr>
            <w:r>
              <w:rPr>
                <w:rFonts w:cs="宋?"/>
                <w:kern w:val="0"/>
                <w:sz w:val="24"/>
              </w:rPr>
              <w:t>根据现场勘察情况，本项目未开工建设。</w:t>
            </w:r>
          </w:p>
          <w:p>
            <w:pPr>
              <w:pStyle w:val="29"/>
              <w:wordWrap w:val="0"/>
              <w:spacing w:beforeLines="25" w:beforeAutospacing="0" w:afterLines="25" w:afterAutospacing="0" w:line="440" w:lineRule="exact"/>
              <w:jc w:val="both"/>
              <w:rPr>
                <w:rFonts w:ascii="Times New Roman" w:hAnsi="Times New Roman" w:cs="Times New Roman"/>
                <w:b/>
                <w:sz w:val="28"/>
                <w:szCs w:val="28"/>
              </w:rPr>
            </w:pPr>
            <w:r>
              <w:rPr>
                <w:rFonts w:hint="eastAsia" w:ascii="Times New Roman" w:hAnsi="Times New Roman" w:cs="Times New Roman"/>
                <w:b/>
                <w:sz w:val="28"/>
                <w:szCs w:val="28"/>
              </w:rPr>
              <w:t>2、依托工程</w:t>
            </w:r>
          </w:p>
          <w:p>
            <w:pPr>
              <w:wordWrap w:val="0"/>
              <w:autoSpaceDE w:val="0"/>
              <w:autoSpaceDN w:val="0"/>
              <w:adjustRightInd w:val="0"/>
              <w:spacing w:line="420" w:lineRule="exact"/>
              <w:ind w:firstLine="480" w:firstLineChars="200"/>
              <w:rPr>
                <w:bCs/>
                <w:sz w:val="24"/>
              </w:rPr>
            </w:pPr>
            <w:r>
              <w:rPr>
                <w:rFonts w:hint="eastAsia"/>
                <w:bCs/>
                <w:sz w:val="24"/>
              </w:rPr>
              <w:t>本项目采用分散式发电，装机容量为6MW，</w:t>
            </w:r>
            <w:r>
              <w:rPr>
                <w:bCs/>
                <w:sz w:val="24"/>
              </w:rPr>
              <w:t>以</w:t>
            </w:r>
            <w:r>
              <w:rPr>
                <w:rFonts w:hint="eastAsia"/>
                <w:bCs/>
                <w:sz w:val="24"/>
              </w:rPr>
              <w:t>1</w:t>
            </w:r>
            <w:r>
              <w:rPr>
                <w:bCs/>
                <w:sz w:val="24"/>
              </w:rPr>
              <w:t>回35kV线路接入店坪110kV变电站35kV侧母线，线路长约20km</w:t>
            </w:r>
            <w:r>
              <w:rPr>
                <w:rFonts w:hint="eastAsia"/>
                <w:bCs/>
                <w:sz w:val="24"/>
              </w:rPr>
              <w:t>。</w:t>
            </w:r>
          </w:p>
          <w:p>
            <w:pPr>
              <w:wordWrap w:val="0"/>
              <w:autoSpaceDE w:val="0"/>
              <w:autoSpaceDN w:val="0"/>
              <w:adjustRightInd w:val="0"/>
              <w:spacing w:line="420" w:lineRule="exact"/>
              <w:ind w:firstLine="480" w:firstLineChars="200"/>
              <w:rPr>
                <w:bCs/>
                <w:sz w:val="24"/>
              </w:rPr>
            </w:pPr>
            <w:r>
              <w:rPr>
                <w:rFonts w:hint="eastAsia"/>
                <w:bCs/>
                <w:sz w:val="24"/>
              </w:rPr>
              <w:t>山西忻州岢岚店坪110KV输变电工程位于忻州市岢岚县境内，变电站位于岢岚县岚漪镇阳蒿塔村北，线路位于岢岚县境内，主要工程内容及规模为：</w:t>
            </w:r>
          </w:p>
          <w:p>
            <w:pPr>
              <w:numPr>
                <w:ilvl w:val="0"/>
                <w:numId w:val="1"/>
              </w:numPr>
              <w:wordWrap w:val="0"/>
              <w:autoSpaceDE w:val="0"/>
              <w:autoSpaceDN w:val="0"/>
              <w:adjustRightInd w:val="0"/>
              <w:spacing w:line="420" w:lineRule="exact"/>
              <w:rPr>
                <w:bCs/>
                <w:sz w:val="24"/>
              </w:rPr>
            </w:pPr>
            <w:r>
              <w:rPr>
                <w:rFonts w:hint="eastAsia"/>
                <w:bCs/>
                <w:sz w:val="24"/>
              </w:rPr>
              <w:t>变电站新建工程：新建</w:t>
            </w:r>
            <w:r>
              <w:rPr>
                <w:bCs/>
                <w:sz w:val="24"/>
              </w:rPr>
              <w:t>2×50MVA</w:t>
            </w:r>
            <w:r>
              <w:rPr>
                <w:rFonts w:hint="eastAsia"/>
                <w:bCs/>
                <w:sz w:val="24"/>
              </w:rPr>
              <w:t>主变压器，电压等级</w:t>
            </w:r>
            <w:r>
              <w:rPr>
                <w:bCs/>
                <w:sz w:val="24"/>
              </w:rPr>
              <w:t>110/35/10kV</w:t>
            </w:r>
            <w:r>
              <w:rPr>
                <w:rFonts w:hint="eastAsia"/>
                <w:bCs/>
                <w:sz w:val="24"/>
              </w:rPr>
              <w:t>；</w:t>
            </w:r>
          </w:p>
          <w:p>
            <w:pPr>
              <w:numPr>
                <w:ilvl w:val="0"/>
                <w:numId w:val="1"/>
              </w:numPr>
              <w:wordWrap w:val="0"/>
              <w:autoSpaceDE w:val="0"/>
              <w:autoSpaceDN w:val="0"/>
              <w:adjustRightInd w:val="0"/>
              <w:spacing w:line="420" w:lineRule="exact"/>
              <w:rPr>
                <w:bCs/>
                <w:sz w:val="24"/>
              </w:rPr>
            </w:pPr>
            <w:r>
              <w:rPr>
                <w:rFonts w:hint="eastAsia"/>
                <w:bCs/>
                <w:sz w:val="24"/>
              </w:rPr>
              <w:t>线路工程：</w:t>
            </w:r>
          </w:p>
          <w:p>
            <w:pPr>
              <w:numPr>
                <w:ilvl w:val="0"/>
                <w:numId w:val="2"/>
              </w:numPr>
              <w:wordWrap w:val="0"/>
              <w:autoSpaceDE w:val="0"/>
              <w:autoSpaceDN w:val="0"/>
              <w:adjustRightInd w:val="0"/>
              <w:spacing w:line="420" w:lineRule="exact"/>
              <w:rPr>
                <w:bCs/>
                <w:sz w:val="24"/>
              </w:rPr>
            </w:pPr>
            <w:r>
              <w:rPr>
                <w:rFonts w:hint="eastAsia"/>
                <w:bCs/>
                <w:sz w:val="24"/>
              </w:rPr>
              <w:t>新建岢岚</w:t>
            </w:r>
            <w:r>
              <w:rPr>
                <w:bCs/>
                <w:sz w:val="24"/>
              </w:rPr>
              <w:t>~</w:t>
            </w:r>
            <w:r>
              <w:rPr>
                <w:rFonts w:hint="eastAsia"/>
                <w:bCs/>
                <w:sz w:val="24"/>
              </w:rPr>
              <w:t>阳坪</w:t>
            </w:r>
            <w:r>
              <w:rPr>
                <w:bCs/>
                <w:sz w:val="24"/>
              </w:rPr>
              <w:t>~</w:t>
            </w:r>
            <w:r>
              <w:rPr>
                <w:rFonts w:hint="eastAsia"/>
                <w:bCs/>
                <w:sz w:val="24"/>
              </w:rPr>
              <w:t>店坪</w:t>
            </w:r>
            <w:r>
              <w:rPr>
                <w:bCs/>
                <w:sz w:val="24"/>
              </w:rPr>
              <w:t>110kV</w:t>
            </w:r>
            <w:r>
              <w:rPr>
                <w:rFonts w:hint="eastAsia"/>
                <w:bCs/>
                <w:sz w:val="24"/>
              </w:rPr>
              <w:t>线路，全长</w:t>
            </w:r>
            <w:r>
              <w:rPr>
                <w:bCs/>
                <w:sz w:val="24"/>
              </w:rPr>
              <w:t>2×34km</w:t>
            </w:r>
            <w:r>
              <w:rPr>
                <w:rFonts w:hint="eastAsia"/>
                <w:bCs/>
                <w:sz w:val="24"/>
              </w:rPr>
              <w:t>；</w:t>
            </w:r>
          </w:p>
          <w:p>
            <w:pPr>
              <w:numPr>
                <w:ilvl w:val="0"/>
                <w:numId w:val="2"/>
              </w:numPr>
              <w:wordWrap w:val="0"/>
              <w:autoSpaceDE w:val="0"/>
              <w:autoSpaceDN w:val="0"/>
              <w:adjustRightInd w:val="0"/>
              <w:spacing w:line="420" w:lineRule="exact"/>
              <w:rPr>
                <w:bCs/>
                <w:sz w:val="24"/>
              </w:rPr>
            </w:pPr>
            <w:r>
              <w:rPr>
                <w:rFonts w:hint="eastAsia"/>
                <w:bCs/>
                <w:sz w:val="24"/>
              </w:rPr>
              <w:t>新建店坪</w:t>
            </w:r>
            <w:r>
              <w:rPr>
                <w:bCs/>
                <w:sz w:val="24"/>
              </w:rPr>
              <w:t>~</w:t>
            </w:r>
            <w:r>
              <w:rPr>
                <w:rFonts w:hint="eastAsia"/>
                <w:bCs/>
                <w:sz w:val="24"/>
              </w:rPr>
              <w:t>宋家寨、秦家庄</w:t>
            </w:r>
            <w:r>
              <w:rPr>
                <w:bCs/>
                <w:sz w:val="24"/>
              </w:rPr>
              <w:t>110kV</w:t>
            </w:r>
            <w:r>
              <w:rPr>
                <w:rFonts w:hint="eastAsia"/>
                <w:bCs/>
                <w:sz w:val="24"/>
              </w:rPr>
              <w:t>线路改接工程，长</w:t>
            </w:r>
            <w:r>
              <w:rPr>
                <w:bCs/>
                <w:sz w:val="24"/>
              </w:rPr>
              <w:t>2×3.4km</w:t>
            </w:r>
            <w:r>
              <w:rPr>
                <w:rFonts w:hint="eastAsia"/>
                <w:bCs/>
                <w:sz w:val="24"/>
              </w:rPr>
              <w:t>。</w:t>
            </w:r>
          </w:p>
          <w:p>
            <w:pPr>
              <w:numPr>
                <w:ilvl w:val="0"/>
                <w:numId w:val="1"/>
              </w:numPr>
              <w:wordWrap w:val="0"/>
              <w:autoSpaceDE w:val="0"/>
              <w:autoSpaceDN w:val="0"/>
              <w:adjustRightInd w:val="0"/>
              <w:spacing w:line="420" w:lineRule="exact"/>
              <w:rPr>
                <w:bCs/>
                <w:sz w:val="24"/>
              </w:rPr>
            </w:pPr>
            <w:r>
              <w:rPr>
                <w:rFonts w:hint="eastAsia"/>
                <w:bCs/>
                <w:sz w:val="24"/>
              </w:rPr>
              <w:t>其它辅助和公用工程</w:t>
            </w:r>
          </w:p>
          <w:p>
            <w:pPr>
              <w:wordWrap w:val="0"/>
              <w:autoSpaceDE w:val="0"/>
              <w:autoSpaceDN w:val="0"/>
              <w:adjustRightInd w:val="0"/>
              <w:spacing w:line="420" w:lineRule="exact"/>
              <w:ind w:left="480"/>
              <w:rPr>
                <w:bCs/>
                <w:sz w:val="24"/>
              </w:rPr>
            </w:pPr>
            <w:r>
              <w:rPr>
                <w:rFonts w:hint="eastAsia"/>
                <w:bCs/>
                <w:sz w:val="24"/>
              </w:rPr>
              <w:t>依托工程环保手续履行及建设过程：</w:t>
            </w:r>
          </w:p>
          <w:p>
            <w:pPr>
              <w:wordWrap w:val="0"/>
              <w:autoSpaceDE w:val="0"/>
              <w:autoSpaceDN w:val="0"/>
              <w:adjustRightInd w:val="0"/>
              <w:spacing w:line="420" w:lineRule="exact"/>
              <w:ind w:firstLine="480" w:firstLineChars="200"/>
              <w:rPr>
                <w:bCs/>
                <w:sz w:val="24"/>
              </w:rPr>
            </w:pPr>
            <w:r>
              <w:rPr>
                <w:bCs/>
                <w:sz w:val="24"/>
              </w:rPr>
              <w:t>2015</w:t>
            </w:r>
            <w:r>
              <w:rPr>
                <w:rFonts w:hint="eastAsia"/>
                <w:bCs/>
                <w:sz w:val="24"/>
              </w:rPr>
              <w:t>年</w:t>
            </w:r>
            <w:r>
              <w:rPr>
                <w:bCs/>
                <w:sz w:val="24"/>
              </w:rPr>
              <w:t>6</w:t>
            </w:r>
            <w:r>
              <w:rPr>
                <w:rFonts w:hint="eastAsia"/>
                <w:bCs/>
                <w:sz w:val="24"/>
              </w:rPr>
              <w:t>月，国电环境保护研究院完成了《山西忻州岢岚店坪</w:t>
            </w:r>
            <w:r>
              <w:rPr>
                <w:bCs/>
                <w:sz w:val="24"/>
              </w:rPr>
              <w:t>110kV</w:t>
            </w:r>
            <w:r>
              <w:rPr>
                <w:rFonts w:hint="eastAsia"/>
                <w:bCs/>
                <w:sz w:val="24"/>
              </w:rPr>
              <w:t>输变电工程环境影响报告表》；</w:t>
            </w:r>
            <w:r>
              <w:rPr>
                <w:bCs/>
                <w:sz w:val="24"/>
              </w:rPr>
              <w:t>2015</w:t>
            </w:r>
            <w:r>
              <w:rPr>
                <w:rFonts w:hint="eastAsia"/>
                <w:bCs/>
                <w:sz w:val="24"/>
              </w:rPr>
              <w:t>年</w:t>
            </w:r>
            <w:r>
              <w:rPr>
                <w:bCs/>
                <w:sz w:val="24"/>
              </w:rPr>
              <w:t>8</w:t>
            </w:r>
            <w:r>
              <w:rPr>
                <w:rFonts w:hint="eastAsia"/>
                <w:bCs/>
                <w:sz w:val="24"/>
              </w:rPr>
              <w:t>月</w:t>
            </w:r>
            <w:r>
              <w:rPr>
                <w:bCs/>
                <w:sz w:val="24"/>
              </w:rPr>
              <w:t>3</w:t>
            </w:r>
            <w:r>
              <w:rPr>
                <w:rFonts w:hint="eastAsia"/>
                <w:bCs/>
                <w:sz w:val="24"/>
              </w:rPr>
              <w:t>日，山西省环保厅以晋环辐射函</w:t>
            </w:r>
            <w:r>
              <w:rPr>
                <w:bCs/>
                <w:sz w:val="24"/>
              </w:rPr>
              <w:t>[2015]790</w:t>
            </w:r>
            <w:r>
              <w:rPr>
                <w:rFonts w:hint="eastAsia"/>
                <w:bCs/>
                <w:sz w:val="24"/>
              </w:rPr>
              <w:t>号文对项目环境影响报告表进行了批复；</w:t>
            </w:r>
            <w:r>
              <w:rPr>
                <w:bCs/>
                <w:sz w:val="24"/>
              </w:rPr>
              <w:t>2016</w:t>
            </w:r>
            <w:r>
              <w:rPr>
                <w:rFonts w:hint="eastAsia"/>
                <w:bCs/>
                <w:sz w:val="24"/>
              </w:rPr>
              <w:t>年</w:t>
            </w:r>
            <w:r>
              <w:rPr>
                <w:bCs/>
                <w:sz w:val="24"/>
              </w:rPr>
              <w:t>4</w:t>
            </w:r>
            <w:r>
              <w:rPr>
                <w:rFonts w:hint="eastAsia"/>
                <w:bCs/>
                <w:sz w:val="24"/>
              </w:rPr>
              <w:t>月开工建设，</w:t>
            </w:r>
            <w:r>
              <w:rPr>
                <w:bCs/>
                <w:sz w:val="24"/>
              </w:rPr>
              <w:t>2018</w:t>
            </w:r>
            <w:r>
              <w:rPr>
                <w:rFonts w:hint="eastAsia"/>
                <w:bCs/>
                <w:sz w:val="24"/>
              </w:rPr>
              <w:t>年</w:t>
            </w:r>
            <w:r>
              <w:rPr>
                <w:bCs/>
                <w:sz w:val="24"/>
              </w:rPr>
              <w:t>3</w:t>
            </w:r>
            <w:r>
              <w:rPr>
                <w:rFonts w:hint="eastAsia"/>
                <w:bCs/>
                <w:sz w:val="24"/>
              </w:rPr>
              <w:t>月竣工，竣工后即项目完工，进入调试阶段。2018年6月5日对项目进行了竣工环境保护验收。</w:t>
            </w:r>
          </w:p>
          <w:p>
            <w:pPr>
              <w:wordWrap w:val="0"/>
              <w:autoSpaceDE w:val="0"/>
              <w:autoSpaceDN w:val="0"/>
              <w:adjustRightInd w:val="0"/>
              <w:spacing w:line="420" w:lineRule="exact"/>
              <w:ind w:firstLine="482" w:firstLineChars="200"/>
              <w:rPr>
                <w:b/>
                <w:bCs/>
                <w:sz w:val="24"/>
              </w:rPr>
            </w:pPr>
            <w:r>
              <w:rPr>
                <w:rFonts w:hint="eastAsia"/>
                <w:b/>
                <w:bCs/>
                <w:sz w:val="24"/>
              </w:rPr>
              <w:t>保证性分析：</w:t>
            </w:r>
          </w:p>
          <w:p>
            <w:pPr>
              <w:wordWrap w:val="0"/>
              <w:autoSpaceDE w:val="0"/>
              <w:autoSpaceDN w:val="0"/>
              <w:adjustRightInd w:val="0"/>
              <w:spacing w:line="420" w:lineRule="exact"/>
              <w:ind w:firstLine="480" w:firstLineChars="200"/>
              <w:rPr>
                <w:bCs/>
                <w:sz w:val="24"/>
              </w:rPr>
            </w:pPr>
            <w:r>
              <w:rPr>
                <w:rFonts w:hint="eastAsia"/>
                <w:bCs/>
                <w:sz w:val="24"/>
              </w:rPr>
              <w:t>本项目拟从2019年4月开始建设，建设周期为4个月，预计于2019年8月份完工投产发电，项目</w:t>
            </w:r>
            <w:r>
              <w:rPr>
                <w:bCs/>
                <w:sz w:val="24"/>
              </w:rPr>
              <w:t>以</w:t>
            </w:r>
            <w:r>
              <w:rPr>
                <w:rFonts w:hint="eastAsia"/>
                <w:bCs/>
                <w:sz w:val="24"/>
              </w:rPr>
              <w:t>1</w:t>
            </w:r>
            <w:r>
              <w:rPr>
                <w:bCs/>
                <w:sz w:val="24"/>
              </w:rPr>
              <w:t>回35kV线路接入店坪110kV变电站35kV侧母线</w:t>
            </w:r>
            <w:r>
              <w:rPr>
                <w:rFonts w:hint="eastAsia"/>
                <w:bCs/>
                <w:sz w:val="24"/>
              </w:rPr>
              <w:t>。根据《山西忻州岢岚店坪110kV输变电工程竣工环境保护验收意见》（2018年6月5日），项目已经建成2台容量为</w:t>
            </w:r>
            <w:r>
              <w:rPr>
                <w:bCs/>
                <w:sz w:val="24"/>
              </w:rPr>
              <w:t>50MVA</w:t>
            </w:r>
            <w:r>
              <w:rPr>
                <w:rFonts w:hint="eastAsia"/>
                <w:bCs/>
                <w:sz w:val="24"/>
              </w:rPr>
              <w:t>主变压器，电压等级</w:t>
            </w:r>
            <w:r>
              <w:rPr>
                <w:bCs/>
                <w:sz w:val="24"/>
              </w:rPr>
              <w:t>110/35/10kV</w:t>
            </w:r>
            <w:r>
              <w:rPr>
                <w:rFonts w:hint="eastAsia"/>
                <w:bCs/>
                <w:sz w:val="24"/>
              </w:rPr>
              <w:t>。本项目建成投产后，时间上可与店坪35kV的输电线路衔接。</w:t>
            </w:r>
          </w:p>
          <w:p>
            <w:pPr>
              <w:pStyle w:val="29"/>
              <w:numPr>
                <w:ilvl w:val="0"/>
                <w:numId w:val="3"/>
              </w:numPr>
              <w:wordWrap w:val="0"/>
              <w:spacing w:beforeLines="25" w:beforeAutospacing="0" w:afterLines="25" w:afterAutospacing="0" w:line="440" w:lineRule="exact"/>
              <w:jc w:val="both"/>
              <w:rPr>
                <w:rFonts w:ascii="Times New Roman" w:hAnsi="Times New Roman" w:cs="Times New Roman"/>
                <w:b/>
                <w:sz w:val="28"/>
                <w:szCs w:val="28"/>
              </w:rPr>
            </w:pPr>
            <w:r>
              <w:rPr>
                <w:rFonts w:hint="eastAsia" w:ascii="Times New Roman" w:hAnsi="Times New Roman" w:cs="Times New Roman"/>
                <w:b/>
                <w:sz w:val="28"/>
                <w:szCs w:val="28"/>
              </w:rPr>
              <w:t>工程概况</w:t>
            </w:r>
          </w:p>
          <w:p>
            <w:pPr>
              <w:pStyle w:val="29"/>
              <w:numPr>
                <w:ilvl w:val="0"/>
                <w:numId w:val="4"/>
              </w:numPr>
              <w:wordWrap w:val="0"/>
              <w:spacing w:before="78" w:beforeAutospacing="0" w:after="78" w:afterAutospacing="0" w:line="420" w:lineRule="exact"/>
              <w:ind w:left="0" w:firstLine="482" w:firstLineChars="200"/>
              <w:jc w:val="both"/>
              <w:rPr>
                <w:rFonts w:ascii="Times New Roman" w:hAnsi="Times New Roman"/>
                <w:b/>
              </w:rPr>
            </w:pPr>
            <w:r>
              <w:rPr>
                <w:rFonts w:hint="eastAsia" w:ascii="Times New Roman" w:hAnsi="Times New Roman"/>
                <w:b/>
              </w:rPr>
              <w:t>风电场位置</w:t>
            </w:r>
          </w:p>
          <w:p>
            <w:pPr>
              <w:wordWrap w:val="0"/>
              <w:autoSpaceDE w:val="0"/>
              <w:autoSpaceDN w:val="0"/>
              <w:adjustRightInd w:val="0"/>
              <w:spacing w:line="420" w:lineRule="exact"/>
              <w:ind w:firstLine="480" w:firstLineChars="200"/>
              <w:rPr>
                <w:rFonts w:cs="宋?"/>
                <w:kern w:val="0"/>
                <w:sz w:val="24"/>
              </w:rPr>
            </w:pPr>
            <w:r>
              <w:rPr>
                <w:rFonts w:cs="宋?"/>
                <w:kern w:val="0"/>
                <w:sz w:val="24"/>
              </w:rPr>
              <w:t>太原重工股份有限公司岢岚6MW分散式风电项目拟选场址位于山西省忻州市岢岚县岚漪镇后砖窑村一带，地形复杂，山势起伏，场区内最低处海拔1946m，最高处海拔2033m。边界所含区域总面积约10km</w:t>
            </w:r>
            <w:r>
              <w:rPr>
                <w:rFonts w:cs="宋?"/>
                <w:kern w:val="0"/>
                <w:sz w:val="24"/>
                <w:vertAlign w:val="superscript"/>
              </w:rPr>
              <w:t>2</w:t>
            </w:r>
            <w:r>
              <w:rPr>
                <w:rFonts w:cs="宋?"/>
                <w:kern w:val="0"/>
                <w:sz w:val="24"/>
              </w:rPr>
              <w:t>。风电场中心距离岢岚县南约8km处。本工程规划装机容量为6MW，主要利用山上高台错落布置风机，拟布置3台2000kW风力发电机组。</w:t>
            </w:r>
            <w:r>
              <w:rPr>
                <w:rFonts w:hint="eastAsia" w:cs="宋?"/>
                <w:kern w:val="0"/>
                <w:sz w:val="24"/>
              </w:rPr>
              <w:t>岚县分散式风</w:t>
            </w:r>
            <w:r>
              <w:rPr>
                <w:rFonts w:cs="宋?"/>
                <w:kern w:val="0"/>
                <w:sz w:val="24"/>
              </w:rPr>
              <w:t>电项目工程地理位置图见</w:t>
            </w:r>
            <w:r>
              <w:rPr>
                <w:rFonts w:hint="eastAsia" w:cs="宋?"/>
                <w:kern w:val="0"/>
                <w:sz w:val="24"/>
              </w:rPr>
              <w:t>附图</w:t>
            </w:r>
            <w:r>
              <w:rPr>
                <w:rFonts w:cs="宋?"/>
                <w:kern w:val="0"/>
                <w:sz w:val="24"/>
              </w:rPr>
              <w:t>1。风场拐点坐标</w:t>
            </w:r>
            <w:r>
              <w:rPr>
                <w:rFonts w:hint="eastAsia" w:cs="宋?"/>
                <w:kern w:val="0"/>
                <w:sz w:val="24"/>
              </w:rPr>
              <w:t>以及风机坐标</w:t>
            </w:r>
            <w:r>
              <w:rPr>
                <w:rFonts w:cs="宋?"/>
                <w:kern w:val="0"/>
                <w:sz w:val="24"/>
              </w:rPr>
              <w:t>见表</w:t>
            </w:r>
            <w:r>
              <w:rPr>
                <w:rFonts w:hint="eastAsia" w:cs="宋?"/>
                <w:kern w:val="0"/>
                <w:sz w:val="24"/>
              </w:rPr>
              <w:t>1。</w:t>
            </w:r>
          </w:p>
          <w:p>
            <w:pPr>
              <w:autoSpaceDE w:val="0"/>
              <w:autoSpaceDN w:val="0"/>
              <w:adjustRightInd w:val="0"/>
              <w:spacing w:line="420" w:lineRule="exact"/>
              <w:ind w:firstLine="480" w:firstLineChars="200"/>
              <w:jc w:val="center"/>
              <w:rPr>
                <w:rFonts w:cs="宋?"/>
                <w:kern w:val="0"/>
                <w:sz w:val="20"/>
                <w:szCs w:val="20"/>
              </w:rPr>
            </w:pPr>
            <w:r>
              <w:rPr>
                <w:rFonts w:hint="eastAsia" w:cs="宋?"/>
                <w:kern w:val="0"/>
                <w:sz w:val="24"/>
              </w:rPr>
              <w:t xml:space="preserve">表1 </w:t>
            </w:r>
            <w:r>
              <w:rPr>
                <w:rFonts w:cs="宋?"/>
                <w:kern w:val="0"/>
                <w:sz w:val="20"/>
                <w:szCs w:val="20"/>
              </w:rPr>
              <w:t xml:space="preserve"> </w:t>
            </w:r>
            <w:r>
              <w:rPr>
                <w:rFonts w:cs="宋?"/>
                <w:kern w:val="0"/>
                <w:sz w:val="24"/>
              </w:rPr>
              <w:t>风电场范围拐点坐标</w:t>
            </w:r>
            <w:r>
              <w:rPr>
                <w:rFonts w:hint="eastAsia" w:cs="宋?"/>
                <w:kern w:val="0"/>
                <w:sz w:val="24"/>
              </w:rPr>
              <w:t>及风机坐标</w:t>
            </w:r>
            <w:r>
              <w:rPr>
                <w:rFonts w:cs="宋?"/>
                <w:kern w:val="0"/>
                <w:sz w:val="24"/>
              </w:rPr>
              <w:t>表</w:t>
            </w:r>
          </w:p>
          <w:tbl>
            <w:tblPr>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402"/>
              <w:gridCol w:w="1717"/>
              <w:gridCol w:w="2668"/>
              <w:gridCol w:w="2509"/>
            </w:tblGrid>
            <w:tr>
              <w:trPr>
                <w:jc w:val="center"/>
              </w:trPr>
              <w:tc>
                <w:tcPr>
                  <w:tcW w:w="1402" w:type="dxa"/>
                  <w:vAlign w:val="center"/>
                </w:tcPr>
                <w:p>
                  <w:pPr>
                    <w:autoSpaceDE w:val="0"/>
                    <w:autoSpaceDN w:val="0"/>
                    <w:adjustRightInd w:val="0"/>
                    <w:spacing w:line="360" w:lineRule="exact"/>
                    <w:jc w:val="center"/>
                    <w:rPr>
                      <w:rFonts w:cs="宋?"/>
                      <w:kern w:val="0"/>
                      <w:szCs w:val="21"/>
                    </w:rPr>
                  </w:pPr>
                  <w:r>
                    <w:rPr>
                      <w:rFonts w:hint="eastAsia" w:cs="宋?"/>
                      <w:kern w:val="0"/>
                      <w:szCs w:val="21"/>
                    </w:rPr>
                    <w:t>名称</w:t>
                  </w:r>
                </w:p>
              </w:tc>
              <w:tc>
                <w:tcPr>
                  <w:tcW w:w="1717" w:type="dxa"/>
                  <w:vAlign w:val="center"/>
                </w:tcPr>
                <w:p>
                  <w:pPr>
                    <w:wordWrap w:val="0"/>
                    <w:autoSpaceDE w:val="0"/>
                    <w:autoSpaceDN w:val="0"/>
                    <w:adjustRightInd w:val="0"/>
                    <w:spacing w:line="360" w:lineRule="exact"/>
                    <w:jc w:val="center"/>
                    <w:rPr>
                      <w:rFonts w:cs="宋?"/>
                      <w:kern w:val="0"/>
                      <w:szCs w:val="21"/>
                    </w:rPr>
                  </w:pPr>
                  <w:r>
                    <w:rPr>
                      <w:rFonts w:hint="eastAsia" w:cs="宋?"/>
                      <w:kern w:val="0"/>
                      <w:szCs w:val="21"/>
                    </w:rPr>
                    <w:t>序</w:t>
                  </w:r>
                </w:p>
              </w:tc>
              <w:tc>
                <w:tcPr>
                  <w:tcW w:w="2668" w:type="dxa"/>
                  <w:vAlign w:val="center"/>
                </w:tcPr>
                <w:p>
                  <w:pPr>
                    <w:wordWrap w:val="0"/>
                    <w:autoSpaceDE w:val="0"/>
                    <w:autoSpaceDN w:val="0"/>
                    <w:adjustRightInd w:val="0"/>
                    <w:spacing w:line="360" w:lineRule="exact"/>
                    <w:jc w:val="center"/>
                    <w:rPr>
                      <w:rFonts w:cs="宋?"/>
                      <w:kern w:val="0"/>
                      <w:szCs w:val="21"/>
                    </w:rPr>
                  </w:pPr>
                  <w:r>
                    <w:rPr>
                      <w:rFonts w:hint="eastAsia" w:cs="宋?"/>
                      <w:kern w:val="0"/>
                      <w:szCs w:val="21"/>
                    </w:rPr>
                    <w:t>经度</w:t>
                  </w:r>
                </w:p>
              </w:tc>
              <w:tc>
                <w:tcPr>
                  <w:tcW w:w="2509" w:type="dxa"/>
                  <w:vAlign w:val="center"/>
                </w:tcPr>
                <w:p>
                  <w:pPr>
                    <w:wordWrap w:val="0"/>
                    <w:autoSpaceDE w:val="0"/>
                    <w:autoSpaceDN w:val="0"/>
                    <w:adjustRightInd w:val="0"/>
                    <w:spacing w:line="360" w:lineRule="exact"/>
                    <w:jc w:val="center"/>
                    <w:rPr>
                      <w:rFonts w:cs="宋?"/>
                      <w:kern w:val="0"/>
                      <w:szCs w:val="21"/>
                    </w:rPr>
                  </w:pPr>
                  <w:r>
                    <w:rPr>
                      <w:rFonts w:hint="eastAsia" w:cs="宋?"/>
                      <w:kern w:val="0"/>
                      <w:szCs w:val="21"/>
                    </w:rPr>
                    <w:t>纬度</w:t>
                  </w:r>
                </w:p>
              </w:tc>
            </w:tr>
            <w:tr>
              <w:trPr>
                <w:jc w:val="center"/>
              </w:trPr>
              <w:tc>
                <w:tcPr>
                  <w:tcW w:w="1402" w:type="dxa"/>
                  <w:vMerge w:val="restart"/>
                  <w:vAlign w:val="center"/>
                </w:tcPr>
                <w:p>
                  <w:pPr>
                    <w:wordWrap w:val="0"/>
                    <w:spacing w:line="360" w:lineRule="exact"/>
                    <w:jc w:val="center"/>
                    <w:rPr>
                      <w:szCs w:val="21"/>
                    </w:rPr>
                  </w:pPr>
                  <w:r>
                    <w:rPr>
                      <w:rFonts w:hint="eastAsia" w:cs="宋?"/>
                      <w:kern w:val="0"/>
                      <w:szCs w:val="21"/>
                    </w:rPr>
                    <w:t>风机坐标</w:t>
                  </w:r>
                </w:p>
              </w:tc>
              <w:tc>
                <w:tcPr>
                  <w:tcW w:w="1717" w:type="dxa"/>
                  <w:vAlign w:val="center"/>
                </w:tcPr>
                <w:p>
                  <w:pPr>
                    <w:widowControl/>
                    <w:wordWrap w:val="0"/>
                    <w:spacing w:line="360" w:lineRule="exact"/>
                    <w:jc w:val="center"/>
                    <w:textAlignment w:val="center"/>
                    <w:rPr>
                      <w:rFonts w:cs="宋体"/>
                      <w:kern w:val="0"/>
                      <w:szCs w:val="21"/>
                      <w:lang/>
                    </w:rPr>
                  </w:pPr>
                  <w:r>
                    <w:rPr>
                      <w:rFonts w:hint="eastAsia" w:cs="宋体"/>
                      <w:kern w:val="0"/>
                      <w:szCs w:val="21"/>
                      <w:lang/>
                    </w:rPr>
                    <w:t>F01</w:t>
                  </w:r>
                </w:p>
              </w:tc>
              <w:tc>
                <w:tcPr>
                  <w:tcW w:w="2668" w:type="dxa"/>
                  <w:vAlign w:val="center"/>
                </w:tcPr>
                <w:p>
                  <w:pPr>
                    <w:widowControl/>
                    <w:wordWrap w:val="0"/>
                    <w:spacing w:line="360" w:lineRule="exact"/>
                    <w:jc w:val="center"/>
                    <w:textAlignment w:val="center"/>
                    <w:rPr>
                      <w:kern w:val="0"/>
                      <w:szCs w:val="21"/>
                      <w:lang/>
                    </w:rPr>
                  </w:pPr>
                  <w:r>
                    <w:rPr>
                      <w:rFonts w:hint="eastAsia"/>
                      <w:kern w:val="0"/>
                      <w:szCs w:val="21"/>
                      <w:lang/>
                    </w:rPr>
                    <w:t>111°34'37.61"</w:t>
                  </w:r>
                </w:p>
              </w:tc>
              <w:tc>
                <w:tcPr>
                  <w:tcW w:w="2509" w:type="dxa"/>
                  <w:vAlign w:val="center"/>
                </w:tcPr>
                <w:p>
                  <w:pPr>
                    <w:widowControl/>
                    <w:wordWrap w:val="0"/>
                    <w:spacing w:line="360" w:lineRule="exact"/>
                    <w:jc w:val="center"/>
                    <w:textAlignment w:val="center"/>
                    <w:rPr>
                      <w:kern w:val="0"/>
                      <w:szCs w:val="21"/>
                      <w:lang/>
                    </w:rPr>
                  </w:pPr>
                  <w:r>
                    <w:rPr>
                      <w:rFonts w:hint="eastAsia"/>
                      <w:kern w:val="0"/>
                      <w:szCs w:val="21"/>
                      <w:lang/>
                    </w:rPr>
                    <w:t>38°39'1.44"</w:t>
                  </w:r>
                </w:p>
              </w:tc>
            </w:tr>
            <w:tr>
              <w:trPr>
                <w:jc w:val="center"/>
              </w:trPr>
              <w:tc>
                <w:tcPr>
                  <w:tcW w:w="1402" w:type="dxa"/>
                  <w:vMerge w:val="continue"/>
                  <w:vAlign w:val="center"/>
                </w:tcPr>
                <w:p>
                  <w:pPr>
                    <w:wordWrap w:val="0"/>
                    <w:autoSpaceDE w:val="0"/>
                    <w:autoSpaceDN w:val="0"/>
                    <w:adjustRightInd w:val="0"/>
                    <w:spacing w:line="360" w:lineRule="exact"/>
                    <w:jc w:val="center"/>
                    <w:rPr>
                      <w:rFonts w:cs="宋?"/>
                      <w:kern w:val="0"/>
                      <w:szCs w:val="21"/>
                    </w:rPr>
                  </w:pPr>
                </w:p>
              </w:tc>
              <w:tc>
                <w:tcPr>
                  <w:tcW w:w="1717" w:type="dxa"/>
                  <w:vAlign w:val="center"/>
                </w:tcPr>
                <w:p>
                  <w:pPr>
                    <w:widowControl/>
                    <w:wordWrap w:val="0"/>
                    <w:spacing w:line="360" w:lineRule="exact"/>
                    <w:jc w:val="center"/>
                    <w:textAlignment w:val="center"/>
                    <w:rPr>
                      <w:rFonts w:cs="宋体"/>
                      <w:kern w:val="0"/>
                      <w:szCs w:val="21"/>
                      <w:lang/>
                    </w:rPr>
                  </w:pPr>
                  <w:r>
                    <w:rPr>
                      <w:rFonts w:hint="eastAsia" w:cs="宋体"/>
                      <w:kern w:val="0"/>
                      <w:szCs w:val="21"/>
                      <w:lang/>
                    </w:rPr>
                    <w:t>F02</w:t>
                  </w:r>
                </w:p>
              </w:tc>
              <w:tc>
                <w:tcPr>
                  <w:tcW w:w="2668" w:type="dxa"/>
                  <w:vAlign w:val="center"/>
                </w:tcPr>
                <w:p>
                  <w:pPr>
                    <w:widowControl/>
                    <w:wordWrap w:val="0"/>
                    <w:spacing w:line="360" w:lineRule="exact"/>
                    <w:jc w:val="center"/>
                    <w:textAlignment w:val="center"/>
                    <w:rPr>
                      <w:kern w:val="0"/>
                      <w:szCs w:val="21"/>
                      <w:lang/>
                    </w:rPr>
                  </w:pPr>
                  <w:r>
                    <w:rPr>
                      <w:rFonts w:hint="eastAsia"/>
                      <w:kern w:val="0"/>
                      <w:szCs w:val="21"/>
                      <w:lang/>
                    </w:rPr>
                    <w:t>111°34'34.73"</w:t>
                  </w:r>
                </w:p>
              </w:tc>
              <w:tc>
                <w:tcPr>
                  <w:tcW w:w="2509" w:type="dxa"/>
                  <w:vAlign w:val="center"/>
                </w:tcPr>
                <w:p>
                  <w:pPr>
                    <w:widowControl/>
                    <w:wordWrap w:val="0"/>
                    <w:spacing w:line="360" w:lineRule="exact"/>
                    <w:jc w:val="center"/>
                    <w:textAlignment w:val="center"/>
                    <w:rPr>
                      <w:kern w:val="0"/>
                      <w:szCs w:val="21"/>
                      <w:lang/>
                    </w:rPr>
                  </w:pPr>
                  <w:r>
                    <w:rPr>
                      <w:rFonts w:hint="eastAsia"/>
                      <w:kern w:val="0"/>
                      <w:szCs w:val="21"/>
                      <w:lang/>
                    </w:rPr>
                    <w:t>38°38'48.31"</w:t>
                  </w:r>
                </w:p>
              </w:tc>
            </w:tr>
            <w:tr>
              <w:trPr>
                <w:jc w:val="center"/>
              </w:trPr>
              <w:tc>
                <w:tcPr>
                  <w:tcW w:w="1402" w:type="dxa"/>
                  <w:vMerge w:val="continue"/>
                  <w:vAlign w:val="center"/>
                </w:tcPr>
                <w:p>
                  <w:pPr>
                    <w:wordWrap w:val="0"/>
                    <w:autoSpaceDE w:val="0"/>
                    <w:autoSpaceDN w:val="0"/>
                    <w:adjustRightInd w:val="0"/>
                    <w:spacing w:line="360" w:lineRule="exact"/>
                    <w:jc w:val="center"/>
                    <w:rPr>
                      <w:rFonts w:cs="宋?"/>
                      <w:kern w:val="0"/>
                      <w:szCs w:val="21"/>
                    </w:rPr>
                  </w:pPr>
                </w:p>
              </w:tc>
              <w:tc>
                <w:tcPr>
                  <w:tcW w:w="1717" w:type="dxa"/>
                  <w:vAlign w:val="center"/>
                </w:tcPr>
                <w:p>
                  <w:pPr>
                    <w:widowControl/>
                    <w:wordWrap w:val="0"/>
                    <w:spacing w:line="360" w:lineRule="exact"/>
                    <w:jc w:val="center"/>
                    <w:textAlignment w:val="center"/>
                    <w:rPr>
                      <w:rFonts w:cs="宋体"/>
                      <w:kern w:val="0"/>
                      <w:szCs w:val="21"/>
                      <w:lang/>
                    </w:rPr>
                  </w:pPr>
                  <w:r>
                    <w:rPr>
                      <w:rFonts w:hint="eastAsia" w:cs="宋体"/>
                      <w:kern w:val="0"/>
                      <w:szCs w:val="21"/>
                      <w:lang/>
                    </w:rPr>
                    <w:t>F03</w:t>
                  </w:r>
                </w:p>
              </w:tc>
              <w:tc>
                <w:tcPr>
                  <w:tcW w:w="2668" w:type="dxa"/>
                  <w:vAlign w:val="center"/>
                </w:tcPr>
                <w:p>
                  <w:pPr>
                    <w:widowControl/>
                    <w:wordWrap w:val="0"/>
                    <w:spacing w:line="360" w:lineRule="exact"/>
                    <w:jc w:val="center"/>
                    <w:textAlignment w:val="center"/>
                    <w:rPr>
                      <w:kern w:val="0"/>
                      <w:szCs w:val="21"/>
                      <w:lang/>
                    </w:rPr>
                  </w:pPr>
                  <w:r>
                    <w:rPr>
                      <w:rFonts w:hint="eastAsia"/>
                      <w:kern w:val="0"/>
                      <w:szCs w:val="21"/>
                      <w:lang/>
                    </w:rPr>
                    <w:t>111°34'49.21"</w:t>
                  </w:r>
                </w:p>
              </w:tc>
              <w:tc>
                <w:tcPr>
                  <w:tcW w:w="2509" w:type="dxa"/>
                  <w:vAlign w:val="center"/>
                </w:tcPr>
                <w:p>
                  <w:pPr>
                    <w:widowControl/>
                    <w:wordWrap w:val="0"/>
                    <w:spacing w:line="360" w:lineRule="exact"/>
                    <w:jc w:val="center"/>
                    <w:textAlignment w:val="center"/>
                    <w:rPr>
                      <w:kern w:val="0"/>
                      <w:szCs w:val="21"/>
                      <w:lang/>
                    </w:rPr>
                  </w:pPr>
                  <w:r>
                    <w:rPr>
                      <w:rFonts w:hint="eastAsia"/>
                      <w:kern w:val="0"/>
                      <w:szCs w:val="21"/>
                      <w:lang/>
                    </w:rPr>
                    <w:t>38°38'34.51"</w:t>
                  </w:r>
                </w:p>
              </w:tc>
            </w:tr>
            <w:tr>
              <w:trPr>
                <w:jc w:val="center"/>
              </w:trPr>
              <w:tc>
                <w:tcPr>
                  <w:tcW w:w="1402" w:type="dxa"/>
                  <w:vMerge w:val="restart"/>
                  <w:vAlign w:val="center"/>
                </w:tcPr>
                <w:p>
                  <w:pPr>
                    <w:wordWrap w:val="0"/>
                    <w:autoSpaceDE w:val="0"/>
                    <w:autoSpaceDN w:val="0"/>
                    <w:adjustRightInd w:val="0"/>
                    <w:spacing w:line="360" w:lineRule="exact"/>
                    <w:jc w:val="center"/>
                    <w:rPr>
                      <w:rFonts w:cs="宋?"/>
                      <w:kern w:val="0"/>
                      <w:szCs w:val="21"/>
                    </w:rPr>
                  </w:pPr>
                  <w:r>
                    <w:rPr>
                      <w:rFonts w:hint="eastAsia" w:cs="宋?"/>
                      <w:kern w:val="0"/>
                      <w:szCs w:val="21"/>
                    </w:rPr>
                    <w:t>风电场范围</w:t>
                  </w:r>
                </w:p>
              </w:tc>
              <w:tc>
                <w:tcPr>
                  <w:tcW w:w="1717" w:type="dxa"/>
                  <w:vAlign w:val="center"/>
                </w:tcPr>
                <w:p>
                  <w:pPr>
                    <w:widowControl/>
                    <w:wordWrap w:val="0"/>
                    <w:spacing w:line="360" w:lineRule="exact"/>
                    <w:jc w:val="center"/>
                    <w:textAlignment w:val="center"/>
                    <w:rPr>
                      <w:rFonts w:cs="宋?"/>
                      <w:kern w:val="0"/>
                      <w:szCs w:val="21"/>
                    </w:rPr>
                  </w:pPr>
                  <w:r>
                    <w:rPr>
                      <w:rFonts w:hint="eastAsia" w:cs="宋体"/>
                      <w:kern w:val="0"/>
                      <w:szCs w:val="21"/>
                      <w:lang/>
                    </w:rPr>
                    <w:t>1</w:t>
                  </w:r>
                </w:p>
              </w:tc>
              <w:tc>
                <w:tcPr>
                  <w:tcW w:w="2668" w:type="dxa"/>
                  <w:vAlign w:val="center"/>
                </w:tcPr>
                <w:p>
                  <w:pPr>
                    <w:widowControl/>
                    <w:wordWrap w:val="0"/>
                    <w:spacing w:line="360" w:lineRule="exact"/>
                    <w:jc w:val="center"/>
                    <w:textAlignment w:val="center"/>
                    <w:rPr>
                      <w:kern w:val="0"/>
                      <w:szCs w:val="21"/>
                      <w:lang/>
                    </w:rPr>
                  </w:pPr>
                  <w:r>
                    <w:rPr>
                      <w:kern w:val="0"/>
                      <w:szCs w:val="21"/>
                      <w:lang/>
                    </w:rPr>
                    <w:t>111°34′</w:t>
                  </w:r>
                  <w:r>
                    <w:rPr>
                      <w:rFonts w:hint="eastAsia"/>
                      <w:kern w:val="0"/>
                      <w:szCs w:val="21"/>
                      <w:lang/>
                    </w:rPr>
                    <w:t>23.96</w:t>
                  </w:r>
                  <w:r>
                    <w:rPr>
                      <w:kern w:val="0"/>
                      <w:szCs w:val="21"/>
                      <w:lang/>
                    </w:rPr>
                    <w:t>″</w:t>
                  </w:r>
                </w:p>
              </w:tc>
              <w:tc>
                <w:tcPr>
                  <w:tcW w:w="2509" w:type="dxa"/>
                  <w:vAlign w:val="center"/>
                </w:tcPr>
                <w:p>
                  <w:pPr>
                    <w:widowControl/>
                    <w:wordWrap w:val="0"/>
                    <w:spacing w:line="360" w:lineRule="exact"/>
                    <w:jc w:val="center"/>
                    <w:textAlignment w:val="center"/>
                    <w:rPr>
                      <w:kern w:val="0"/>
                      <w:szCs w:val="21"/>
                      <w:lang/>
                    </w:rPr>
                  </w:pPr>
                  <w:r>
                    <w:rPr>
                      <w:kern w:val="0"/>
                      <w:szCs w:val="21"/>
                      <w:lang/>
                    </w:rPr>
                    <w:t>38°39′</w:t>
                  </w:r>
                  <w:r>
                    <w:rPr>
                      <w:rFonts w:hint="eastAsia"/>
                      <w:kern w:val="0"/>
                      <w:szCs w:val="21"/>
                      <w:lang/>
                    </w:rPr>
                    <w:t>7.75</w:t>
                  </w:r>
                  <w:r>
                    <w:rPr>
                      <w:kern w:val="0"/>
                      <w:szCs w:val="21"/>
                      <w:lang/>
                    </w:rPr>
                    <w:t>″</w:t>
                  </w:r>
                </w:p>
              </w:tc>
            </w:tr>
            <w:tr>
              <w:trPr>
                <w:jc w:val="center"/>
              </w:trPr>
              <w:tc>
                <w:tcPr>
                  <w:tcW w:w="1402" w:type="dxa"/>
                  <w:vMerge w:val="continue"/>
                  <w:vAlign w:val="center"/>
                </w:tcPr>
                <w:p>
                  <w:pPr>
                    <w:wordWrap w:val="0"/>
                    <w:autoSpaceDE w:val="0"/>
                    <w:autoSpaceDN w:val="0"/>
                    <w:adjustRightInd w:val="0"/>
                    <w:spacing w:line="360" w:lineRule="exact"/>
                    <w:jc w:val="center"/>
                    <w:rPr>
                      <w:rFonts w:cs="宋?"/>
                      <w:kern w:val="0"/>
                      <w:szCs w:val="21"/>
                    </w:rPr>
                  </w:pPr>
                </w:p>
              </w:tc>
              <w:tc>
                <w:tcPr>
                  <w:tcW w:w="1717" w:type="dxa"/>
                  <w:vAlign w:val="center"/>
                </w:tcPr>
                <w:p>
                  <w:pPr>
                    <w:widowControl/>
                    <w:wordWrap w:val="0"/>
                    <w:spacing w:line="360" w:lineRule="exact"/>
                    <w:jc w:val="center"/>
                    <w:textAlignment w:val="center"/>
                    <w:rPr>
                      <w:rFonts w:cs="宋?"/>
                      <w:kern w:val="0"/>
                      <w:szCs w:val="21"/>
                    </w:rPr>
                  </w:pPr>
                  <w:r>
                    <w:rPr>
                      <w:rFonts w:hint="eastAsia" w:cs="宋体"/>
                      <w:kern w:val="0"/>
                      <w:szCs w:val="21"/>
                      <w:lang/>
                    </w:rPr>
                    <w:t>2</w:t>
                  </w:r>
                </w:p>
              </w:tc>
              <w:tc>
                <w:tcPr>
                  <w:tcW w:w="2668" w:type="dxa"/>
                  <w:vAlign w:val="center"/>
                </w:tcPr>
                <w:p>
                  <w:pPr>
                    <w:widowControl/>
                    <w:wordWrap w:val="0"/>
                    <w:spacing w:line="360" w:lineRule="exact"/>
                    <w:jc w:val="center"/>
                    <w:textAlignment w:val="center"/>
                    <w:rPr>
                      <w:kern w:val="0"/>
                      <w:szCs w:val="21"/>
                      <w:lang/>
                    </w:rPr>
                  </w:pPr>
                  <w:r>
                    <w:rPr>
                      <w:kern w:val="0"/>
                      <w:szCs w:val="21"/>
                      <w:lang/>
                    </w:rPr>
                    <w:t>111°3</w:t>
                  </w:r>
                  <w:r>
                    <w:rPr>
                      <w:rFonts w:hint="eastAsia"/>
                      <w:kern w:val="0"/>
                      <w:szCs w:val="21"/>
                      <w:lang/>
                    </w:rPr>
                    <w:t>5</w:t>
                  </w:r>
                  <w:r>
                    <w:rPr>
                      <w:kern w:val="0"/>
                      <w:szCs w:val="21"/>
                      <w:lang/>
                    </w:rPr>
                    <w:t>′</w:t>
                  </w:r>
                  <w:r>
                    <w:rPr>
                      <w:rFonts w:hint="eastAsia"/>
                      <w:kern w:val="0"/>
                      <w:szCs w:val="21"/>
                      <w:lang/>
                    </w:rPr>
                    <w:t>2.85</w:t>
                  </w:r>
                  <w:r>
                    <w:rPr>
                      <w:kern w:val="0"/>
                      <w:szCs w:val="21"/>
                      <w:lang/>
                    </w:rPr>
                    <w:t>″</w:t>
                  </w:r>
                </w:p>
              </w:tc>
              <w:tc>
                <w:tcPr>
                  <w:tcW w:w="2509" w:type="dxa"/>
                  <w:vAlign w:val="center"/>
                </w:tcPr>
                <w:p>
                  <w:pPr>
                    <w:widowControl/>
                    <w:wordWrap w:val="0"/>
                    <w:spacing w:line="360" w:lineRule="exact"/>
                    <w:jc w:val="center"/>
                    <w:textAlignment w:val="center"/>
                    <w:rPr>
                      <w:kern w:val="0"/>
                      <w:szCs w:val="21"/>
                      <w:lang/>
                    </w:rPr>
                  </w:pPr>
                  <w:r>
                    <w:rPr>
                      <w:kern w:val="0"/>
                      <w:szCs w:val="21"/>
                      <w:lang/>
                    </w:rPr>
                    <w:t>38°3</w:t>
                  </w:r>
                  <w:r>
                    <w:rPr>
                      <w:rFonts w:hint="eastAsia"/>
                      <w:kern w:val="0"/>
                      <w:szCs w:val="21"/>
                      <w:lang/>
                    </w:rPr>
                    <w:t>9</w:t>
                  </w:r>
                  <w:r>
                    <w:rPr>
                      <w:kern w:val="0"/>
                      <w:szCs w:val="21"/>
                      <w:lang/>
                    </w:rPr>
                    <w:t>′</w:t>
                  </w:r>
                  <w:r>
                    <w:rPr>
                      <w:rFonts w:hint="eastAsia"/>
                      <w:kern w:val="0"/>
                      <w:szCs w:val="21"/>
                      <w:lang/>
                    </w:rPr>
                    <w:t>7.53</w:t>
                  </w:r>
                  <w:r>
                    <w:rPr>
                      <w:kern w:val="0"/>
                      <w:szCs w:val="21"/>
                      <w:lang/>
                    </w:rPr>
                    <w:t>″</w:t>
                  </w:r>
                </w:p>
              </w:tc>
            </w:tr>
            <w:tr>
              <w:trPr>
                <w:jc w:val="center"/>
              </w:trPr>
              <w:tc>
                <w:tcPr>
                  <w:tcW w:w="1402" w:type="dxa"/>
                  <w:vMerge w:val="continue"/>
                  <w:vAlign w:val="center"/>
                </w:tcPr>
                <w:p>
                  <w:pPr>
                    <w:wordWrap w:val="0"/>
                    <w:autoSpaceDE w:val="0"/>
                    <w:autoSpaceDN w:val="0"/>
                    <w:adjustRightInd w:val="0"/>
                    <w:spacing w:line="360" w:lineRule="exact"/>
                    <w:jc w:val="center"/>
                    <w:rPr>
                      <w:rFonts w:cs="宋?"/>
                      <w:kern w:val="0"/>
                      <w:szCs w:val="21"/>
                    </w:rPr>
                  </w:pPr>
                </w:p>
              </w:tc>
              <w:tc>
                <w:tcPr>
                  <w:tcW w:w="1717" w:type="dxa"/>
                  <w:vAlign w:val="center"/>
                </w:tcPr>
                <w:p>
                  <w:pPr>
                    <w:widowControl/>
                    <w:wordWrap w:val="0"/>
                    <w:spacing w:line="360" w:lineRule="exact"/>
                    <w:jc w:val="center"/>
                    <w:textAlignment w:val="center"/>
                    <w:rPr>
                      <w:rFonts w:cs="宋?"/>
                      <w:kern w:val="0"/>
                      <w:szCs w:val="21"/>
                    </w:rPr>
                  </w:pPr>
                  <w:r>
                    <w:rPr>
                      <w:rFonts w:hint="eastAsia" w:cs="宋体"/>
                      <w:kern w:val="0"/>
                      <w:szCs w:val="21"/>
                      <w:lang/>
                    </w:rPr>
                    <w:t>3</w:t>
                  </w:r>
                </w:p>
              </w:tc>
              <w:tc>
                <w:tcPr>
                  <w:tcW w:w="2668" w:type="dxa"/>
                  <w:vAlign w:val="center"/>
                </w:tcPr>
                <w:p>
                  <w:pPr>
                    <w:widowControl/>
                    <w:wordWrap w:val="0"/>
                    <w:spacing w:line="360" w:lineRule="exact"/>
                    <w:jc w:val="center"/>
                    <w:textAlignment w:val="center"/>
                    <w:rPr>
                      <w:kern w:val="0"/>
                      <w:szCs w:val="21"/>
                      <w:lang/>
                    </w:rPr>
                  </w:pPr>
                  <w:r>
                    <w:rPr>
                      <w:rFonts w:hint="eastAsia"/>
                      <w:kern w:val="0"/>
                      <w:szCs w:val="21"/>
                      <w:lang/>
                    </w:rPr>
                    <w:t>111</w:t>
                  </w:r>
                  <w:r>
                    <w:rPr>
                      <w:kern w:val="0"/>
                      <w:szCs w:val="21"/>
                      <w:lang/>
                    </w:rPr>
                    <w:t>°</w:t>
                  </w:r>
                  <w:r>
                    <w:rPr>
                      <w:rFonts w:hint="eastAsia"/>
                      <w:kern w:val="0"/>
                      <w:szCs w:val="21"/>
                      <w:lang/>
                    </w:rPr>
                    <w:t>35</w:t>
                  </w:r>
                  <w:r>
                    <w:rPr>
                      <w:kern w:val="0"/>
                      <w:szCs w:val="21"/>
                      <w:lang/>
                    </w:rPr>
                    <w:t>'</w:t>
                  </w:r>
                  <w:r>
                    <w:rPr>
                      <w:rFonts w:hint="eastAsia"/>
                      <w:kern w:val="0"/>
                      <w:szCs w:val="21"/>
                      <w:lang/>
                    </w:rPr>
                    <w:t>7.64</w:t>
                  </w:r>
                  <w:r>
                    <w:rPr>
                      <w:kern w:val="0"/>
                      <w:szCs w:val="21"/>
                      <w:lang/>
                    </w:rPr>
                    <w:t>"</w:t>
                  </w:r>
                </w:p>
              </w:tc>
              <w:tc>
                <w:tcPr>
                  <w:tcW w:w="2509" w:type="dxa"/>
                  <w:vAlign w:val="center"/>
                </w:tcPr>
                <w:p>
                  <w:pPr>
                    <w:widowControl/>
                    <w:wordWrap w:val="0"/>
                    <w:spacing w:line="360" w:lineRule="exact"/>
                    <w:jc w:val="center"/>
                    <w:textAlignment w:val="center"/>
                    <w:rPr>
                      <w:kern w:val="0"/>
                      <w:szCs w:val="21"/>
                      <w:lang/>
                    </w:rPr>
                  </w:pPr>
                  <w:r>
                    <w:rPr>
                      <w:kern w:val="0"/>
                      <w:szCs w:val="21"/>
                      <w:lang/>
                    </w:rPr>
                    <w:t>38°3</w:t>
                  </w:r>
                  <w:r>
                    <w:rPr>
                      <w:rFonts w:hint="eastAsia"/>
                      <w:kern w:val="0"/>
                      <w:szCs w:val="21"/>
                      <w:lang/>
                    </w:rPr>
                    <w:t>8</w:t>
                  </w:r>
                  <w:r>
                    <w:rPr>
                      <w:kern w:val="0"/>
                      <w:szCs w:val="21"/>
                      <w:lang/>
                    </w:rPr>
                    <w:t>'</w:t>
                  </w:r>
                  <w:r>
                    <w:rPr>
                      <w:rFonts w:hint="eastAsia"/>
                      <w:kern w:val="0"/>
                      <w:szCs w:val="21"/>
                      <w:lang/>
                    </w:rPr>
                    <w:t>15.23</w:t>
                  </w:r>
                </w:p>
              </w:tc>
            </w:tr>
            <w:tr>
              <w:trPr>
                <w:jc w:val="center"/>
              </w:trPr>
              <w:tc>
                <w:tcPr>
                  <w:tcW w:w="1402" w:type="dxa"/>
                  <w:vMerge w:val="continue"/>
                  <w:vAlign w:val="center"/>
                </w:tcPr>
                <w:p>
                  <w:pPr>
                    <w:wordWrap w:val="0"/>
                    <w:autoSpaceDE w:val="0"/>
                    <w:autoSpaceDN w:val="0"/>
                    <w:adjustRightInd w:val="0"/>
                    <w:spacing w:line="360" w:lineRule="exact"/>
                    <w:jc w:val="center"/>
                    <w:rPr>
                      <w:rFonts w:cs="宋?"/>
                      <w:kern w:val="0"/>
                      <w:szCs w:val="21"/>
                    </w:rPr>
                  </w:pPr>
                </w:p>
              </w:tc>
              <w:tc>
                <w:tcPr>
                  <w:tcW w:w="1717" w:type="dxa"/>
                  <w:vAlign w:val="center"/>
                </w:tcPr>
                <w:p>
                  <w:pPr>
                    <w:widowControl/>
                    <w:wordWrap w:val="0"/>
                    <w:spacing w:line="360" w:lineRule="exact"/>
                    <w:jc w:val="center"/>
                    <w:textAlignment w:val="center"/>
                    <w:rPr>
                      <w:rFonts w:cs="宋体"/>
                      <w:kern w:val="0"/>
                      <w:szCs w:val="21"/>
                      <w:lang/>
                    </w:rPr>
                  </w:pPr>
                  <w:r>
                    <w:rPr>
                      <w:rFonts w:hint="eastAsia" w:cs="宋体"/>
                      <w:kern w:val="0"/>
                      <w:szCs w:val="21"/>
                      <w:lang/>
                    </w:rPr>
                    <w:t>4</w:t>
                  </w:r>
                </w:p>
              </w:tc>
              <w:tc>
                <w:tcPr>
                  <w:tcW w:w="2668" w:type="dxa"/>
                  <w:vAlign w:val="center"/>
                </w:tcPr>
                <w:p>
                  <w:pPr>
                    <w:widowControl/>
                    <w:wordWrap w:val="0"/>
                    <w:spacing w:line="360" w:lineRule="exact"/>
                    <w:jc w:val="center"/>
                    <w:textAlignment w:val="center"/>
                    <w:rPr>
                      <w:kern w:val="0"/>
                      <w:szCs w:val="21"/>
                      <w:lang/>
                    </w:rPr>
                  </w:pPr>
                  <w:r>
                    <w:rPr>
                      <w:rFonts w:hint="eastAsia"/>
                      <w:kern w:val="0"/>
                      <w:szCs w:val="21"/>
                      <w:lang/>
                    </w:rPr>
                    <w:t>111</w:t>
                  </w:r>
                  <w:r>
                    <w:rPr>
                      <w:kern w:val="0"/>
                      <w:szCs w:val="21"/>
                      <w:lang/>
                    </w:rPr>
                    <w:t>°</w:t>
                  </w:r>
                  <w:r>
                    <w:rPr>
                      <w:rFonts w:hint="eastAsia"/>
                      <w:kern w:val="0"/>
                      <w:szCs w:val="21"/>
                      <w:lang/>
                    </w:rPr>
                    <w:t>34</w:t>
                  </w:r>
                  <w:r>
                    <w:rPr>
                      <w:kern w:val="0"/>
                      <w:szCs w:val="21"/>
                      <w:lang/>
                    </w:rPr>
                    <w:t>'</w:t>
                  </w:r>
                  <w:r>
                    <w:rPr>
                      <w:rFonts w:hint="eastAsia"/>
                      <w:kern w:val="0"/>
                      <w:szCs w:val="21"/>
                      <w:lang/>
                    </w:rPr>
                    <w:t>28.36</w:t>
                  </w:r>
                  <w:r>
                    <w:rPr>
                      <w:kern w:val="0"/>
                      <w:szCs w:val="21"/>
                      <w:lang/>
                    </w:rPr>
                    <w:t>"</w:t>
                  </w:r>
                </w:p>
              </w:tc>
              <w:tc>
                <w:tcPr>
                  <w:tcW w:w="2509" w:type="dxa"/>
                  <w:vAlign w:val="center"/>
                </w:tcPr>
                <w:p>
                  <w:pPr>
                    <w:widowControl/>
                    <w:wordWrap w:val="0"/>
                    <w:spacing w:line="360" w:lineRule="exact"/>
                    <w:jc w:val="center"/>
                    <w:textAlignment w:val="center"/>
                    <w:rPr>
                      <w:kern w:val="0"/>
                      <w:szCs w:val="21"/>
                      <w:lang/>
                    </w:rPr>
                  </w:pPr>
                  <w:r>
                    <w:rPr>
                      <w:kern w:val="0"/>
                      <w:szCs w:val="21"/>
                      <w:lang/>
                    </w:rPr>
                    <w:t>38°3</w:t>
                  </w:r>
                  <w:r>
                    <w:rPr>
                      <w:rFonts w:hint="eastAsia"/>
                      <w:kern w:val="0"/>
                      <w:szCs w:val="21"/>
                      <w:lang/>
                    </w:rPr>
                    <w:t>8</w:t>
                  </w:r>
                  <w:r>
                    <w:rPr>
                      <w:kern w:val="0"/>
                      <w:szCs w:val="21"/>
                      <w:lang/>
                    </w:rPr>
                    <w:t>'</w:t>
                  </w:r>
                  <w:r>
                    <w:rPr>
                      <w:rFonts w:hint="eastAsia"/>
                      <w:kern w:val="0"/>
                      <w:szCs w:val="21"/>
                      <w:lang/>
                    </w:rPr>
                    <w:t>18.54</w:t>
                  </w:r>
                  <w:r>
                    <w:rPr>
                      <w:kern w:val="0"/>
                      <w:szCs w:val="21"/>
                      <w:lang/>
                    </w:rPr>
                    <w:t>"</w:t>
                  </w:r>
                </w:p>
              </w:tc>
            </w:tr>
          </w:tbl>
          <w:p>
            <w:pPr>
              <w:wordWrap w:val="0"/>
              <w:autoSpaceDE w:val="0"/>
              <w:autoSpaceDN w:val="0"/>
              <w:adjustRightInd w:val="0"/>
              <w:spacing w:line="420" w:lineRule="exact"/>
              <w:ind w:firstLine="482" w:firstLineChars="200"/>
              <w:rPr>
                <w:rFonts w:cs="宋?"/>
                <w:b/>
                <w:bCs/>
                <w:kern w:val="0"/>
                <w:sz w:val="24"/>
              </w:rPr>
            </w:pPr>
            <w:r>
              <w:rPr>
                <w:rFonts w:hint="eastAsia" w:cs="宋?"/>
                <w:b/>
                <w:bCs/>
                <w:kern w:val="0"/>
                <w:sz w:val="24"/>
              </w:rPr>
              <w:t>（2）风电场规模</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本项目拟建设单机容量2000kW的风机3台，轮毂高度为90m，总装机容量为6WM，年上网电量为14209.6MWh，年等效满负荷小时数为2368.3h。</w:t>
            </w:r>
            <w:r>
              <w:rPr>
                <w:rFonts w:cs="宋?"/>
                <w:kern w:val="0"/>
                <w:sz w:val="24"/>
              </w:rPr>
              <w:t>风电场工程特征见表</w:t>
            </w:r>
            <w:r>
              <w:rPr>
                <w:rFonts w:hint="eastAsia" w:cs="宋?"/>
                <w:kern w:val="0"/>
                <w:sz w:val="24"/>
              </w:rPr>
              <w:t>2</w:t>
            </w:r>
            <w:r>
              <w:rPr>
                <w:rFonts w:cs="宋?"/>
                <w:kern w:val="0"/>
                <w:sz w:val="24"/>
              </w:rPr>
              <w:t>。</w:t>
            </w:r>
          </w:p>
          <w:p>
            <w:pPr>
              <w:wordWrap w:val="0"/>
              <w:autoSpaceDE w:val="0"/>
              <w:autoSpaceDN w:val="0"/>
              <w:adjustRightInd w:val="0"/>
              <w:spacing w:line="420" w:lineRule="exact"/>
              <w:ind w:firstLine="480" w:firstLineChars="200"/>
              <w:rPr>
                <w:rFonts w:cs="宋?"/>
                <w:kern w:val="0"/>
                <w:sz w:val="24"/>
              </w:rPr>
            </w:pPr>
          </w:p>
          <w:p>
            <w:pPr>
              <w:autoSpaceDE w:val="0"/>
              <w:autoSpaceDN w:val="0"/>
              <w:adjustRightInd w:val="0"/>
              <w:spacing w:line="420" w:lineRule="exact"/>
              <w:ind w:firstLine="480" w:firstLineChars="200"/>
              <w:jc w:val="center"/>
              <w:rPr>
                <w:rFonts w:cs="宋?"/>
                <w:kern w:val="0"/>
                <w:sz w:val="24"/>
              </w:rPr>
            </w:pPr>
            <w:r>
              <w:rPr>
                <w:rFonts w:hint="eastAsia" w:cs="宋?"/>
                <w:kern w:val="0"/>
                <w:sz w:val="24"/>
              </w:rPr>
              <w:t>表2  项目工程特性表</w:t>
            </w:r>
          </w:p>
          <w:tbl>
            <w:tblPr>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562"/>
              <w:gridCol w:w="435"/>
              <w:gridCol w:w="274"/>
              <w:gridCol w:w="709"/>
              <w:gridCol w:w="1701"/>
              <w:gridCol w:w="1426"/>
              <w:gridCol w:w="17"/>
              <w:gridCol w:w="1586"/>
              <w:gridCol w:w="1586"/>
            </w:tblGrid>
            <w:tr>
              <w:tc>
                <w:tcPr>
                  <w:tcW w:w="3681" w:type="dxa"/>
                  <w:gridSpan w:val="5"/>
                  <w:vAlign w:val="center"/>
                </w:tcPr>
                <w:p>
                  <w:pPr>
                    <w:wordWrap w:val="0"/>
                    <w:spacing w:line="360" w:lineRule="exact"/>
                    <w:jc w:val="center"/>
                    <w:textAlignment w:val="center"/>
                    <w:rPr>
                      <w:kern w:val="0"/>
                      <w:szCs w:val="21"/>
                      <w:lang/>
                    </w:rPr>
                  </w:pPr>
                  <w:r>
                    <w:rPr>
                      <w:kern w:val="0"/>
                      <w:szCs w:val="21"/>
                      <w:lang/>
                    </w:rPr>
                    <w:t>名</w:t>
                  </w:r>
                  <w:r>
                    <w:rPr>
                      <w:kern w:val="0"/>
                      <w:szCs w:val="21"/>
                      <w:lang/>
                    </w:rPr>
                    <w:tab/>
                  </w:r>
                  <w:r>
                    <w:rPr>
                      <w:kern w:val="0"/>
                      <w:szCs w:val="21"/>
                      <w:lang/>
                    </w:rPr>
                    <w:t>称</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单位(或型号)</w:t>
                  </w:r>
                </w:p>
              </w:tc>
              <w:tc>
                <w:tcPr>
                  <w:tcW w:w="1586" w:type="dxa"/>
                  <w:vAlign w:val="center"/>
                </w:tcPr>
                <w:p>
                  <w:pPr>
                    <w:widowControl/>
                    <w:wordWrap w:val="0"/>
                    <w:spacing w:line="360" w:lineRule="exact"/>
                    <w:jc w:val="center"/>
                    <w:textAlignment w:val="center"/>
                    <w:rPr>
                      <w:kern w:val="0"/>
                      <w:szCs w:val="21"/>
                      <w:lang/>
                    </w:rPr>
                  </w:pPr>
                  <w:r>
                    <w:rPr>
                      <w:kern w:val="0"/>
                      <w:szCs w:val="21"/>
                      <w:lang/>
                    </w:rPr>
                    <w:t>数</w:t>
                  </w:r>
                  <w:r>
                    <w:rPr>
                      <w:kern w:val="0"/>
                      <w:szCs w:val="21"/>
                      <w:lang/>
                    </w:rPr>
                    <w:tab/>
                  </w:r>
                  <w:r>
                    <w:rPr>
                      <w:kern w:val="0"/>
                      <w:szCs w:val="21"/>
                      <w:lang/>
                    </w:rPr>
                    <w:t>量</w:t>
                  </w:r>
                </w:p>
              </w:tc>
              <w:tc>
                <w:tcPr>
                  <w:tcW w:w="1586" w:type="dxa"/>
                  <w:vAlign w:val="center"/>
                </w:tcPr>
                <w:p>
                  <w:pPr>
                    <w:widowControl/>
                    <w:wordWrap w:val="0"/>
                    <w:spacing w:line="360" w:lineRule="exact"/>
                    <w:jc w:val="center"/>
                    <w:textAlignment w:val="center"/>
                    <w:rPr>
                      <w:kern w:val="0"/>
                      <w:szCs w:val="21"/>
                      <w:lang/>
                    </w:rPr>
                  </w:pPr>
                  <w:r>
                    <w:rPr>
                      <w:kern w:val="0"/>
                      <w:szCs w:val="21"/>
                      <w:lang/>
                    </w:rPr>
                    <w:t>备</w:t>
                  </w:r>
                  <w:r>
                    <w:rPr>
                      <w:kern w:val="0"/>
                      <w:szCs w:val="21"/>
                      <w:lang/>
                    </w:rPr>
                    <w:tab/>
                  </w:r>
                  <w:r>
                    <w:rPr>
                      <w:kern w:val="0"/>
                      <w:szCs w:val="21"/>
                      <w:lang/>
                    </w:rPr>
                    <w:t>注</w:t>
                  </w:r>
                </w:p>
              </w:tc>
            </w:tr>
            <w:tr>
              <w:tc>
                <w:tcPr>
                  <w:tcW w:w="562" w:type="dxa"/>
                  <w:vMerge w:val="restart"/>
                  <w:vAlign w:val="center"/>
                </w:tcPr>
                <w:p>
                  <w:pPr>
                    <w:wordWrap w:val="0"/>
                    <w:autoSpaceDE w:val="0"/>
                    <w:autoSpaceDN w:val="0"/>
                    <w:adjustRightInd w:val="0"/>
                    <w:spacing w:line="356" w:lineRule="exact"/>
                    <w:jc w:val="center"/>
                    <w:rPr>
                      <w:rFonts w:cs="宋体"/>
                      <w:w w:val="99"/>
                      <w:kern w:val="0"/>
                      <w:sz w:val="24"/>
                    </w:rPr>
                  </w:pPr>
                  <w:r>
                    <w:rPr>
                      <w:kern w:val="0"/>
                      <w:szCs w:val="21"/>
                      <w:lang/>
                    </w:rPr>
                    <w:t>风电场场址</w:t>
                  </w:r>
                </w:p>
              </w:tc>
              <w:tc>
                <w:tcPr>
                  <w:tcW w:w="3119" w:type="dxa"/>
                  <w:gridSpan w:val="4"/>
                  <w:vAlign w:val="center"/>
                </w:tcPr>
                <w:p>
                  <w:pPr>
                    <w:widowControl/>
                    <w:wordWrap w:val="0"/>
                    <w:spacing w:line="360" w:lineRule="exact"/>
                    <w:jc w:val="center"/>
                    <w:textAlignment w:val="center"/>
                    <w:rPr>
                      <w:kern w:val="0"/>
                      <w:szCs w:val="21"/>
                      <w:lang/>
                    </w:rPr>
                  </w:pPr>
                  <w:r>
                    <w:rPr>
                      <w:kern w:val="0"/>
                      <w:szCs w:val="21"/>
                      <w:lang/>
                    </w:rPr>
                    <w:t>海拔高度</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w:t>
                  </w:r>
                </w:p>
              </w:tc>
              <w:tc>
                <w:tcPr>
                  <w:tcW w:w="1586" w:type="dxa"/>
                  <w:vAlign w:val="center"/>
                </w:tcPr>
                <w:p>
                  <w:pPr>
                    <w:widowControl/>
                    <w:wordWrap w:val="0"/>
                    <w:spacing w:line="360" w:lineRule="exact"/>
                    <w:jc w:val="center"/>
                    <w:textAlignment w:val="center"/>
                    <w:rPr>
                      <w:kern w:val="0"/>
                      <w:szCs w:val="21"/>
                      <w:lang/>
                    </w:rPr>
                  </w:pPr>
                  <w:r>
                    <w:rPr>
                      <w:kern w:val="0"/>
                      <w:szCs w:val="21"/>
                      <w:lang/>
                    </w:rPr>
                    <w:t>1946-2033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rFonts w:cs="宋体"/>
                      <w:w w:val="99"/>
                      <w:kern w:val="0"/>
                      <w:sz w:val="24"/>
                    </w:rPr>
                  </w:pPr>
                </w:p>
              </w:tc>
              <w:tc>
                <w:tcPr>
                  <w:tcW w:w="3119" w:type="dxa"/>
                  <w:gridSpan w:val="4"/>
                  <w:vAlign w:val="center"/>
                </w:tcPr>
                <w:p>
                  <w:pPr>
                    <w:widowControl/>
                    <w:wordWrap w:val="0"/>
                    <w:spacing w:line="360" w:lineRule="exact"/>
                    <w:jc w:val="center"/>
                    <w:textAlignment w:val="center"/>
                    <w:rPr>
                      <w:kern w:val="0"/>
                      <w:szCs w:val="21"/>
                      <w:lang/>
                    </w:rPr>
                  </w:pPr>
                  <w:r>
                    <w:rPr>
                      <w:kern w:val="0"/>
                      <w:szCs w:val="21"/>
                      <w:lang/>
                    </w:rPr>
                    <w:t>年平均风速</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m/s</w:t>
                  </w:r>
                </w:p>
              </w:tc>
              <w:tc>
                <w:tcPr>
                  <w:tcW w:w="1586" w:type="dxa"/>
                  <w:vAlign w:val="center"/>
                </w:tcPr>
                <w:p>
                  <w:pPr>
                    <w:widowControl/>
                    <w:wordWrap w:val="0"/>
                    <w:spacing w:line="360" w:lineRule="exact"/>
                    <w:jc w:val="center"/>
                    <w:textAlignment w:val="center"/>
                    <w:rPr>
                      <w:kern w:val="0"/>
                      <w:szCs w:val="21"/>
                      <w:lang/>
                    </w:rPr>
                  </w:pPr>
                  <w:r>
                    <w:rPr>
                      <w:kern w:val="0"/>
                      <w:szCs w:val="21"/>
                      <w:lang/>
                    </w:rPr>
                    <w:t>6.43（90m）</w:t>
                  </w:r>
                </w:p>
              </w:tc>
              <w:tc>
                <w:tcPr>
                  <w:tcW w:w="1586" w:type="dxa"/>
                  <w:vMerge w:val="restart"/>
                  <w:vAlign w:val="center"/>
                </w:tcPr>
                <w:p>
                  <w:pPr>
                    <w:wordWrap w:val="0"/>
                    <w:autoSpaceDE w:val="0"/>
                    <w:autoSpaceDN w:val="0"/>
                    <w:adjustRightInd w:val="0"/>
                    <w:spacing w:line="356" w:lineRule="exact"/>
                    <w:jc w:val="center"/>
                    <w:rPr>
                      <w:rFonts w:cs="宋体"/>
                      <w:w w:val="99"/>
                      <w:kern w:val="0"/>
                      <w:sz w:val="24"/>
                    </w:rPr>
                  </w:pPr>
                  <w:r>
                    <w:rPr>
                      <w:szCs w:val="21"/>
                      <w:lang/>
                    </w:rPr>
                    <w:t>1个测风塔</w:t>
                  </w:r>
                </w:p>
              </w:tc>
            </w:tr>
            <w:tr>
              <w:tc>
                <w:tcPr>
                  <w:tcW w:w="562" w:type="dxa"/>
                  <w:vMerge w:val="continue"/>
                  <w:vAlign w:val="center"/>
                </w:tcPr>
                <w:p>
                  <w:pPr>
                    <w:wordWrap w:val="0"/>
                    <w:autoSpaceDE w:val="0"/>
                    <w:autoSpaceDN w:val="0"/>
                    <w:adjustRightInd w:val="0"/>
                    <w:spacing w:line="356" w:lineRule="exact"/>
                    <w:jc w:val="center"/>
                    <w:rPr>
                      <w:rFonts w:cs="宋体"/>
                      <w:w w:val="99"/>
                      <w:kern w:val="0"/>
                      <w:sz w:val="24"/>
                    </w:rPr>
                  </w:pPr>
                </w:p>
              </w:tc>
              <w:tc>
                <w:tcPr>
                  <w:tcW w:w="3119" w:type="dxa"/>
                  <w:gridSpan w:val="4"/>
                  <w:vAlign w:val="center"/>
                </w:tcPr>
                <w:p>
                  <w:pPr>
                    <w:widowControl/>
                    <w:wordWrap w:val="0"/>
                    <w:spacing w:line="360" w:lineRule="exact"/>
                    <w:jc w:val="center"/>
                    <w:textAlignment w:val="center"/>
                    <w:rPr>
                      <w:kern w:val="0"/>
                      <w:szCs w:val="21"/>
                      <w:lang/>
                    </w:rPr>
                  </w:pPr>
                  <w:r>
                    <w:rPr>
                      <w:kern w:val="0"/>
                      <w:szCs w:val="21"/>
                      <w:lang/>
                    </w:rPr>
                    <w:t>风功率密度</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W/m</w:t>
                  </w:r>
                  <w:r>
                    <w:rPr>
                      <w:kern w:val="0"/>
                      <w:szCs w:val="21"/>
                      <w:vertAlign w:val="superscript"/>
                      <w:lang/>
                    </w:rPr>
                    <w:t>2</w:t>
                  </w:r>
                </w:p>
              </w:tc>
              <w:tc>
                <w:tcPr>
                  <w:tcW w:w="1586" w:type="dxa"/>
                  <w:vAlign w:val="center"/>
                </w:tcPr>
                <w:p>
                  <w:pPr>
                    <w:widowControl/>
                    <w:wordWrap w:val="0"/>
                    <w:spacing w:line="360" w:lineRule="exact"/>
                    <w:jc w:val="center"/>
                    <w:textAlignment w:val="center"/>
                    <w:rPr>
                      <w:kern w:val="0"/>
                      <w:szCs w:val="21"/>
                      <w:lang/>
                    </w:rPr>
                  </w:pPr>
                  <w:r>
                    <w:rPr>
                      <w:kern w:val="0"/>
                      <w:szCs w:val="21"/>
                      <w:lang/>
                    </w:rPr>
                    <w:t>27.1</w:t>
                  </w:r>
                </w:p>
              </w:tc>
              <w:tc>
                <w:tcPr>
                  <w:tcW w:w="1586" w:type="dxa"/>
                  <w:vMerge w:val="continue"/>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rFonts w:cs="宋体"/>
                      <w:w w:val="99"/>
                      <w:kern w:val="0"/>
                      <w:sz w:val="24"/>
                    </w:rPr>
                  </w:pPr>
                </w:p>
              </w:tc>
              <w:tc>
                <w:tcPr>
                  <w:tcW w:w="3119" w:type="dxa"/>
                  <w:gridSpan w:val="4"/>
                  <w:vAlign w:val="center"/>
                </w:tcPr>
                <w:p>
                  <w:pPr>
                    <w:widowControl/>
                    <w:wordWrap w:val="0"/>
                    <w:spacing w:line="360" w:lineRule="exact"/>
                    <w:jc w:val="center"/>
                    <w:textAlignment w:val="center"/>
                    <w:rPr>
                      <w:kern w:val="0"/>
                      <w:szCs w:val="21"/>
                      <w:lang/>
                    </w:rPr>
                  </w:pPr>
                  <w:r>
                    <w:rPr>
                      <w:kern w:val="0"/>
                      <w:szCs w:val="21"/>
                      <w:lang/>
                    </w:rPr>
                    <w:t>盛行风向</w:t>
                  </w:r>
                </w:p>
              </w:tc>
              <w:tc>
                <w:tcPr>
                  <w:tcW w:w="1443" w:type="dxa"/>
                  <w:gridSpan w:val="2"/>
                  <w:vAlign w:val="center"/>
                </w:tcPr>
                <w:p>
                  <w:pPr>
                    <w:widowControl/>
                    <w:wordWrap w:val="0"/>
                    <w:spacing w:line="360" w:lineRule="exact"/>
                    <w:jc w:val="center"/>
                    <w:textAlignment w:val="center"/>
                    <w:rPr>
                      <w:kern w:val="0"/>
                      <w:szCs w:val="21"/>
                      <w:lang/>
                    </w:rPr>
                  </w:pPr>
                </w:p>
              </w:tc>
              <w:tc>
                <w:tcPr>
                  <w:tcW w:w="1586" w:type="dxa"/>
                  <w:vAlign w:val="center"/>
                </w:tcPr>
                <w:p>
                  <w:pPr>
                    <w:widowControl/>
                    <w:wordWrap w:val="0"/>
                    <w:spacing w:line="360" w:lineRule="exact"/>
                    <w:jc w:val="center"/>
                    <w:textAlignment w:val="center"/>
                    <w:rPr>
                      <w:kern w:val="0"/>
                      <w:szCs w:val="21"/>
                      <w:lang/>
                    </w:rPr>
                  </w:pPr>
                  <w:r>
                    <w:rPr>
                      <w:kern w:val="0"/>
                      <w:szCs w:val="21"/>
                      <w:lang/>
                    </w:rPr>
                    <w:t>NW</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restart"/>
                  <w:vAlign w:val="center"/>
                </w:tcPr>
                <w:p>
                  <w:pPr>
                    <w:wordWrap w:val="0"/>
                    <w:autoSpaceDE w:val="0"/>
                    <w:autoSpaceDN w:val="0"/>
                    <w:adjustRightInd w:val="0"/>
                    <w:spacing w:line="356" w:lineRule="exact"/>
                    <w:jc w:val="center"/>
                    <w:rPr>
                      <w:rFonts w:cs="宋体"/>
                      <w:w w:val="99"/>
                      <w:kern w:val="0"/>
                      <w:sz w:val="24"/>
                    </w:rPr>
                  </w:pPr>
                  <w:r>
                    <w:rPr>
                      <w:kern w:val="0"/>
                      <w:szCs w:val="21"/>
                      <w:lang/>
                    </w:rPr>
                    <w:t>主要设备</w:t>
                  </w:r>
                </w:p>
              </w:tc>
              <w:tc>
                <w:tcPr>
                  <w:tcW w:w="435" w:type="dxa"/>
                  <w:vMerge w:val="restart"/>
                  <w:vAlign w:val="center"/>
                </w:tcPr>
                <w:p>
                  <w:pPr>
                    <w:widowControl/>
                    <w:wordWrap w:val="0"/>
                    <w:spacing w:line="360" w:lineRule="exact"/>
                    <w:jc w:val="center"/>
                    <w:textAlignment w:val="center"/>
                    <w:rPr>
                      <w:kern w:val="0"/>
                      <w:szCs w:val="21"/>
                      <w:lang/>
                    </w:rPr>
                  </w:pPr>
                  <w:r>
                    <w:rPr>
                      <w:kern w:val="0"/>
                      <w:szCs w:val="21"/>
                      <w:lang/>
                    </w:rPr>
                    <w:t>风</w:t>
                  </w:r>
                </w:p>
                <w:p>
                  <w:pPr>
                    <w:widowControl/>
                    <w:wordWrap w:val="0"/>
                    <w:spacing w:line="360" w:lineRule="exact"/>
                    <w:jc w:val="center"/>
                    <w:textAlignment w:val="center"/>
                    <w:rPr>
                      <w:kern w:val="0"/>
                      <w:szCs w:val="21"/>
                      <w:lang/>
                    </w:rPr>
                  </w:pPr>
                </w:p>
                <w:p>
                  <w:pPr>
                    <w:widowControl/>
                    <w:wordWrap w:val="0"/>
                    <w:spacing w:line="360" w:lineRule="exact"/>
                    <w:jc w:val="center"/>
                    <w:textAlignment w:val="center"/>
                    <w:rPr>
                      <w:kern w:val="0"/>
                      <w:szCs w:val="21"/>
                      <w:lang/>
                    </w:rPr>
                  </w:pPr>
                  <w:r>
                    <w:rPr>
                      <w:kern w:val="0"/>
                      <w:szCs w:val="21"/>
                      <w:lang/>
                    </w:rPr>
                    <w:t>电 场 主 要 机 电 设 备</w:t>
                  </w:r>
                </w:p>
              </w:tc>
              <w:tc>
                <w:tcPr>
                  <w:tcW w:w="983" w:type="dxa"/>
                  <w:gridSpan w:val="2"/>
                  <w:vMerge w:val="restart"/>
                  <w:vAlign w:val="center"/>
                </w:tcPr>
                <w:p>
                  <w:pPr>
                    <w:widowControl/>
                    <w:wordWrap w:val="0"/>
                    <w:spacing w:line="360" w:lineRule="exact"/>
                    <w:jc w:val="center"/>
                    <w:textAlignment w:val="center"/>
                    <w:rPr>
                      <w:kern w:val="0"/>
                      <w:szCs w:val="21"/>
                      <w:lang/>
                    </w:rPr>
                  </w:pPr>
                  <w:r>
                    <w:rPr>
                      <w:kern w:val="0"/>
                      <w:szCs w:val="21"/>
                      <w:lang/>
                    </w:rPr>
                    <w:t>风力发电机组</w:t>
                  </w:r>
                </w:p>
              </w:tc>
              <w:tc>
                <w:tcPr>
                  <w:tcW w:w="1701" w:type="dxa"/>
                  <w:vAlign w:val="center"/>
                </w:tcPr>
                <w:p>
                  <w:pPr>
                    <w:widowControl/>
                    <w:wordWrap w:val="0"/>
                    <w:spacing w:line="360" w:lineRule="exact"/>
                    <w:jc w:val="center"/>
                    <w:textAlignment w:val="center"/>
                    <w:rPr>
                      <w:kern w:val="0"/>
                      <w:szCs w:val="21"/>
                      <w:lang/>
                    </w:rPr>
                  </w:pPr>
                  <w:r>
                    <w:rPr>
                      <w:kern w:val="0"/>
                      <w:szCs w:val="21"/>
                      <w:lang/>
                    </w:rPr>
                    <w:t>台数</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台</w:t>
                  </w:r>
                </w:p>
              </w:tc>
              <w:tc>
                <w:tcPr>
                  <w:tcW w:w="1586" w:type="dxa"/>
                  <w:vAlign w:val="center"/>
                </w:tcPr>
                <w:p>
                  <w:pPr>
                    <w:widowControl/>
                    <w:wordWrap w:val="0"/>
                    <w:spacing w:line="360" w:lineRule="exact"/>
                    <w:jc w:val="center"/>
                    <w:textAlignment w:val="center"/>
                    <w:rPr>
                      <w:kern w:val="0"/>
                      <w:szCs w:val="21"/>
                      <w:lang/>
                    </w:rPr>
                  </w:pPr>
                  <w:r>
                    <w:rPr>
                      <w:kern w:val="0"/>
                      <w:szCs w:val="21"/>
                      <w:lang/>
                    </w:rPr>
                    <w:t>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额</w:t>
                  </w:r>
                  <w:r>
                    <w:rPr>
                      <w:kern w:val="0"/>
                      <w:szCs w:val="21"/>
                      <w:lang/>
                    </w:rPr>
                    <w:cr/>
                  </w:r>
                  <w:r>
                    <w:rPr>
                      <w:kern w:val="0"/>
                      <w:szCs w:val="21"/>
                      <w:lang/>
                    </w:rPr>
                    <w:t>功率</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kW</w:t>
                  </w:r>
                </w:p>
              </w:tc>
              <w:tc>
                <w:tcPr>
                  <w:tcW w:w="1586" w:type="dxa"/>
                  <w:vAlign w:val="center"/>
                </w:tcPr>
                <w:p>
                  <w:pPr>
                    <w:widowControl/>
                    <w:wordWrap w:val="0"/>
                    <w:spacing w:line="360" w:lineRule="exact"/>
                    <w:jc w:val="center"/>
                    <w:textAlignment w:val="center"/>
                    <w:rPr>
                      <w:kern w:val="0"/>
                      <w:szCs w:val="21"/>
                      <w:lang/>
                    </w:rPr>
                  </w:pPr>
                  <w:r>
                    <w:rPr>
                      <w:kern w:val="0"/>
                      <w:szCs w:val="21"/>
                      <w:lang/>
                    </w:rPr>
                    <w:t>2000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叶片数</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片</w:t>
                  </w:r>
                </w:p>
              </w:tc>
              <w:tc>
                <w:tcPr>
                  <w:tcW w:w="1586" w:type="dxa"/>
                  <w:vAlign w:val="center"/>
                </w:tcPr>
                <w:p>
                  <w:pPr>
                    <w:widowControl/>
                    <w:wordWrap w:val="0"/>
                    <w:spacing w:line="360" w:lineRule="exact"/>
                    <w:jc w:val="center"/>
                    <w:textAlignment w:val="center"/>
                    <w:rPr>
                      <w:kern w:val="0"/>
                      <w:szCs w:val="21"/>
                      <w:lang/>
                    </w:rPr>
                  </w:pPr>
                  <w:r>
                    <w:rPr>
                      <w:kern w:val="0"/>
                      <w:szCs w:val="21"/>
                      <w:lang/>
                    </w:rPr>
                    <w:t>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风轮直径</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w:t>
                  </w:r>
                </w:p>
              </w:tc>
              <w:tc>
                <w:tcPr>
                  <w:tcW w:w="1586" w:type="dxa"/>
                  <w:vAlign w:val="center"/>
                </w:tcPr>
                <w:p>
                  <w:pPr>
                    <w:widowControl/>
                    <w:wordWrap w:val="0"/>
                    <w:spacing w:line="360" w:lineRule="exact"/>
                    <w:jc w:val="center"/>
                    <w:textAlignment w:val="center"/>
                    <w:rPr>
                      <w:kern w:val="0"/>
                      <w:szCs w:val="21"/>
                      <w:lang/>
                    </w:rPr>
                  </w:pPr>
                  <w:r>
                    <w:rPr>
                      <w:kern w:val="0"/>
                      <w:szCs w:val="21"/>
                      <w:lang/>
                    </w:rPr>
                    <w:t>1</w:t>
                  </w:r>
                  <w:r>
                    <w:rPr>
                      <w:rFonts w:hint="eastAsia"/>
                      <w:kern w:val="0"/>
                      <w:szCs w:val="21"/>
                      <w:lang/>
                    </w:rPr>
                    <w:t>2</w:t>
                  </w:r>
                  <w:r>
                    <w:rPr>
                      <w:kern w:val="0"/>
                      <w:szCs w:val="21"/>
                      <w:lang/>
                    </w:rPr>
                    <w:t>1</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风轮扫掠面积</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w:t>
                  </w:r>
                  <w:r>
                    <w:rPr>
                      <w:kern w:val="0"/>
                      <w:szCs w:val="21"/>
                      <w:vertAlign w:val="superscript"/>
                      <w:lang/>
                    </w:rPr>
                    <w:t>2</w:t>
                  </w:r>
                </w:p>
              </w:tc>
              <w:tc>
                <w:tcPr>
                  <w:tcW w:w="1586" w:type="dxa"/>
                  <w:vAlign w:val="center"/>
                </w:tcPr>
                <w:p>
                  <w:pPr>
                    <w:widowControl/>
                    <w:wordWrap w:val="0"/>
                    <w:spacing w:line="360" w:lineRule="exact"/>
                    <w:jc w:val="center"/>
                    <w:textAlignment w:val="center"/>
                    <w:rPr>
                      <w:kern w:val="0"/>
                      <w:szCs w:val="21"/>
                      <w:lang/>
                    </w:rPr>
                  </w:pPr>
                  <w:r>
                    <w:rPr>
                      <w:kern w:val="0"/>
                      <w:szCs w:val="21"/>
                      <w:lang/>
                    </w:rPr>
                    <w:t>11547.5</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切入风速</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m/s</w:t>
                  </w:r>
                </w:p>
              </w:tc>
              <w:tc>
                <w:tcPr>
                  <w:tcW w:w="1586" w:type="dxa"/>
                  <w:vAlign w:val="center"/>
                </w:tcPr>
                <w:p>
                  <w:pPr>
                    <w:widowControl/>
                    <w:wordWrap w:val="0"/>
                    <w:spacing w:line="360" w:lineRule="exact"/>
                    <w:jc w:val="center"/>
                    <w:textAlignment w:val="center"/>
                    <w:rPr>
                      <w:kern w:val="0"/>
                      <w:szCs w:val="21"/>
                      <w:lang/>
                    </w:rPr>
                  </w:pPr>
                  <w:r>
                    <w:rPr>
                      <w:kern w:val="0"/>
                      <w:szCs w:val="21"/>
                      <w:lang/>
                    </w:rPr>
                    <w:t>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额定风速</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m/s</w:t>
                  </w:r>
                </w:p>
              </w:tc>
              <w:tc>
                <w:tcPr>
                  <w:tcW w:w="1586" w:type="dxa"/>
                  <w:vAlign w:val="center"/>
                </w:tcPr>
                <w:p>
                  <w:pPr>
                    <w:widowControl/>
                    <w:wordWrap w:val="0"/>
                    <w:spacing w:line="360" w:lineRule="exact"/>
                    <w:jc w:val="center"/>
                    <w:textAlignment w:val="center"/>
                    <w:rPr>
                      <w:kern w:val="0"/>
                      <w:szCs w:val="21"/>
                      <w:lang/>
                    </w:rPr>
                  </w:pPr>
                  <w:r>
                    <w:rPr>
                      <w:kern w:val="0"/>
                      <w:szCs w:val="21"/>
                      <w:lang/>
                    </w:rPr>
                    <w:t>9</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切出风速</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m/s</w:t>
                  </w:r>
                </w:p>
              </w:tc>
              <w:tc>
                <w:tcPr>
                  <w:tcW w:w="1586" w:type="dxa"/>
                  <w:vAlign w:val="center"/>
                </w:tcPr>
                <w:p>
                  <w:pPr>
                    <w:widowControl/>
                    <w:wordWrap w:val="0"/>
                    <w:spacing w:line="360" w:lineRule="exact"/>
                    <w:jc w:val="center"/>
                    <w:textAlignment w:val="center"/>
                    <w:rPr>
                      <w:kern w:val="0"/>
                      <w:szCs w:val="21"/>
                      <w:lang/>
                    </w:rPr>
                  </w:pPr>
                  <w:r>
                    <w:rPr>
                      <w:kern w:val="0"/>
                      <w:szCs w:val="21"/>
                      <w:lang/>
                    </w:rPr>
                    <w:t>20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pStyle w:val="65"/>
                    <w:widowControl/>
                    <w:wordWrap w:val="0"/>
                    <w:spacing w:before="5" w:line="360" w:lineRule="exact"/>
                    <w:jc w:val="center"/>
                    <w:textAlignment w:val="center"/>
                    <w:rPr>
                      <w:rFonts w:ascii="Times New Roman" w:hAnsi="Times New Roman"/>
                      <w:sz w:val="21"/>
                      <w:szCs w:val="21"/>
                      <w:lang w:eastAsia="zh-CN"/>
                    </w:rPr>
                  </w:pPr>
                  <w:r>
                    <w:rPr>
                      <w:rFonts w:ascii="Times New Roman" w:hAnsi="Times New Roman"/>
                      <w:sz w:val="21"/>
                      <w:szCs w:val="21"/>
                      <w:lang w:eastAsia="zh-CN"/>
                    </w:rPr>
                    <w:t>安全风速</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m/s</w:t>
                  </w:r>
                </w:p>
              </w:tc>
              <w:tc>
                <w:tcPr>
                  <w:tcW w:w="1586" w:type="dxa"/>
                  <w:vAlign w:val="center"/>
                </w:tcPr>
                <w:p>
                  <w:pPr>
                    <w:widowControl/>
                    <w:wordWrap w:val="0"/>
                    <w:spacing w:line="360" w:lineRule="exact"/>
                    <w:jc w:val="center"/>
                    <w:textAlignment w:val="center"/>
                    <w:rPr>
                      <w:kern w:val="0"/>
                      <w:szCs w:val="21"/>
                      <w:lang/>
                    </w:rPr>
                  </w:pPr>
                  <w:r>
                    <w:rPr>
                      <w:kern w:val="0"/>
                      <w:szCs w:val="21"/>
                      <w:lang/>
                    </w:rPr>
                    <w:t>52</w:t>
                  </w:r>
                  <w:r>
                    <w:rPr>
                      <w:rFonts w:hint="eastAsia"/>
                      <w:kern w:val="0"/>
                      <w:szCs w:val="21"/>
                      <w:lang/>
                    </w:rPr>
                    <w:t>.</w:t>
                  </w:r>
                  <w:r>
                    <w:rPr>
                      <w:kern w:val="0"/>
                      <w:szCs w:val="21"/>
                      <w:lang/>
                    </w:rPr>
                    <w:t>5</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pStyle w:val="65"/>
                    <w:widowControl/>
                    <w:wordWrap w:val="0"/>
                    <w:spacing w:line="360" w:lineRule="exact"/>
                    <w:jc w:val="center"/>
                    <w:textAlignment w:val="center"/>
                    <w:rPr>
                      <w:rFonts w:ascii="Times New Roman" w:hAnsi="Times New Roman"/>
                      <w:sz w:val="21"/>
                      <w:szCs w:val="21"/>
                      <w:lang w:eastAsia="zh-CN"/>
                    </w:rPr>
                  </w:pPr>
                  <w:r>
                    <w:rPr>
                      <w:rFonts w:ascii="Times New Roman" w:hAnsi="Times New Roman"/>
                      <w:sz w:val="21"/>
                      <w:szCs w:val="21"/>
                      <w:lang w:eastAsia="zh-CN"/>
                    </w:rPr>
                    <w:t>轮毂高度</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m</w:t>
                  </w:r>
                </w:p>
              </w:tc>
              <w:tc>
                <w:tcPr>
                  <w:tcW w:w="1586" w:type="dxa"/>
                  <w:vAlign w:val="center"/>
                </w:tcPr>
                <w:p>
                  <w:pPr>
                    <w:widowControl/>
                    <w:wordWrap w:val="0"/>
                    <w:spacing w:line="360" w:lineRule="exact"/>
                    <w:jc w:val="center"/>
                    <w:textAlignment w:val="center"/>
                    <w:rPr>
                      <w:kern w:val="0"/>
                      <w:szCs w:val="21"/>
                      <w:lang/>
                    </w:rPr>
                  </w:pPr>
                  <w:r>
                    <w:rPr>
                      <w:kern w:val="0"/>
                      <w:szCs w:val="21"/>
                      <w:lang/>
                    </w:rPr>
                    <w:t>90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pStyle w:val="65"/>
                    <w:widowControl/>
                    <w:wordWrap w:val="0"/>
                    <w:spacing w:line="360" w:lineRule="exact"/>
                    <w:jc w:val="center"/>
                    <w:textAlignment w:val="center"/>
                    <w:rPr>
                      <w:rFonts w:ascii="Times New Roman" w:hAnsi="Times New Roman"/>
                      <w:sz w:val="21"/>
                      <w:szCs w:val="21"/>
                      <w:lang w:eastAsia="zh-CN"/>
                    </w:rPr>
                  </w:pPr>
                  <w:r>
                    <w:rPr>
                      <w:rFonts w:ascii="Times New Roman" w:hAnsi="Times New Roman"/>
                      <w:sz w:val="21"/>
                      <w:szCs w:val="21"/>
                      <w:lang w:eastAsia="zh-CN"/>
                    </w:rPr>
                    <w:t>风轮转速</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r/min</w:t>
                  </w:r>
                </w:p>
              </w:tc>
              <w:tc>
                <w:tcPr>
                  <w:tcW w:w="1586" w:type="dxa"/>
                  <w:vAlign w:val="center"/>
                </w:tcPr>
                <w:p>
                  <w:pPr>
                    <w:widowControl/>
                    <w:wordWrap w:val="0"/>
                    <w:spacing w:line="360" w:lineRule="exact"/>
                    <w:jc w:val="center"/>
                    <w:textAlignment w:val="center"/>
                    <w:rPr>
                      <w:kern w:val="0"/>
                      <w:szCs w:val="21"/>
                      <w:lang/>
                    </w:rPr>
                  </w:pPr>
                  <w:r>
                    <w:rPr>
                      <w:kern w:val="0"/>
                      <w:szCs w:val="21"/>
                      <w:lang/>
                    </w:rPr>
                    <w:t>6.0～12.2</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pStyle w:val="65"/>
                    <w:widowControl/>
                    <w:wordWrap w:val="0"/>
                    <w:spacing w:before="36" w:line="360" w:lineRule="exact"/>
                    <w:jc w:val="center"/>
                    <w:textAlignment w:val="center"/>
                    <w:rPr>
                      <w:rFonts w:ascii="Times New Roman" w:hAnsi="Times New Roman"/>
                      <w:sz w:val="21"/>
                      <w:szCs w:val="21"/>
                      <w:lang w:eastAsia="zh-CN"/>
                    </w:rPr>
                  </w:pPr>
                  <w:r>
                    <w:rPr>
                      <w:rFonts w:ascii="Times New Roman" w:hAnsi="Times New Roman"/>
                      <w:sz w:val="21"/>
                      <w:szCs w:val="21"/>
                      <w:lang w:eastAsia="zh-CN"/>
                    </w:rPr>
                    <w:t>发电机额定功率</w:t>
                  </w:r>
                </w:p>
              </w:tc>
              <w:tc>
                <w:tcPr>
                  <w:tcW w:w="1443" w:type="dxa"/>
                  <w:gridSpan w:val="2"/>
                  <w:vAlign w:val="center"/>
                </w:tcPr>
                <w:p>
                  <w:pPr>
                    <w:widowControl/>
                    <w:wordWrap w:val="0"/>
                    <w:spacing w:line="360" w:lineRule="exact"/>
                    <w:jc w:val="center"/>
                    <w:textAlignment w:val="center"/>
                    <w:rPr>
                      <w:kern w:val="0"/>
                      <w:szCs w:val="21"/>
                      <w:lang/>
                    </w:rPr>
                  </w:pPr>
                  <w:r>
                    <w:rPr>
                      <w:rFonts w:hint="eastAsia"/>
                      <w:kern w:val="0"/>
                      <w:szCs w:val="21"/>
                      <w:lang/>
                    </w:rPr>
                    <w:t>kW</w:t>
                  </w:r>
                </w:p>
              </w:tc>
              <w:tc>
                <w:tcPr>
                  <w:tcW w:w="1586" w:type="dxa"/>
                  <w:vAlign w:val="center"/>
                </w:tcPr>
                <w:p>
                  <w:pPr>
                    <w:widowControl/>
                    <w:wordWrap w:val="0"/>
                    <w:spacing w:line="360" w:lineRule="exact"/>
                    <w:jc w:val="center"/>
                    <w:textAlignment w:val="center"/>
                    <w:rPr>
                      <w:kern w:val="0"/>
                      <w:szCs w:val="21"/>
                      <w:lang/>
                    </w:rPr>
                  </w:pPr>
                  <w:r>
                    <w:rPr>
                      <w:kern w:val="0"/>
                      <w:szCs w:val="21"/>
                      <w:lang/>
                    </w:rPr>
                    <w:t>20</w:t>
                  </w:r>
                  <w:r>
                    <w:rPr>
                      <w:rFonts w:hint="eastAsia"/>
                      <w:kern w:val="0"/>
                      <w:szCs w:val="21"/>
                      <w:lang/>
                    </w:rPr>
                    <w:t>0</w:t>
                  </w:r>
                  <w:r>
                    <w:rPr>
                      <w:kern w:val="0"/>
                      <w:szCs w:val="21"/>
                      <w:lang/>
                    </w:rPr>
                    <w:t>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pStyle w:val="65"/>
                    <w:widowControl/>
                    <w:wordWrap w:val="0"/>
                    <w:spacing w:before="36" w:line="360" w:lineRule="exact"/>
                    <w:jc w:val="center"/>
                    <w:textAlignment w:val="center"/>
                    <w:rPr>
                      <w:rFonts w:ascii="Times New Roman" w:hAnsi="Times New Roman"/>
                      <w:sz w:val="21"/>
                      <w:szCs w:val="21"/>
                      <w:lang w:eastAsia="zh-CN"/>
                    </w:rPr>
                  </w:pPr>
                  <w:r>
                    <w:rPr>
                      <w:rFonts w:hint="eastAsia" w:ascii="Times New Roman" w:hAnsi="Times New Roman"/>
                      <w:sz w:val="21"/>
                      <w:szCs w:val="21"/>
                      <w:lang w:eastAsia="zh-CN"/>
                    </w:rPr>
                    <w:t>发电机</w:t>
                  </w:r>
                  <w:r>
                    <w:rPr>
                      <w:rFonts w:ascii="Times New Roman" w:hAnsi="Times New Roman"/>
                      <w:sz w:val="21"/>
                      <w:szCs w:val="21"/>
                      <w:lang w:eastAsia="zh-CN"/>
                    </w:rPr>
                    <w:t>机功率因数</w:t>
                  </w:r>
                </w:p>
              </w:tc>
              <w:tc>
                <w:tcPr>
                  <w:tcW w:w="1443" w:type="dxa"/>
                  <w:gridSpan w:val="2"/>
                  <w:vAlign w:val="center"/>
                </w:tcPr>
                <w:p>
                  <w:pPr>
                    <w:widowControl/>
                    <w:wordWrap w:val="0"/>
                    <w:spacing w:line="360" w:lineRule="exact"/>
                    <w:jc w:val="center"/>
                    <w:textAlignment w:val="center"/>
                    <w:rPr>
                      <w:kern w:val="0"/>
                      <w:szCs w:val="21"/>
                      <w:lang/>
                    </w:rPr>
                  </w:pPr>
                </w:p>
              </w:tc>
              <w:tc>
                <w:tcPr>
                  <w:tcW w:w="1586" w:type="dxa"/>
                  <w:vAlign w:val="center"/>
                </w:tcPr>
                <w:p>
                  <w:pPr>
                    <w:pStyle w:val="65"/>
                    <w:widowControl/>
                    <w:wordWrap w:val="0"/>
                    <w:spacing w:before="36" w:line="360" w:lineRule="exact"/>
                    <w:jc w:val="center"/>
                    <w:textAlignment w:val="center"/>
                    <w:rPr>
                      <w:rFonts w:ascii="Times New Roman" w:hAnsi="Times New Roman"/>
                      <w:sz w:val="21"/>
                      <w:szCs w:val="21"/>
                      <w:lang w:eastAsia="zh-CN"/>
                    </w:rPr>
                  </w:pPr>
                  <w:r>
                    <w:rPr>
                      <w:rFonts w:ascii="Times New Roman" w:hAnsi="Times New Roman"/>
                      <w:sz w:val="21"/>
                      <w:szCs w:val="21"/>
                      <w:lang w:eastAsia="zh-CN"/>
                    </w:rPr>
                    <w:t>-0.95～+0.95</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额定电压</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V</w:t>
                  </w:r>
                </w:p>
              </w:tc>
              <w:tc>
                <w:tcPr>
                  <w:tcW w:w="1586" w:type="dxa"/>
                  <w:vAlign w:val="center"/>
                </w:tcPr>
                <w:p>
                  <w:pPr>
                    <w:widowControl/>
                    <w:wordWrap w:val="0"/>
                    <w:spacing w:line="360" w:lineRule="exact"/>
                    <w:jc w:val="center"/>
                    <w:textAlignment w:val="center"/>
                    <w:rPr>
                      <w:kern w:val="0"/>
                      <w:szCs w:val="21"/>
                      <w:lang/>
                    </w:rPr>
                  </w:pPr>
                  <w:r>
                    <w:rPr>
                      <w:kern w:val="0"/>
                      <w:szCs w:val="21"/>
                      <w:lang/>
                    </w:rPr>
                    <w:t>690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435" w:type="dxa"/>
                  <w:vMerge w:val="continue"/>
                  <w:vAlign w:val="center"/>
                </w:tcPr>
                <w:p>
                  <w:pPr>
                    <w:widowControl/>
                    <w:wordWrap w:val="0"/>
                    <w:spacing w:line="360" w:lineRule="exact"/>
                    <w:jc w:val="center"/>
                    <w:textAlignment w:val="center"/>
                    <w:rPr>
                      <w:kern w:val="0"/>
                      <w:szCs w:val="21"/>
                      <w:lang/>
                    </w:rPr>
                  </w:pPr>
                </w:p>
              </w:tc>
              <w:tc>
                <w:tcPr>
                  <w:tcW w:w="983" w:type="dxa"/>
                  <w:gridSpan w:val="2"/>
                  <w:vAlign w:val="center"/>
                </w:tcPr>
                <w:p>
                  <w:pPr>
                    <w:widowControl/>
                    <w:wordWrap w:val="0"/>
                    <w:spacing w:line="360" w:lineRule="exact"/>
                    <w:jc w:val="center"/>
                    <w:textAlignment w:val="center"/>
                    <w:rPr>
                      <w:kern w:val="0"/>
                      <w:szCs w:val="21"/>
                      <w:lang/>
                    </w:rPr>
                  </w:pPr>
                  <w:r>
                    <w:rPr>
                      <w:rFonts w:hint="eastAsia"/>
                      <w:kern w:val="0"/>
                      <w:szCs w:val="21"/>
                      <w:lang/>
                    </w:rPr>
                    <w:t>主要机电设备</w:t>
                  </w:r>
                </w:p>
              </w:tc>
              <w:tc>
                <w:tcPr>
                  <w:tcW w:w="1701" w:type="dxa"/>
                  <w:vAlign w:val="center"/>
                </w:tcPr>
                <w:p>
                  <w:pPr>
                    <w:widowControl/>
                    <w:wordWrap w:val="0"/>
                    <w:spacing w:line="360" w:lineRule="exact"/>
                    <w:jc w:val="center"/>
                    <w:textAlignment w:val="center"/>
                    <w:rPr>
                      <w:kern w:val="0"/>
                      <w:szCs w:val="21"/>
                      <w:lang/>
                    </w:rPr>
                  </w:pPr>
                  <w:r>
                    <w:rPr>
                      <w:kern w:val="0"/>
                      <w:szCs w:val="21"/>
                      <w:lang/>
                    </w:rPr>
                    <w:t>35kV箱式升压站</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S11-2200/37</w:t>
                  </w:r>
                </w:p>
              </w:tc>
              <w:tc>
                <w:tcPr>
                  <w:tcW w:w="1586" w:type="dxa"/>
                  <w:vAlign w:val="center"/>
                </w:tcPr>
                <w:p>
                  <w:pPr>
                    <w:widowControl/>
                    <w:wordWrap w:val="0"/>
                    <w:spacing w:line="360" w:lineRule="exact"/>
                    <w:jc w:val="center"/>
                    <w:textAlignment w:val="center"/>
                    <w:rPr>
                      <w:kern w:val="0"/>
                      <w:szCs w:val="21"/>
                      <w:lang/>
                    </w:rPr>
                  </w:pPr>
                  <w:r>
                    <w:rPr>
                      <w:kern w:val="0"/>
                      <w:szCs w:val="21"/>
                      <w:lang/>
                    </w:rPr>
                    <w:t>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restart"/>
                  <w:vAlign w:val="center"/>
                </w:tcPr>
                <w:p>
                  <w:pPr>
                    <w:wordWrap w:val="0"/>
                    <w:autoSpaceDE w:val="0"/>
                    <w:autoSpaceDN w:val="0"/>
                    <w:adjustRightInd w:val="0"/>
                    <w:spacing w:line="356" w:lineRule="exact"/>
                    <w:jc w:val="center"/>
                    <w:rPr>
                      <w:kern w:val="0"/>
                      <w:szCs w:val="21"/>
                      <w:lang/>
                    </w:rPr>
                  </w:pPr>
                  <w:r>
                    <w:rPr>
                      <w:rFonts w:hint="eastAsia"/>
                      <w:kern w:val="0"/>
                      <w:szCs w:val="21"/>
                      <w:lang/>
                    </w:rPr>
                    <w:t>土建</w:t>
                  </w:r>
                </w:p>
              </w:tc>
              <w:tc>
                <w:tcPr>
                  <w:tcW w:w="1418" w:type="dxa"/>
                  <w:gridSpan w:val="3"/>
                  <w:vMerge w:val="restart"/>
                  <w:vAlign w:val="center"/>
                </w:tcPr>
                <w:p>
                  <w:pPr>
                    <w:widowControl/>
                    <w:wordWrap w:val="0"/>
                    <w:spacing w:line="360" w:lineRule="exact"/>
                    <w:jc w:val="center"/>
                    <w:textAlignment w:val="center"/>
                    <w:rPr>
                      <w:kern w:val="0"/>
                      <w:szCs w:val="21"/>
                      <w:lang/>
                    </w:rPr>
                  </w:pPr>
                  <w:r>
                    <w:rPr>
                      <w:kern w:val="0"/>
                      <w:szCs w:val="21"/>
                      <w:lang/>
                    </w:rPr>
                    <w:t>风力发电机组基础</w:t>
                  </w:r>
                </w:p>
              </w:tc>
              <w:tc>
                <w:tcPr>
                  <w:tcW w:w="1701" w:type="dxa"/>
                  <w:vAlign w:val="center"/>
                </w:tcPr>
                <w:p>
                  <w:pPr>
                    <w:widowControl/>
                    <w:wordWrap w:val="0"/>
                    <w:spacing w:line="360" w:lineRule="exact"/>
                    <w:jc w:val="center"/>
                    <w:textAlignment w:val="center"/>
                    <w:rPr>
                      <w:kern w:val="0"/>
                      <w:szCs w:val="21"/>
                      <w:lang/>
                    </w:rPr>
                  </w:pPr>
                  <w:r>
                    <w:rPr>
                      <w:rFonts w:hint="eastAsia"/>
                      <w:kern w:val="0"/>
                      <w:szCs w:val="21"/>
                      <w:lang/>
                    </w:rPr>
                    <w:t>台数</w:t>
                  </w:r>
                </w:p>
              </w:tc>
              <w:tc>
                <w:tcPr>
                  <w:tcW w:w="1443" w:type="dxa"/>
                  <w:gridSpan w:val="2"/>
                  <w:vAlign w:val="center"/>
                </w:tcPr>
                <w:p>
                  <w:pPr>
                    <w:widowControl/>
                    <w:wordWrap w:val="0"/>
                    <w:spacing w:line="360" w:lineRule="exact"/>
                    <w:jc w:val="center"/>
                    <w:textAlignment w:val="center"/>
                    <w:rPr>
                      <w:kern w:val="0"/>
                      <w:szCs w:val="21"/>
                      <w:lang/>
                    </w:rPr>
                  </w:pPr>
                  <w:r>
                    <w:rPr>
                      <w:kern w:val="0"/>
                      <w:szCs w:val="21"/>
                      <w:lang/>
                    </w:rPr>
                    <w:t>台</w:t>
                  </w:r>
                </w:p>
              </w:tc>
              <w:tc>
                <w:tcPr>
                  <w:tcW w:w="1586" w:type="dxa"/>
                  <w:vAlign w:val="center"/>
                </w:tcPr>
                <w:p>
                  <w:pPr>
                    <w:widowControl/>
                    <w:wordWrap w:val="0"/>
                    <w:spacing w:line="360" w:lineRule="exact"/>
                    <w:jc w:val="center"/>
                    <w:textAlignment w:val="center"/>
                    <w:rPr>
                      <w:kern w:val="0"/>
                      <w:szCs w:val="21"/>
                      <w:lang/>
                    </w:rPr>
                  </w:pPr>
                  <w:r>
                    <w:rPr>
                      <w:kern w:val="0"/>
                      <w:szCs w:val="21"/>
                      <w:lang/>
                    </w:rPr>
                    <w:t>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1418" w:type="dxa"/>
                  <w:gridSpan w:val="3"/>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型式</w:t>
                  </w:r>
                </w:p>
              </w:tc>
              <w:tc>
                <w:tcPr>
                  <w:tcW w:w="3029" w:type="dxa"/>
                  <w:gridSpan w:val="3"/>
                  <w:vAlign w:val="center"/>
                </w:tcPr>
                <w:p>
                  <w:pPr>
                    <w:widowControl/>
                    <w:wordWrap w:val="0"/>
                    <w:spacing w:line="360" w:lineRule="exact"/>
                    <w:jc w:val="center"/>
                    <w:textAlignment w:val="center"/>
                    <w:rPr>
                      <w:kern w:val="0"/>
                      <w:szCs w:val="21"/>
                      <w:lang/>
                    </w:rPr>
                  </w:pPr>
                  <w:r>
                    <w:rPr>
                      <w:kern w:val="0"/>
                      <w:szCs w:val="21"/>
                      <w:lang/>
                    </w:rPr>
                    <w:t>钢筋混凝土/圆型</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1418" w:type="dxa"/>
                  <w:gridSpan w:val="3"/>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地基特性</w:t>
                  </w:r>
                </w:p>
              </w:tc>
              <w:tc>
                <w:tcPr>
                  <w:tcW w:w="3029" w:type="dxa"/>
                  <w:gridSpan w:val="3"/>
                  <w:vAlign w:val="center"/>
                </w:tcPr>
                <w:p>
                  <w:pPr>
                    <w:widowControl/>
                    <w:wordWrap w:val="0"/>
                    <w:spacing w:line="360" w:lineRule="exact"/>
                    <w:jc w:val="center"/>
                    <w:textAlignment w:val="center"/>
                    <w:rPr>
                      <w:kern w:val="0"/>
                      <w:szCs w:val="21"/>
                      <w:lang/>
                    </w:rPr>
                  </w:pPr>
                  <w:r>
                    <w:rPr>
                      <w:kern w:val="0"/>
                      <w:szCs w:val="21"/>
                      <w:lang/>
                    </w:rPr>
                    <w:t>C20毛石混凝土换填</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1418" w:type="dxa"/>
                  <w:gridSpan w:val="3"/>
                  <w:vMerge w:val="restart"/>
                  <w:vAlign w:val="center"/>
                </w:tcPr>
                <w:p>
                  <w:pPr>
                    <w:widowControl/>
                    <w:wordWrap w:val="0"/>
                    <w:spacing w:line="360" w:lineRule="exact"/>
                    <w:jc w:val="center"/>
                    <w:textAlignment w:val="center"/>
                    <w:rPr>
                      <w:kern w:val="0"/>
                      <w:szCs w:val="21"/>
                      <w:lang/>
                    </w:rPr>
                  </w:pPr>
                  <w:r>
                    <w:rPr>
                      <w:kern w:val="0"/>
                      <w:szCs w:val="21"/>
                      <w:lang/>
                    </w:rPr>
                    <w:t>箱式升压站基础</w:t>
                  </w:r>
                </w:p>
              </w:tc>
              <w:tc>
                <w:tcPr>
                  <w:tcW w:w="1701" w:type="dxa"/>
                  <w:vAlign w:val="center"/>
                </w:tcPr>
                <w:p>
                  <w:pPr>
                    <w:widowControl/>
                    <w:wordWrap w:val="0"/>
                    <w:spacing w:line="360" w:lineRule="exact"/>
                    <w:jc w:val="center"/>
                    <w:textAlignment w:val="center"/>
                    <w:rPr>
                      <w:kern w:val="0"/>
                      <w:szCs w:val="21"/>
                      <w:lang/>
                    </w:rPr>
                  </w:pPr>
                  <w:r>
                    <w:rPr>
                      <w:kern w:val="0"/>
                      <w:szCs w:val="21"/>
                      <w:lang/>
                    </w:rPr>
                    <w:t>台数</w:t>
                  </w:r>
                </w:p>
              </w:tc>
              <w:tc>
                <w:tcPr>
                  <w:tcW w:w="3029" w:type="dxa"/>
                  <w:gridSpan w:val="3"/>
                  <w:vAlign w:val="center"/>
                </w:tcPr>
                <w:p>
                  <w:pPr>
                    <w:widowControl/>
                    <w:wordWrap w:val="0"/>
                    <w:spacing w:line="360" w:lineRule="exact"/>
                    <w:jc w:val="center"/>
                    <w:textAlignment w:val="center"/>
                    <w:rPr>
                      <w:kern w:val="0"/>
                      <w:szCs w:val="21"/>
                      <w:lang/>
                    </w:rPr>
                  </w:pPr>
                  <w:r>
                    <w:rPr>
                      <w:szCs w:val="21"/>
                      <w:lang/>
                    </w:rPr>
                    <w:t>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1418" w:type="dxa"/>
                  <w:gridSpan w:val="3"/>
                  <w:vMerge w:val="continue"/>
                  <w:vAlign w:val="center"/>
                </w:tcPr>
                <w:p>
                  <w:pPr>
                    <w:widowControl/>
                    <w:wordWrap w:val="0"/>
                    <w:spacing w:line="360" w:lineRule="exact"/>
                    <w:jc w:val="center"/>
                    <w:textAlignment w:val="center"/>
                    <w:rPr>
                      <w:kern w:val="0"/>
                      <w:szCs w:val="21"/>
                      <w:lang/>
                    </w:rPr>
                  </w:pPr>
                </w:p>
              </w:tc>
              <w:tc>
                <w:tcPr>
                  <w:tcW w:w="1701" w:type="dxa"/>
                  <w:vAlign w:val="center"/>
                </w:tcPr>
                <w:p>
                  <w:pPr>
                    <w:widowControl/>
                    <w:wordWrap w:val="0"/>
                    <w:spacing w:line="360" w:lineRule="exact"/>
                    <w:jc w:val="center"/>
                    <w:textAlignment w:val="center"/>
                    <w:rPr>
                      <w:kern w:val="0"/>
                      <w:szCs w:val="21"/>
                      <w:lang/>
                    </w:rPr>
                  </w:pPr>
                  <w:r>
                    <w:rPr>
                      <w:kern w:val="0"/>
                      <w:szCs w:val="21"/>
                      <w:lang/>
                    </w:rPr>
                    <w:t>型式</w:t>
                  </w:r>
                </w:p>
              </w:tc>
              <w:tc>
                <w:tcPr>
                  <w:tcW w:w="3029" w:type="dxa"/>
                  <w:gridSpan w:val="3"/>
                  <w:vAlign w:val="center"/>
                </w:tcPr>
                <w:p>
                  <w:pPr>
                    <w:widowControl/>
                    <w:wordWrap w:val="0"/>
                    <w:spacing w:line="360" w:lineRule="exact"/>
                    <w:jc w:val="center"/>
                    <w:textAlignment w:val="center"/>
                    <w:rPr>
                      <w:kern w:val="0"/>
                      <w:szCs w:val="21"/>
                      <w:lang/>
                    </w:rPr>
                  </w:pPr>
                  <w:r>
                    <w:rPr>
                      <w:szCs w:val="21"/>
                      <w:lang/>
                    </w:rPr>
                    <w:t>混凝土板式基础</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restart"/>
                  <w:vAlign w:val="center"/>
                </w:tcPr>
                <w:p>
                  <w:pPr>
                    <w:wordWrap w:val="0"/>
                    <w:autoSpaceDE w:val="0"/>
                    <w:autoSpaceDN w:val="0"/>
                    <w:adjustRightInd w:val="0"/>
                    <w:spacing w:line="356" w:lineRule="exact"/>
                    <w:jc w:val="center"/>
                    <w:rPr>
                      <w:kern w:val="0"/>
                      <w:szCs w:val="21"/>
                      <w:lang/>
                    </w:rPr>
                  </w:pPr>
                  <w:r>
                    <w:rPr>
                      <w:rFonts w:hint="eastAsia"/>
                      <w:kern w:val="0"/>
                      <w:szCs w:val="21"/>
                      <w:lang/>
                    </w:rPr>
                    <w:t>施工</w:t>
                  </w:r>
                </w:p>
              </w:tc>
              <w:tc>
                <w:tcPr>
                  <w:tcW w:w="709" w:type="dxa"/>
                  <w:gridSpan w:val="2"/>
                  <w:vMerge w:val="restart"/>
                  <w:vAlign w:val="center"/>
                </w:tcPr>
                <w:p>
                  <w:pPr>
                    <w:widowControl/>
                    <w:wordWrap w:val="0"/>
                    <w:spacing w:line="360" w:lineRule="exact"/>
                    <w:jc w:val="center"/>
                    <w:textAlignment w:val="center"/>
                    <w:rPr>
                      <w:kern w:val="0"/>
                      <w:szCs w:val="21"/>
                      <w:lang/>
                    </w:rPr>
                  </w:pPr>
                  <w:r>
                    <w:rPr>
                      <w:rFonts w:hint="eastAsia"/>
                      <w:kern w:val="0"/>
                      <w:szCs w:val="21"/>
                      <w:lang/>
                    </w:rPr>
                    <w:t>工程数量</w:t>
                  </w:r>
                </w:p>
              </w:tc>
              <w:tc>
                <w:tcPr>
                  <w:tcW w:w="2410" w:type="dxa"/>
                  <w:gridSpan w:val="2"/>
                  <w:vAlign w:val="center"/>
                </w:tcPr>
                <w:p>
                  <w:pPr>
                    <w:widowControl/>
                    <w:wordWrap w:val="0"/>
                    <w:spacing w:line="360" w:lineRule="exact"/>
                    <w:jc w:val="center"/>
                    <w:textAlignment w:val="center"/>
                    <w:rPr>
                      <w:kern w:val="0"/>
                      <w:szCs w:val="21"/>
                      <w:lang/>
                    </w:rPr>
                  </w:pPr>
                  <w:r>
                    <w:rPr>
                      <w:rFonts w:hint="eastAsia"/>
                      <w:kern w:val="0"/>
                      <w:szCs w:val="21"/>
                      <w:lang/>
                    </w:rPr>
                    <w:t>土方开挖</w:t>
                  </w:r>
                </w:p>
              </w:tc>
              <w:tc>
                <w:tcPr>
                  <w:tcW w:w="1426" w:type="dxa"/>
                  <w:vAlign w:val="center"/>
                </w:tcPr>
                <w:p>
                  <w:pPr>
                    <w:widowControl/>
                    <w:wordWrap w:val="0"/>
                    <w:spacing w:line="360" w:lineRule="exact"/>
                    <w:jc w:val="center"/>
                    <w:textAlignment w:val="center"/>
                    <w:rPr>
                      <w:szCs w:val="21"/>
                      <w:lang/>
                    </w:rPr>
                  </w:pPr>
                  <w:r>
                    <w:rPr>
                      <w:rFonts w:hint="eastAsia"/>
                      <w:szCs w:val="21"/>
                      <w:lang/>
                    </w:rPr>
                    <w:t>×10</w:t>
                  </w:r>
                  <w:r>
                    <w:rPr>
                      <w:rFonts w:hint="eastAsia"/>
                      <w:szCs w:val="21"/>
                      <w:vertAlign w:val="superscript"/>
                      <w:lang/>
                    </w:rPr>
                    <w:t>4</w:t>
                  </w:r>
                  <w:r>
                    <w:rPr>
                      <w:rFonts w:hint="eastAsia"/>
                      <w:szCs w:val="21"/>
                      <w:lang/>
                    </w:rPr>
                    <w:t>m</w:t>
                  </w:r>
                  <w:r>
                    <w:rPr>
                      <w:rFonts w:hint="eastAsia"/>
                      <w:szCs w:val="21"/>
                      <w:vertAlign w:val="superscript"/>
                      <w:lang/>
                    </w:rPr>
                    <w:t>3</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9.10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709" w:type="dxa"/>
                  <w:gridSpan w:val="2"/>
                  <w:vMerge w:val="continue"/>
                  <w:vAlign w:val="center"/>
                </w:tcPr>
                <w:p>
                  <w:pPr>
                    <w:widowControl/>
                    <w:wordWrap w:val="0"/>
                    <w:spacing w:line="360" w:lineRule="exact"/>
                    <w:jc w:val="center"/>
                    <w:textAlignment w:val="center"/>
                    <w:rPr>
                      <w:kern w:val="0"/>
                      <w:szCs w:val="21"/>
                      <w:lang/>
                    </w:rPr>
                  </w:pPr>
                </w:p>
              </w:tc>
              <w:tc>
                <w:tcPr>
                  <w:tcW w:w="2410" w:type="dxa"/>
                  <w:gridSpan w:val="2"/>
                  <w:vAlign w:val="center"/>
                </w:tcPr>
                <w:p>
                  <w:pPr>
                    <w:widowControl/>
                    <w:wordWrap w:val="0"/>
                    <w:spacing w:line="360" w:lineRule="exact"/>
                    <w:jc w:val="center"/>
                    <w:textAlignment w:val="center"/>
                    <w:rPr>
                      <w:kern w:val="0"/>
                      <w:szCs w:val="21"/>
                      <w:lang/>
                    </w:rPr>
                  </w:pPr>
                  <w:r>
                    <w:rPr>
                      <w:rFonts w:hint="eastAsia"/>
                      <w:kern w:val="0"/>
                      <w:szCs w:val="21"/>
                      <w:lang/>
                    </w:rPr>
                    <w:t>土方回填</w:t>
                  </w:r>
                </w:p>
              </w:tc>
              <w:tc>
                <w:tcPr>
                  <w:tcW w:w="1426" w:type="dxa"/>
                  <w:vAlign w:val="center"/>
                </w:tcPr>
                <w:p>
                  <w:pPr>
                    <w:widowControl/>
                    <w:wordWrap w:val="0"/>
                    <w:spacing w:line="360" w:lineRule="exact"/>
                    <w:jc w:val="center"/>
                    <w:textAlignment w:val="center"/>
                    <w:rPr>
                      <w:szCs w:val="21"/>
                      <w:lang/>
                    </w:rPr>
                  </w:pPr>
                  <w:r>
                    <w:rPr>
                      <w:rFonts w:hint="eastAsia"/>
                      <w:szCs w:val="21"/>
                      <w:lang/>
                    </w:rPr>
                    <w:t>×10</w:t>
                  </w:r>
                  <w:r>
                    <w:rPr>
                      <w:rFonts w:hint="eastAsia"/>
                      <w:szCs w:val="21"/>
                      <w:vertAlign w:val="superscript"/>
                      <w:lang/>
                    </w:rPr>
                    <w:t>4</w:t>
                  </w:r>
                  <w:r>
                    <w:rPr>
                      <w:rFonts w:hint="eastAsia"/>
                      <w:szCs w:val="21"/>
                      <w:lang/>
                    </w:rPr>
                    <w:t>m</w:t>
                  </w:r>
                  <w:r>
                    <w:rPr>
                      <w:rFonts w:hint="eastAsia"/>
                      <w:szCs w:val="21"/>
                      <w:vertAlign w:val="superscript"/>
                      <w:lang/>
                    </w:rPr>
                    <w:t>3</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9.10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709" w:type="dxa"/>
                  <w:gridSpan w:val="2"/>
                  <w:vMerge w:val="continue"/>
                  <w:vAlign w:val="center"/>
                </w:tcPr>
                <w:p>
                  <w:pPr>
                    <w:widowControl/>
                    <w:wordWrap w:val="0"/>
                    <w:spacing w:line="360" w:lineRule="exact"/>
                    <w:jc w:val="center"/>
                    <w:textAlignment w:val="center"/>
                    <w:rPr>
                      <w:kern w:val="0"/>
                      <w:szCs w:val="21"/>
                      <w:lang/>
                    </w:rPr>
                  </w:pPr>
                </w:p>
              </w:tc>
              <w:tc>
                <w:tcPr>
                  <w:tcW w:w="2410" w:type="dxa"/>
                  <w:gridSpan w:val="2"/>
                  <w:vAlign w:val="center"/>
                </w:tcPr>
                <w:p>
                  <w:pPr>
                    <w:widowControl/>
                    <w:wordWrap w:val="0"/>
                    <w:spacing w:line="360" w:lineRule="exact"/>
                    <w:jc w:val="center"/>
                    <w:textAlignment w:val="center"/>
                    <w:rPr>
                      <w:kern w:val="0"/>
                      <w:szCs w:val="21"/>
                      <w:lang/>
                    </w:rPr>
                  </w:pPr>
                  <w:r>
                    <w:rPr>
                      <w:rFonts w:hint="eastAsia"/>
                      <w:kern w:val="0"/>
                      <w:szCs w:val="21"/>
                      <w:lang/>
                    </w:rPr>
                    <w:t>风电机组设备基础钢筋</w:t>
                  </w:r>
                </w:p>
              </w:tc>
              <w:tc>
                <w:tcPr>
                  <w:tcW w:w="1426" w:type="dxa"/>
                  <w:vAlign w:val="center"/>
                </w:tcPr>
                <w:p>
                  <w:pPr>
                    <w:widowControl/>
                    <w:wordWrap w:val="0"/>
                    <w:spacing w:line="360" w:lineRule="exact"/>
                    <w:jc w:val="center"/>
                    <w:textAlignment w:val="center"/>
                    <w:rPr>
                      <w:szCs w:val="21"/>
                      <w:lang/>
                    </w:rPr>
                  </w:pPr>
                  <w:r>
                    <w:rPr>
                      <w:rFonts w:hint="eastAsia"/>
                      <w:szCs w:val="21"/>
                      <w:lang/>
                    </w:rPr>
                    <w:t>t</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181.47</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709" w:type="dxa"/>
                  <w:gridSpan w:val="2"/>
                  <w:vMerge w:val="continue"/>
                  <w:vAlign w:val="center"/>
                </w:tcPr>
                <w:p>
                  <w:pPr>
                    <w:widowControl/>
                    <w:wordWrap w:val="0"/>
                    <w:spacing w:line="360" w:lineRule="exact"/>
                    <w:jc w:val="center"/>
                    <w:textAlignment w:val="center"/>
                    <w:rPr>
                      <w:kern w:val="0"/>
                      <w:szCs w:val="21"/>
                      <w:lang/>
                    </w:rPr>
                  </w:pPr>
                </w:p>
              </w:tc>
              <w:tc>
                <w:tcPr>
                  <w:tcW w:w="2410" w:type="dxa"/>
                  <w:gridSpan w:val="2"/>
                  <w:vAlign w:val="center"/>
                </w:tcPr>
                <w:p>
                  <w:pPr>
                    <w:widowControl/>
                    <w:wordWrap w:val="0"/>
                    <w:spacing w:line="360" w:lineRule="exact"/>
                    <w:jc w:val="center"/>
                    <w:textAlignment w:val="center"/>
                    <w:rPr>
                      <w:kern w:val="0"/>
                      <w:szCs w:val="21"/>
                      <w:lang/>
                    </w:rPr>
                  </w:pPr>
                  <w:r>
                    <w:rPr>
                      <w:rFonts w:hint="eastAsia"/>
                      <w:kern w:val="0"/>
                      <w:szCs w:val="21"/>
                      <w:lang/>
                    </w:rPr>
                    <w:t>场内扩建公路</w:t>
                  </w:r>
                </w:p>
              </w:tc>
              <w:tc>
                <w:tcPr>
                  <w:tcW w:w="1426" w:type="dxa"/>
                  <w:vAlign w:val="center"/>
                </w:tcPr>
                <w:p>
                  <w:pPr>
                    <w:widowControl/>
                    <w:wordWrap w:val="0"/>
                    <w:spacing w:line="360" w:lineRule="exact"/>
                    <w:jc w:val="center"/>
                    <w:textAlignment w:val="center"/>
                    <w:rPr>
                      <w:szCs w:val="21"/>
                      <w:lang/>
                    </w:rPr>
                  </w:pPr>
                  <w:r>
                    <w:rPr>
                      <w:rFonts w:hint="eastAsia"/>
                      <w:szCs w:val="21"/>
                      <w:lang/>
                    </w:rPr>
                    <w:t>km</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4.0</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709" w:type="dxa"/>
                  <w:gridSpan w:val="2"/>
                  <w:vMerge w:val="continue"/>
                  <w:vAlign w:val="center"/>
                </w:tcPr>
                <w:p>
                  <w:pPr>
                    <w:widowControl/>
                    <w:wordWrap w:val="0"/>
                    <w:spacing w:line="360" w:lineRule="exact"/>
                    <w:jc w:val="center"/>
                    <w:textAlignment w:val="center"/>
                    <w:rPr>
                      <w:kern w:val="0"/>
                      <w:szCs w:val="21"/>
                      <w:lang/>
                    </w:rPr>
                  </w:pPr>
                </w:p>
              </w:tc>
              <w:tc>
                <w:tcPr>
                  <w:tcW w:w="2410" w:type="dxa"/>
                  <w:gridSpan w:val="2"/>
                  <w:vAlign w:val="center"/>
                </w:tcPr>
                <w:p>
                  <w:pPr>
                    <w:widowControl/>
                    <w:wordWrap w:val="0"/>
                    <w:spacing w:line="360" w:lineRule="exact"/>
                    <w:jc w:val="center"/>
                    <w:textAlignment w:val="center"/>
                    <w:rPr>
                      <w:kern w:val="0"/>
                      <w:szCs w:val="21"/>
                      <w:lang/>
                    </w:rPr>
                  </w:pPr>
                  <w:r>
                    <w:rPr>
                      <w:rFonts w:hint="eastAsia"/>
                      <w:kern w:val="0"/>
                      <w:szCs w:val="21"/>
                      <w:lang/>
                    </w:rPr>
                    <w:t>施工总工期</w:t>
                  </w:r>
                </w:p>
              </w:tc>
              <w:tc>
                <w:tcPr>
                  <w:tcW w:w="1426" w:type="dxa"/>
                  <w:vAlign w:val="center"/>
                </w:tcPr>
                <w:p>
                  <w:pPr>
                    <w:widowControl/>
                    <w:wordWrap w:val="0"/>
                    <w:spacing w:line="360" w:lineRule="exact"/>
                    <w:jc w:val="center"/>
                    <w:textAlignment w:val="center"/>
                    <w:rPr>
                      <w:szCs w:val="21"/>
                      <w:lang/>
                    </w:rPr>
                  </w:pPr>
                  <w:r>
                    <w:rPr>
                      <w:rFonts w:hint="eastAsia"/>
                      <w:szCs w:val="21"/>
                      <w:lang/>
                    </w:rPr>
                    <w:t>月</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4</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restart"/>
                  <w:vAlign w:val="center"/>
                </w:tcPr>
                <w:p>
                  <w:pPr>
                    <w:wordWrap w:val="0"/>
                    <w:autoSpaceDE w:val="0"/>
                    <w:autoSpaceDN w:val="0"/>
                    <w:adjustRightInd w:val="0"/>
                    <w:spacing w:line="356" w:lineRule="exact"/>
                    <w:jc w:val="center"/>
                    <w:rPr>
                      <w:kern w:val="0"/>
                      <w:szCs w:val="21"/>
                      <w:lang/>
                    </w:rPr>
                  </w:pPr>
                  <w:r>
                    <w:rPr>
                      <w:rFonts w:hint="eastAsia"/>
                      <w:kern w:val="0"/>
                      <w:szCs w:val="21"/>
                      <w:lang/>
                    </w:rPr>
                    <w:t>经济指标</w:t>
                  </w:r>
                </w:p>
              </w:tc>
              <w:tc>
                <w:tcPr>
                  <w:tcW w:w="3119" w:type="dxa"/>
                  <w:gridSpan w:val="4"/>
                  <w:vAlign w:val="center"/>
                </w:tcPr>
                <w:p>
                  <w:pPr>
                    <w:widowControl/>
                    <w:wordWrap w:val="0"/>
                    <w:spacing w:line="360" w:lineRule="exact"/>
                    <w:jc w:val="center"/>
                    <w:textAlignment w:val="center"/>
                    <w:rPr>
                      <w:kern w:val="0"/>
                      <w:szCs w:val="21"/>
                      <w:lang/>
                    </w:rPr>
                  </w:pPr>
                  <w:r>
                    <w:rPr>
                      <w:rFonts w:hint="eastAsia"/>
                      <w:kern w:val="0"/>
                      <w:szCs w:val="21"/>
                      <w:lang/>
                    </w:rPr>
                    <w:t>静态投资</w:t>
                  </w:r>
                </w:p>
              </w:tc>
              <w:tc>
                <w:tcPr>
                  <w:tcW w:w="1426" w:type="dxa"/>
                  <w:vAlign w:val="center"/>
                </w:tcPr>
                <w:p>
                  <w:pPr>
                    <w:widowControl/>
                    <w:wordWrap w:val="0"/>
                    <w:spacing w:line="360" w:lineRule="exact"/>
                    <w:jc w:val="center"/>
                    <w:textAlignment w:val="center"/>
                    <w:rPr>
                      <w:szCs w:val="21"/>
                      <w:lang/>
                    </w:rPr>
                  </w:pPr>
                  <w:r>
                    <w:rPr>
                      <w:rFonts w:hint="eastAsia"/>
                      <w:szCs w:val="21"/>
                      <w:lang/>
                    </w:rPr>
                    <w:t>万元</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5184.23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3119" w:type="dxa"/>
                  <w:gridSpan w:val="4"/>
                  <w:vAlign w:val="center"/>
                </w:tcPr>
                <w:p>
                  <w:pPr>
                    <w:widowControl/>
                    <w:wordWrap w:val="0"/>
                    <w:spacing w:line="360" w:lineRule="exact"/>
                    <w:jc w:val="center"/>
                    <w:textAlignment w:val="center"/>
                    <w:rPr>
                      <w:kern w:val="0"/>
                      <w:szCs w:val="21"/>
                      <w:lang/>
                    </w:rPr>
                  </w:pPr>
                  <w:r>
                    <w:rPr>
                      <w:rFonts w:hint="eastAsia"/>
                      <w:kern w:val="0"/>
                      <w:szCs w:val="21"/>
                      <w:lang/>
                    </w:rPr>
                    <w:t>工程动态总投资</w:t>
                  </w:r>
                </w:p>
              </w:tc>
              <w:tc>
                <w:tcPr>
                  <w:tcW w:w="1426" w:type="dxa"/>
                  <w:vAlign w:val="center"/>
                </w:tcPr>
                <w:p>
                  <w:pPr>
                    <w:widowControl/>
                    <w:wordWrap w:val="0"/>
                    <w:spacing w:line="360" w:lineRule="exact"/>
                    <w:jc w:val="center"/>
                    <w:textAlignment w:val="center"/>
                    <w:rPr>
                      <w:szCs w:val="21"/>
                      <w:lang/>
                    </w:rPr>
                  </w:pPr>
                  <w:r>
                    <w:rPr>
                      <w:rFonts w:hint="eastAsia"/>
                      <w:szCs w:val="21"/>
                      <w:lang/>
                    </w:rPr>
                    <w:t>万元</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5218.05</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3119" w:type="dxa"/>
                  <w:gridSpan w:val="4"/>
                  <w:vAlign w:val="center"/>
                </w:tcPr>
                <w:p>
                  <w:pPr>
                    <w:widowControl/>
                    <w:wordWrap w:val="0"/>
                    <w:spacing w:line="360" w:lineRule="exact"/>
                    <w:jc w:val="center"/>
                    <w:textAlignment w:val="center"/>
                    <w:rPr>
                      <w:kern w:val="0"/>
                      <w:szCs w:val="21"/>
                      <w:lang/>
                    </w:rPr>
                  </w:pPr>
                  <w:r>
                    <w:rPr>
                      <w:rFonts w:hint="eastAsia"/>
                      <w:kern w:val="0"/>
                      <w:szCs w:val="21"/>
                      <w:lang/>
                    </w:rPr>
                    <w:t>单位千瓦动态投资</w:t>
                  </w:r>
                </w:p>
              </w:tc>
              <w:tc>
                <w:tcPr>
                  <w:tcW w:w="1426" w:type="dxa"/>
                  <w:vAlign w:val="center"/>
                </w:tcPr>
                <w:p>
                  <w:pPr>
                    <w:widowControl/>
                    <w:wordWrap w:val="0"/>
                    <w:spacing w:line="360" w:lineRule="exact"/>
                    <w:jc w:val="center"/>
                    <w:textAlignment w:val="center"/>
                    <w:rPr>
                      <w:szCs w:val="21"/>
                      <w:lang/>
                    </w:rPr>
                  </w:pPr>
                  <w:r>
                    <w:rPr>
                      <w:rFonts w:hint="eastAsia"/>
                      <w:szCs w:val="21"/>
                      <w:lang/>
                    </w:rPr>
                    <w:t>元/kW</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8696.74</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3119" w:type="dxa"/>
                  <w:gridSpan w:val="4"/>
                  <w:vAlign w:val="center"/>
                </w:tcPr>
                <w:p>
                  <w:pPr>
                    <w:widowControl/>
                    <w:wordWrap w:val="0"/>
                    <w:spacing w:line="360" w:lineRule="exact"/>
                    <w:jc w:val="center"/>
                    <w:textAlignment w:val="center"/>
                    <w:rPr>
                      <w:kern w:val="0"/>
                      <w:szCs w:val="21"/>
                      <w:lang/>
                    </w:rPr>
                  </w:pPr>
                  <w:r>
                    <w:rPr>
                      <w:rFonts w:hint="eastAsia"/>
                      <w:kern w:val="0"/>
                      <w:szCs w:val="21"/>
                      <w:lang/>
                    </w:rPr>
                    <w:t>年上网电量</w:t>
                  </w:r>
                </w:p>
              </w:tc>
              <w:tc>
                <w:tcPr>
                  <w:tcW w:w="1426" w:type="dxa"/>
                  <w:vAlign w:val="center"/>
                </w:tcPr>
                <w:p>
                  <w:pPr>
                    <w:widowControl/>
                    <w:wordWrap w:val="0"/>
                    <w:spacing w:line="360" w:lineRule="exact"/>
                    <w:jc w:val="center"/>
                    <w:textAlignment w:val="center"/>
                    <w:rPr>
                      <w:szCs w:val="21"/>
                      <w:lang/>
                    </w:rPr>
                  </w:pPr>
                  <w:r>
                    <w:rPr>
                      <w:rFonts w:hint="eastAsia"/>
                      <w:szCs w:val="21"/>
                      <w:lang/>
                    </w:rPr>
                    <w:t>MWh</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14209.6</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r>
              <w:tc>
                <w:tcPr>
                  <w:tcW w:w="562" w:type="dxa"/>
                  <w:vMerge w:val="continue"/>
                  <w:vAlign w:val="center"/>
                </w:tcPr>
                <w:p>
                  <w:pPr>
                    <w:wordWrap w:val="0"/>
                    <w:autoSpaceDE w:val="0"/>
                    <w:autoSpaceDN w:val="0"/>
                    <w:adjustRightInd w:val="0"/>
                    <w:spacing w:line="356" w:lineRule="exact"/>
                    <w:jc w:val="center"/>
                    <w:rPr>
                      <w:kern w:val="0"/>
                      <w:szCs w:val="21"/>
                      <w:lang/>
                    </w:rPr>
                  </w:pPr>
                </w:p>
              </w:tc>
              <w:tc>
                <w:tcPr>
                  <w:tcW w:w="3119" w:type="dxa"/>
                  <w:gridSpan w:val="4"/>
                  <w:vAlign w:val="center"/>
                </w:tcPr>
                <w:p>
                  <w:pPr>
                    <w:widowControl/>
                    <w:wordWrap w:val="0"/>
                    <w:spacing w:line="360" w:lineRule="exact"/>
                    <w:jc w:val="center"/>
                    <w:textAlignment w:val="center"/>
                    <w:rPr>
                      <w:kern w:val="0"/>
                      <w:szCs w:val="21"/>
                      <w:lang/>
                    </w:rPr>
                  </w:pPr>
                  <w:r>
                    <w:rPr>
                      <w:rFonts w:hint="eastAsia"/>
                      <w:kern w:val="0"/>
                      <w:szCs w:val="21"/>
                      <w:lang/>
                    </w:rPr>
                    <w:t>年等效满负荷小时数</w:t>
                  </w:r>
                </w:p>
              </w:tc>
              <w:tc>
                <w:tcPr>
                  <w:tcW w:w="1426" w:type="dxa"/>
                  <w:vAlign w:val="center"/>
                </w:tcPr>
                <w:p>
                  <w:pPr>
                    <w:widowControl/>
                    <w:wordWrap w:val="0"/>
                    <w:spacing w:line="360" w:lineRule="exact"/>
                    <w:jc w:val="center"/>
                    <w:textAlignment w:val="center"/>
                    <w:rPr>
                      <w:szCs w:val="21"/>
                      <w:lang/>
                    </w:rPr>
                  </w:pPr>
                  <w:r>
                    <w:rPr>
                      <w:rFonts w:hint="eastAsia"/>
                      <w:szCs w:val="21"/>
                      <w:lang/>
                    </w:rPr>
                    <w:t>h</w:t>
                  </w:r>
                </w:p>
              </w:tc>
              <w:tc>
                <w:tcPr>
                  <w:tcW w:w="1603" w:type="dxa"/>
                  <w:gridSpan w:val="2"/>
                  <w:vAlign w:val="center"/>
                </w:tcPr>
                <w:p>
                  <w:pPr>
                    <w:widowControl/>
                    <w:wordWrap w:val="0"/>
                    <w:spacing w:line="360" w:lineRule="exact"/>
                    <w:jc w:val="center"/>
                    <w:textAlignment w:val="center"/>
                    <w:rPr>
                      <w:szCs w:val="21"/>
                      <w:lang/>
                    </w:rPr>
                  </w:pPr>
                  <w:r>
                    <w:rPr>
                      <w:rFonts w:hint="eastAsia"/>
                      <w:szCs w:val="21"/>
                      <w:lang/>
                    </w:rPr>
                    <w:t>2368.3</w:t>
                  </w:r>
                </w:p>
              </w:tc>
              <w:tc>
                <w:tcPr>
                  <w:tcW w:w="1586" w:type="dxa"/>
                  <w:vAlign w:val="center"/>
                </w:tcPr>
                <w:p>
                  <w:pPr>
                    <w:wordWrap w:val="0"/>
                    <w:autoSpaceDE w:val="0"/>
                    <w:autoSpaceDN w:val="0"/>
                    <w:adjustRightInd w:val="0"/>
                    <w:spacing w:line="356" w:lineRule="exact"/>
                    <w:jc w:val="center"/>
                    <w:rPr>
                      <w:rFonts w:cs="宋体"/>
                      <w:w w:val="99"/>
                      <w:kern w:val="0"/>
                      <w:sz w:val="24"/>
                    </w:rPr>
                  </w:pPr>
                </w:p>
              </w:tc>
            </w:tr>
          </w:tbl>
          <w:p>
            <w:pPr>
              <w:wordWrap w:val="0"/>
              <w:autoSpaceDE w:val="0"/>
              <w:autoSpaceDN w:val="0"/>
              <w:adjustRightInd w:val="0"/>
              <w:spacing w:line="420" w:lineRule="exact"/>
              <w:ind w:firstLine="482" w:firstLineChars="200"/>
              <w:rPr>
                <w:rFonts w:cs="宋体"/>
                <w:b/>
                <w:bCs/>
                <w:kern w:val="0"/>
                <w:sz w:val="24"/>
              </w:rPr>
            </w:pPr>
            <w:r>
              <w:rPr>
                <w:rFonts w:hint="eastAsia" w:cs="宋体"/>
                <w:b/>
                <w:bCs/>
                <w:kern w:val="0"/>
                <w:sz w:val="24"/>
              </w:rPr>
              <w:t>（3）风电场接入系统方案</w:t>
            </w:r>
          </w:p>
          <w:p>
            <w:pPr>
              <w:wordWrap w:val="0"/>
              <w:autoSpaceDE w:val="0"/>
              <w:autoSpaceDN w:val="0"/>
              <w:adjustRightInd w:val="0"/>
              <w:spacing w:line="420" w:lineRule="exact"/>
              <w:ind w:firstLine="480" w:firstLineChars="200"/>
              <w:rPr>
                <w:bCs/>
                <w:sz w:val="24"/>
              </w:rPr>
            </w:pPr>
            <w:r>
              <w:rPr>
                <w:rFonts w:hint="eastAsia"/>
                <w:bCs/>
                <w:sz w:val="24"/>
              </w:rPr>
              <w:t>本项目拟设3台风力发电机，不新建升压站。</w:t>
            </w:r>
            <w:r>
              <w:rPr>
                <w:bCs/>
                <w:sz w:val="24"/>
              </w:rPr>
              <w:t>每台风力发电机出口通过1kV低压电缆接至容量为</w:t>
            </w:r>
            <w:r>
              <w:rPr>
                <w:rFonts w:hint="eastAsia"/>
                <w:bCs/>
                <w:sz w:val="24"/>
              </w:rPr>
              <w:t>35</w:t>
            </w:r>
            <w:r>
              <w:rPr>
                <w:bCs/>
                <w:sz w:val="24"/>
              </w:rPr>
              <w:t>kVA的箱式变压器。风机端电压为0.69kV，通过箱变升压至35kV，并接入35kV线路。根据风电场布置，风电场3台风电机组接入1个集电线路单元。集电线路送至店坪110kV变电站35kV侧母线。</w:t>
            </w:r>
          </w:p>
          <w:p>
            <w:pPr>
              <w:wordWrap w:val="0"/>
              <w:autoSpaceDE w:val="0"/>
              <w:autoSpaceDN w:val="0"/>
              <w:adjustRightInd w:val="0"/>
              <w:spacing w:line="420" w:lineRule="exact"/>
              <w:ind w:firstLine="480" w:firstLineChars="200"/>
              <w:rPr>
                <w:bCs/>
                <w:sz w:val="24"/>
              </w:rPr>
            </w:pPr>
            <w:r>
              <w:rPr>
                <w:bCs/>
                <w:sz w:val="24"/>
              </w:rPr>
              <w:t>本</w:t>
            </w:r>
            <w:r>
              <w:rPr>
                <w:rFonts w:hint="eastAsia"/>
                <w:bCs/>
                <w:sz w:val="24"/>
              </w:rPr>
              <w:t>次</w:t>
            </w:r>
            <w:r>
              <w:rPr>
                <w:bCs/>
                <w:sz w:val="24"/>
              </w:rPr>
              <w:t>评价不包括场外输电线路环评</w:t>
            </w:r>
            <w:r>
              <w:rPr>
                <w:rFonts w:hint="eastAsia"/>
                <w:bCs/>
                <w:sz w:val="24"/>
              </w:rPr>
              <w:t>和箱变电磁辐射环评</w:t>
            </w:r>
            <w:r>
              <w:rPr>
                <w:bCs/>
                <w:sz w:val="24"/>
              </w:rPr>
              <w:t>。</w:t>
            </w:r>
          </w:p>
          <w:p>
            <w:pPr>
              <w:wordWrap w:val="0"/>
              <w:autoSpaceDE w:val="0"/>
              <w:autoSpaceDN w:val="0"/>
              <w:adjustRightInd w:val="0"/>
              <w:spacing w:line="420" w:lineRule="exact"/>
              <w:ind w:firstLine="482" w:firstLineChars="200"/>
              <w:rPr>
                <w:rFonts w:cs="宋体"/>
                <w:b/>
                <w:bCs/>
                <w:kern w:val="0"/>
                <w:sz w:val="24"/>
              </w:rPr>
            </w:pPr>
            <w:r>
              <w:rPr>
                <w:rFonts w:hint="eastAsia" w:cs="宋体"/>
                <w:b/>
                <w:bCs/>
                <w:kern w:val="0"/>
                <w:sz w:val="24"/>
              </w:rPr>
              <w:t>（4）</w:t>
            </w:r>
            <w:r>
              <w:rPr>
                <w:rFonts w:cs="宋体"/>
                <w:b/>
                <w:bCs/>
                <w:kern w:val="0"/>
                <w:sz w:val="24"/>
              </w:rPr>
              <w:t>主要工程内容</w:t>
            </w:r>
          </w:p>
          <w:p>
            <w:pPr>
              <w:wordWrap w:val="0"/>
              <w:autoSpaceDE w:val="0"/>
              <w:autoSpaceDN w:val="0"/>
              <w:adjustRightInd w:val="0"/>
              <w:spacing w:line="420" w:lineRule="exact"/>
              <w:ind w:firstLine="480" w:firstLineChars="200"/>
              <w:rPr>
                <w:rFonts w:cs="宋体"/>
                <w:b/>
                <w:bCs/>
                <w:kern w:val="0"/>
                <w:sz w:val="24"/>
              </w:rPr>
            </w:pPr>
            <w:r>
              <w:rPr>
                <w:rFonts w:hint="eastAsia" w:cs="宋体"/>
                <w:kern w:val="0"/>
                <w:sz w:val="24"/>
              </w:rPr>
              <w:t>本工程主要建设内容包括：</w:t>
            </w:r>
            <w:r>
              <w:rPr>
                <w:rFonts w:cs="宋体"/>
                <w:kern w:val="0"/>
                <w:sz w:val="24"/>
              </w:rPr>
              <w:t>风电场范围内的风力发电机等设备装置包括：风力发电机组、塔架、塔架基础、升压设备及基础、集电线路</w:t>
            </w:r>
            <w:r>
              <w:rPr>
                <w:rFonts w:hint="eastAsia" w:cs="宋体"/>
                <w:kern w:val="0"/>
                <w:sz w:val="24"/>
              </w:rPr>
              <w:t>。本次评价仅包括风机机位之间的集电线路。</w:t>
            </w:r>
          </w:p>
          <w:p>
            <w:pPr>
              <w:wordWrap w:val="0"/>
              <w:autoSpaceDE w:val="0"/>
              <w:autoSpaceDN w:val="0"/>
              <w:adjustRightInd w:val="0"/>
              <w:spacing w:line="420" w:lineRule="exact"/>
              <w:ind w:firstLine="480" w:firstLineChars="200"/>
              <w:rPr>
                <w:sz w:val="24"/>
              </w:rPr>
            </w:pPr>
            <w:r>
              <w:rPr>
                <w:sz w:val="24"/>
              </w:rPr>
              <w:t>本项目</w:t>
            </w:r>
            <w:r>
              <w:rPr>
                <w:rFonts w:hint="eastAsia"/>
                <w:sz w:val="24"/>
              </w:rPr>
              <w:t>基本组成见</w:t>
            </w:r>
            <w:r>
              <w:rPr>
                <w:sz w:val="24"/>
              </w:rPr>
              <w:t>表</w:t>
            </w:r>
            <w:r>
              <w:rPr>
                <w:rFonts w:hint="eastAsia"/>
                <w:sz w:val="24"/>
              </w:rPr>
              <w:t>3</w:t>
            </w:r>
            <w:r>
              <w:rPr>
                <w:sz w:val="24"/>
              </w:rPr>
              <w:t>。主要设备设施见表</w:t>
            </w:r>
            <w:r>
              <w:rPr>
                <w:rFonts w:hint="eastAsia"/>
                <w:sz w:val="24"/>
              </w:rPr>
              <w:t>4</w:t>
            </w:r>
            <w:r>
              <w:rPr>
                <w:sz w:val="24"/>
              </w:rPr>
              <w:t>。</w:t>
            </w:r>
          </w:p>
          <w:p>
            <w:pPr>
              <w:pStyle w:val="15"/>
              <w:adjustRightInd w:val="0"/>
              <w:snapToGrid w:val="0"/>
              <w:spacing w:line="440" w:lineRule="exact"/>
              <w:jc w:val="center"/>
              <w:rPr>
                <w:rFonts w:ascii="Times New Roman" w:hAnsi="Times New Roman" w:cs="宋体"/>
                <w:kern w:val="32"/>
                <w:sz w:val="24"/>
                <w:szCs w:val="24"/>
              </w:rPr>
            </w:pPr>
            <w:r>
              <w:rPr>
                <w:rFonts w:hint="eastAsia" w:ascii="Times New Roman" w:hAnsi="Times New Roman" w:cs="宋体"/>
                <w:kern w:val="32"/>
                <w:sz w:val="24"/>
                <w:szCs w:val="24"/>
              </w:rPr>
              <w:t>表3   项目基本组成</w:t>
            </w:r>
          </w:p>
          <w:tbl>
            <w:tblPr>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989"/>
              <w:gridCol w:w="1133"/>
              <w:gridCol w:w="2625"/>
              <w:gridCol w:w="3549"/>
            </w:tblGrid>
            <w:tr>
              <w:trPr>
                <w:trHeight w:val="342" w:hRule="atLeast"/>
                <w:jc w:val="center"/>
              </w:trPr>
              <w:tc>
                <w:tcPr>
                  <w:tcW w:w="989"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项目</w:t>
                  </w:r>
                </w:p>
              </w:tc>
              <w:tc>
                <w:tcPr>
                  <w:tcW w:w="1133"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内容</w:t>
                  </w:r>
                </w:p>
              </w:tc>
              <w:tc>
                <w:tcPr>
                  <w:tcW w:w="2625"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台数及单</w:t>
                  </w:r>
                  <w:r>
                    <w:rPr>
                      <w:rFonts w:hint="eastAsia" w:ascii="Times New Roman" w:hAnsi="Times New Roman" w:cs="Times New Roman"/>
                      <w:sz w:val="21"/>
                      <w:szCs w:val="21"/>
                    </w:rPr>
                    <w:t>台容</w:t>
                  </w:r>
                  <w:r>
                    <w:rPr>
                      <w:rFonts w:ascii="Times New Roman" w:hAnsi="Times New Roman" w:cs="Times New Roman"/>
                      <w:sz w:val="21"/>
                      <w:szCs w:val="21"/>
                    </w:rPr>
                    <w:t>量</w:t>
                  </w:r>
                </w:p>
              </w:tc>
              <w:tc>
                <w:tcPr>
                  <w:tcW w:w="3549"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总容量</w:t>
                  </w:r>
                </w:p>
              </w:tc>
            </w:tr>
            <w:tr>
              <w:trPr>
                <w:trHeight w:val="351"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2625"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×2000</w:t>
                  </w:r>
                  <w:r>
                    <w:rPr>
                      <w:rFonts w:hint="eastAsia" w:ascii="Times New Roman" w:hAnsi="Times New Roman" w:cs="Times New Roman"/>
                      <w:sz w:val="21"/>
                      <w:szCs w:val="21"/>
                    </w:rPr>
                    <w:t>k</w:t>
                  </w:r>
                  <w:r>
                    <w:rPr>
                      <w:rFonts w:ascii="Times New Roman" w:hAnsi="Times New Roman" w:cs="Times New Roman"/>
                      <w:sz w:val="21"/>
                      <w:szCs w:val="21"/>
                    </w:rPr>
                    <w:t>W</w:t>
                  </w:r>
                </w:p>
              </w:tc>
              <w:tc>
                <w:tcPr>
                  <w:tcW w:w="3549"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MW</w:t>
                  </w:r>
                </w:p>
              </w:tc>
            </w:tr>
            <w:tr>
              <w:trPr>
                <w:trHeight w:val="1217" w:hRule="atLeast"/>
                <w:jc w:val="center"/>
              </w:trPr>
              <w:tc>
                <w:tcPr>
                  <w:tcW w:w="989"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主体工程</w:t>
                  </w: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风力发电机</w:t>
                  </w:r>
                  <w:r>
                    <w:rPr>
                      <w:rFonts w:hint="eastAsia" w:ascii="Times New Roman" w:hAnsi="Times New Roman" w:cs="Times New Roman"/>
                      <w:sz w:val="21"/>
                      <w:szCs w:val="21"/>
                    </w:rPr>
                    <w:t>组</w:t>
                  </w:r>
                </w:p>
              </w:tc>
              <w:tc>
                <w:tcPr>
                  <w:tcW w:w="6174" w:type="dxa"/>
                  <w:gridSpan w:val="2"/>
                  <w:vAlign w:val="center"/>
                </w:tcPr>
                <w:p>
                  <w:pPr>
                    <w:pStyle w:val="29"/>
                    <w:numPr>
                      <w:ilvl w:val="0"/>
                      <w:numId w:val="5"/>
                    </w:numPr>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风力发电机：选用</w:t>
                  </w:r>
                  <w:r>
                    <w:rPr>
                      <w:rFonts w:hint="eastAsia" w:ascii="Times New Roman" w:hAnsi="Times New Roman" w:cs="Times New Roman"/>
                      <w:sz w:val="21"/>
                      <w:szCs w:val="21"/>
                    </w:rPr>
                    <w:t>3</w:t>
                  </w:r>
                  <w:r>
                    <w:rPr>
                      <w:rFonts w:ascii="Times New Roman" w:hAnsi="Times New Roman" w:cs="Times New Roman"/>
                      <w:sz w:val="21"/>
                      <w:szCs w:val="21"/>
                    </w:rPr>
                    <w:t>台2000</w:t>
                  </w:r>
                  <w:r>
                    <w:rPr>
                      <w:rFonts w:hint="eastAsia" w:ascii="Times New Roman" w:hAnsi="Times New Roman" w:cs="Times New Roman"/>
                      <w:sz w:val="21"/>
                      <w:szCs w:val="21"/>
                    </w:rPr>
                    <w:t>k</w:t>
                  </w:r>
                  <w:r>
                    <w:rPr>
                      <w:rFonts w:ascii="Times New Roman" w:hAnsi="Times New Roman" w:cs="Times New Roman"/>
                      <w:sz w:val="21"/>
                      <w:szCs w:val="21"/>
                    </w:rPr>
                    <w:t>W的风力发电机，轮毂高度</w:t>
                  </w:r>
                  <w:r>
                    <w:rPr>
                      <w:rFonts w:hint="eastAsia" w:ascii="Times New Roman" w:hAnsi="Times New Roman" w:cs="Times New Roman"/>
                      <w:sz w:val="21"/>
                      <w:szCs w:val="21"/>
                    </w:rPr>
                    <w:t>90</w:t>
                  </w:r>
                  <w:r>
                    <w:rPr>
                      <w:rFonts w:ascii="Times New Roman" w:hAnsi="Times New Roman" w:cs="Times New Roman"/>
                      <w:sz w:val="21"/>
                      <w:szCs w:val="21"/>
                    </w:rPr>
                    <w:t>m。</w:t>
                  </w:r>
                </w:p>
                <w:p>
                  <w:pPr>
                    <w:pStyle w:val="29"/>
                    <w:numPr>
                      <w:ilvl w:val="0"/>
                      <w:numId w:val="5"/>
                    </w:numPr>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风机基础：风机基础底面为圆形，底面直径为19.0m，埋深-3.5m，基础为现浇C40钢筋混凝土棱台形扩展基础，基础顶面高出周围地面0.2m。</w:t>
                  </w:r>
                </w:p>
              </w:tc>
            </w:tr>
            <w:tr>
              <w:trPr>
                <w:trHeight w:val="1506"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35kV箱式变压器</w:t>
                  </w:r>
                </w:p>
              </w:tc>
              <w:tc>
                <w:tcPr>
                  <w:tcW w:w="6174" w:type="dxa"/>
                  <w:gridSpan w:val="2"/>
                  <w:vAlign w:val="center"/>
                </w:tcPr>
                <w:p>
                  <w:pPr>
                    <w:pStyle w:val="29"/>
                    <w:numPr>
                      <w:ilvl w:val="0"/>
                      <w:numId w:val="6"/>
                    </w:numPr>
                    <w:wordWrap w:val="0"/>
                    <w:adjustRightInd w:val="0"/>
                    <w:snapToGrid w:val="0"/>
                    <w:spacing w:before="0" w:beforeAutospacing="0" w:after="0" w:afterAutospacing="0" w:line="360" w:lineRule="exact"/>
                    <w:jc w:val="center"/>
                    <w:rPr>
                      <w:rFonts w:ascii="Times New Roman" w:hAnsi="Times New Roman"/>
                      <w:szCs w:val="21"/>
                    </w:rPr>
                  </w:pPr>
                  <w:r>
                    <w:rPr>
                      <w:rFonts w:ascii="Times New Roman" w:hAnsi="Times New Roman" w:cs="Times New Roman"/>
                      <w:sz w:val="21"/>
                      <w:szCs w:val="21"/>
                    </w:rPr>
                    <w:t>每台风机设一</w:t>
                  </w:r>
                  <w:r>
                    <w:rPr>
                      <w:rFonts w:hint="eastAsia" w:ascii="Times New Roman" w:hAnsi="Times New Roman" w:cs="Times New Roman"/>
                      <w:sz w:val="21"/>
                      <w:szCs w:val="21"/>
                    </w:rPr>
                    <w:t>台容量为2000kVA的35kV的</w:t>
                  </w:r>
                  <w:r>
                    <w:rPr>
                      <w:rFonts w:ascii="Times New Roman" w:hAnsi="Times New Roman" w:cs="Times New Roman"/>
                      <w:sz w:val="21"/>
                      <w:szCs w:val="21"/>
                    </w:rPr>
                    <w:t>箱式变压器</w:t>
                  </w:r>
                  <w:r>
                    <w:rPr>
                      <w:rFonts w:hint="eastAsia" w:ascii="Times New Roman" w:hAnsi="Times New Roman" w:cs="Times New Roman"/>
                      <w:sz w:val="21"/>
                      <w:szCs w:val="21"/>
                    </w:rPr>
                    <w:t>。</w:t>
                  </w:r>
                  <w:r>
                    <w:rPr>
                      <w:rFonts w:ascii="Times New Roman" w:hAnsi="Times New Roman" w:cs="Times New Roman"/>
                      <w:sz w:val="21"/>
                      <w:szCs w:val="21"/>
                    </w:rPr>
                    <w:t>每台风力发电机出口通过1kV低压电缆接至容量为2200kVA的箱式变压器。风机端电压为0.69kV，通过箱变升压至35kV，并接入35kV线路。</w:t>
                  </w:r>
                </w:p>
                <w:p>
                  <w:pPr>
                    <w:pStyle w:val="29"/>
                    <w:numPr>
                      <w:ilvl w:val="0"/>
                      <w:numId w:val="6"/>
                    </w:numPr>
                    <w:wordWrap w:val="0"/>
                    <w:adjustRightInd w:val="0"/>
                    <w:snapToGrid w:val="0"/>
                    <w:spacing w:before="0" w:beforeAutospacing="0" w:after="0" w:afterAutospacing="0" w:line="360" w:lineRule="exact"/>
                    <w:jc w:val="center"/>
                    <w:rPr>
                      <w:rFonts w:ascii="Times New Roman" w:hAnsi="Times New Roman"/>
                      <w:szCs w:val="21"/>
                    </w:rPr>
                  </w:pPr>
                  <w:r>
                    <w:rPr>
                      <w:rFonts w:ascii="Times New Roman" w:hAnsi="Times New Roman" w:cs="Times New Roman"/>
                      <w:sz w:val="21"/>
                      <w:szCs w:val="21"/>
                    </w:rPr>
                    <w:t>箱式变电</w:t>
                  </w:r>
                  <w:r>
                    <w:rPr>
                      <w:rFonts w:hint="eastAsia" w:ascii="Times New Roman" w:hAnsi="Times New Roman" w:cs="Times New Roman"/>
                      <w:sz w:val="21"/>
                      <w:szCs w:val="21"/>
                    </w:rPr>
                    <w:t>器基础：</w:t>
                  </w:r>
                  <w:r>
                    <w:rPr>
                      <w:rFonts w:ascii="Times New Roman" w:hAnsi="Times New Roman" w:cs="Times New Roman"/>
                      <w:sz w:val="21"/>
                      <w:szCs w:val="21"/>
                    </w:rPr>
                    <w:t>基础采用砖混结构，工作平台高出地面0.3m，埋深-2.0m左右，采用素混凝土条形基础，配钢筋混凝土油池。四周采用砖墙封闭，墙体内外侧用防水砂浆抹面。侧壁上预埋电缆埋管。</w:t>
                  </w:r>
                </w:p>
              </w:tc>
            </w:tr>
            <w:tr>
              <w:trPr>
                <w:trHeight w:val="638"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升压站</w:t>
                  </w:r>
                </w:p>
              </w:tc>
              <w:tc>
                <w:tcPr>
                  <w:tcW w:w="6174" w:type="dxa"/>
                  <w:gridSpan w:val="2"/>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本风电场以35kV电压接入店坪110kV变电站35kV侧母线</w:t>
                  </w:r>
                  <w:r>
                    <w:rPr>
                      <w:rFonts w:ascii="Times New Roman" w:hAnsi="Times New Roman" w:cs="Times New Roman"/>
                      <w:sz w:val="21"/>
                      <w:szCs w:val="21"/>
                    </w:rPr>
                    <w:cr/>
                  </w:r>
                  <w:r>
                    <w:rPr>
                      <w:rFonts w:ascii="Times New Roman" w:hAnsi="Times New Roman" w:cs="Times New Roman"/>
                      <w:sz w:val="21"/>
                      <w:szCs w:val="21"/>
                    </w:rPr>
                    <w:t>不新建升压站。</w:t>
                  </w:r>
                </w:p>
              </w:tc>
            </w:tr>
            <w:tr>
              <w:trPr>
                <w:trHeight w:val="416"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场内集</w:t>
                  </w:r>
                  <w:r>
                    <w:rPr>
                      <w:rFonts w:hint="eastAsia" w:ascii="Times New Roman" w:hAnsi="Times New Roman" w:cs="Times New Roman"/>
                      <w:sz w:val="21"/>
                      <w:szCs w:val="21"/>
                    </w:rPr>
                    <w:t>电</w:t>
                  </w:r>
                  <w:r>
                    <w:rPr>
                      <w:rFonts w:ascii="Times New Roman" w:hAnsi="Times New Roman" w:cs="Times New Roman"/>
                      <w:sz w:val="21"/>
                      <w:szCs w:val="21"/>
                    </w:rPr>
                    <w:t>线路</w:t>
                  </w:r>
                </w:p>
              </w:tc>
              <w:tc>
                <w:tcPr>
                  <w:tcW w:w="6174" w:type="dxa"/>
                  <w:gridSpan w:val="2"/>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本工程风电场3台风电机组分为1个集电单元，每台风机配置一台箱式变压器（距风机15米），集电线路采用铁塔，风机间集电线路采用架空线路方式，在店坪附近通过电缆接至35kV开关柜</w:t>
                  </w:r>
                  <w:r>
                    <w:rPr>
                      <w:rFonts w:hint="eastAsia" w:ascii="Times New Roman" w:hAnsi="Times New Roman" w:cs="Times New Roman"/>
                      <w:sz w:val="21"/>
                      <w:szCs w:val="21"/>
                    </w:rPr>
                    <w:t>，</w:t>
                  </w:r>
                  <w:r>
                    <w:rPr>
                      <w:rFonts w:ascii="Times New Roman" w:hAnsi="Times New Roman" w:cs="Times New Roman"/>
                      <w:sz w:val="21"/>
                      <w:szCs w:val="21"/>
                    </w:rPr>
                    <w:t>架空段线路全长约为6.0公里，均为单回路架设。</w:t>
                  </w:r>
                  <w:r>
                    <w:rPr>
                      <w:rFonts w:ascii="Times New Roman" w:hAnsi="Times New Roman" w:cs="Times New Roman"/>
                      <w:bCs/>
                      <w:sz w:val="21"/>
                      <w:szCs w:val="21"/>
                    </w:rPr>
                    <w:t>3台风电机组</w:t>
                  </w:r>
                  <w:r>
                    <w:rPr>
                      <w:rFonts w:hint="eastAsia" w:ascii="Times New Roman" w:hAnsi="Times New Roman" w:cs="Times New Roman"/>
                      <w:bCs/>
                      <w:sz w:val="21"/>
                      <w:szCs w:val="21"/>
                    </w:rPr>
                    <w:t>最终</w:t>
                  </w:r>
                  <w:r>
                    <w:rPr>
                      <w:rFonts w:ascii="Times New Roman" w:hAnsi="Times New Roman" w:cs="Times New Roman"/>
                      <w:bCs/>
                      <w:sz w:val="21"/>
                      <w:szCs w:val="21"/>
                    </w:rPr>
                    <w:t>接入1个集电线路单元</w:t>
                  </w:r>
                  <w:r>
                    <w:rPr>
                      <w:rFonts w:hint="eastAsia" w:ascii="Times New Roman" w:hAnsi="Times New Roman" w:cs="Times New Roman"/>
                      <w:bCs/>
                      <w:sz w:val="21"/>
                      <w:szCs w:val="21"/>
                    </w:rPr>
                    <w:t>。</w:t>
                  </w:r>
                </w:p>
              </w:tc>
            </w:tr>
            <w:tr>
              <w:trPr>
                <w:trHeight w:val="471" w:hRule="atLeast"/>
                <w:jc w:val="center"/>
              </w:trPr>
              <w:tc>
                <w:tcPr>
                  <w:tcW w:w="989"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辅助</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工程</w:t>
                  </w: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场外道路</w:t>
                  </w:r>
                </w:p>
              </w:tc>
              <w:tc>
                <w:tcPr>
                  <w:tcW w:w="6174" w:type="dxa"/>
                  <w:gridSpan w:val="2"/>
                  <w:vAlign w:val="center"/>
                </w:tcPr>
                <w:p>
                  <w:pPr>
                    <w:wordWrap w:val="0"/>
                    <w:autoSpaceDE w:val="0"/>
                    <w:autoSpaceDN w:val="0"/>
                    <w:adjustRightInd w:val="0"/>
                    <w:spacing w:line="360" w:lineRule="exact"/>
                    <w:jc w:val="center"/>
                    <w:rPr>
                      <w:szCs w:val="21"/>
                    </w:rPr>
                  </w:pPr>
                  <w:r>
                    <w:rPr>
                      <w:rFonts w:hint="eastAsia"/>
                      <w:szCs w:val="21"/>
                    </w:rPr>
                    <w:t>本工程大件运输依托现有道路：S</w:t>
                  </w:r>
                  <w:r>
                    <w:rPr>
                      <w:szCs w:val="21"/>
                    </w:rPr>
                    <w:t>46五保高速公路-黄道川收费站-国道G209-宋家庄村既有风场场内道路-风机施工安装平台</w:t>
                  </w:r>
                </w:p>
              </w:tc>
            </w:tr>
            <w:tr>
              <w:trPr>
                <w:trHeight w:val="471"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厂内道路</w:t>
                  </w:r>
                </w:p>
              </w:tc>
              <w:tc>
                <w:tcPr>
                  <w:tcW w:w="6174" w:type="dxa"/>
                  <w:gridSpan w:val="2"/>
                  <w:vAlign w:val="center"/>
                </w:tcPr>
                <w:p>
                  <w:pPr>
                    <w:wordWrap w:val="0"/>
                    <w:autoSpaceDE w:val="0"/>
                    <w:autoSpaceDN w:val="0"/>
                    <w:adjustRightInd w:val="0"/>
                    <w:spacing w:line="360" w:lineRule="exact"/>
                    <w:jc w:val="center"/>
                    <w:rPr>
                      <w:szCs w:val="21"/>
                    </w:rPr>
                  </w:pPr>
                  <w:r>
                    <w:rPr>
                      <w:rFonts w:hint="eastAsia"/>
                      <w:szCs w:val="21"/>
                    </w:rPr>
                    <w:t>改造既有道路，现为2.0m宽，4.0km长的乡间土路，在此基础上对其进行扩建，扩建道路长4.0km，路基宽5.5m，路面宽4.5m，</w:t>
                  </w:r>
                </w:p>
              </w:tc>
            </w:tr>
            <w:tr>
              <w:trPr>
                <w:trHeight w:val="471"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风机平台</w:t>
                  </w:r>
                </w:p>
              </w:tc>
              <w:tc>
                <w:tcPr>
                  <w:tcW w:w="6174" w:type="dxa"/>
                  <w:gridSpan w:val="2"/>
                  <w:vAlign w:val="center"/>
                </w:tcPr>
                <w:p>
                  <w:pPr>
                    <w:wordWrap w:val="0"/>
                    <w:autoSpaceDE w:val="0"/>
                    <w:autoSpaceDN w:val="0"/>
                    <w:adjustRightInd w:val="0"/>
                    <w:spacing w:line="360" w:lineRule="exact"/>
                    <w:jc w:val="center"/>
                    <w:rPr>
                      <w:szCs w:val="21"/>
                    </w:rPr>
                  </w:pPr>
                  <w:r>
                    <w:rPr>
                      <w:rFonts w:hint="eastAsia"/>
                      <w:szCs w:val="21"/>
                    </w:rPr>
                    <w:t>新建风车平台3座，占地面积0.6hm</w:t>
                  </w:r>
                  <w:r>
                    <w:rPr>
                      <w:rFonts w:hint="eastAsia"/>
                      <w:szCs w:val="21"/>
                      <w:vertAlign w:val="superscript"/>
                    </w:rPr>
                    <w:t>2</w:t>
                  </w:r>
                </w:p>
              </w:tc>
            </w:tr>
            <w:tr>
              <w:trPr>
                <w:trHeight w:val="421"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回车平台</w:t>
                  </w:r>
                </w:p>
              </w:tc>
              <w:tc>
                <w:tcPr>
                  <w:tcW w:w="6174" w:type="dxa"/>
                  <w:gridSpan w:val="2"/>
                  <w:vAlign w:val="center"/>
                </w:tcPr>
                <w:p>
                  <w:pPr>
                    <w:wordWrap w:val="0"/>
                    <w:autoSpaceDE w:val="0"/>
                    <w:autoSpaceDN w:val="0"/>
                    <w:adjustRightInd w:val="0"/>
                    <w:spacing w:line="360" w:lineRule="exact"/>
                    <w:jc w:val="center"/>
                    <w:rPr>
                      <w:rFonts w:cs="宋体"/>
                      <w:kern w:val="0"/>
                      <w:szCs w:val="21"/>
                    </w:rPr>
                  </w:pPr>
                  <w:r>
                    <w:rPr>
                      <w:rFonts w:hint="eastAsia"/>
                      <w:szCs w:val="21"/>
                    </w:rPr>
                    <w:t>新建回车平台1座，占地面积0.30hm</w:t>
                  </w:r>
                  <w:r>
                    <w:rPr>
                      <w:rFonts w:hint="eastAsia"/>
                      <w:szCs w:val="21"/>
                      <w:vertAlign w:val="superscript"/>
                    </w:rPr>
                    <w:t>2</w:t>
                  </w:r>
                </w:p>
              </w:tc>
            </w:tr>
            <w:tr>
              <w:trPr>
                <w:trHeight w:val="410" w:hRule="atLeast"/>
                <w:jc w:val="center"/>
              </w:trPr>
              <w:tc>
                <w:tcPr>
                  <w:tcW w:w="989"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公用</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工程</w:t>
                  </w: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供水</w:t>
                  </w:r>
                </w:p>
              </w:tc>
              <w:tc>
                <w:tcPr>
                  <w:tcW w:w="6174" w:type="dxa"/>
                  <w:gridSpan w:val="2"/>
                  <w:vAlign w:val="center"/>
                </w:tcPr>
                <w:p>
                  <w:pPr>
                    <w:wordWrap w:val="0"/>
                    <w:autoSpaceDE w:val="0"/>
                    <w:autoSpaceDN w:val="0"/>
                    <w:adjustRightInd w:val="0"/>
                    <w:spacing w:line="360" w:lineRule="exact"/>
                    <w:ind w:left="108"/>
                    <w:jc w:val="center"/>
                    <w:rPr>
                      <w:szCs w:val="21"/>
                    </w:rPr>
                  </w:pPr>
                  <w:r>
                    <w:rPr>
                      <w:rFonts w:hint="eastAsia"/>
                      <w:szCs w:val="21"/>
                    </w:rPr>
                    <w:t>项目施工期用水和生活用水取水方式为水罐车运输</w:t>
                  </w:r>
                </w:p>
              </w:tc>
            </w:tr>
            <w:tr>
              <w:trPr>
                <w:trHeight w:val="391"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供电</w:t>
                  </w:r>
                </w:p>
              </w:tc>
              <w:tc>
                <w:tcPr>
                  <w:tcW w:w="6174" w:type="dxa"/>
                  <w:gridSpan w:val="2"/>
                  <w:vAlign w:val="center"/>
                </w:tcPr>
                <w:p>
                  <w:pPr>
                    <w:wordWrap w:val="0"/>
                    <w:autoSpaceDE w:val="0"/>
                    <w:autoSpaceDN w:val="0"/>
                    <w:adjustRightInd w:val="0"/>
                    <w:spacing w:line="360" w:lineRule="exact"/>
                    <w:jc w:val="center"/>
                    <w:rPr>
                      <w:szCs w:val="21"/>
                    </w:rPr>
                  </w:pPr>
                  <w:r>
                    <w:rPr>
                      <w:rFonts w:hint="eastAsia"/>
                      <w:szCs w:val="21"/>
                    </w:rPr>
                    <w:t>项目</w:t>
                  </w:r>
                  <w:r>
                    <w:rPr>
                      <w:szCs w:val="21"/>
                    </w:rPr>
                    <w:t>施工用电</w:t>
                  </w:r>
                  <w:r>
                    <w:rPr>
                      <w:rFonts w:hint="eastAsia"/>
                      <w:szCs w:val="21"/>
                    </w:rPr>
                    <w:t>由</w:t>
                  </w:r>
                  <w:r>
                    <w:rPr>
                      <w:szCs w:val="21"/>
                    </w:rPr>
                    <w:t>自备的小型柴油发电机</w:t>
                  </w:r>
                  <w:r>
                    <w:rPr>
                      <w:rFonts w:hint="eastAsia"/>
                      <w:szCs w:val="21"/>
                    </w:rPr>
                    <w:t>提供</w:t>
                  </w:r>
                </w:p>
              </w:tc>
            </w:tr>
            <w:tr>
              <w:trPr>
                <w:trHeight w:val="391" w:hRule="atLeast"/>
                <w:jc w:val="center"/>
              </w:trPr>
              <w:tc>
                <w:tcPr>
                  <w:tcW w:w="989"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供暖</w:t>
                  </w:r>
                </w:p>
              </w:tc>
              <w:tc>
                <w:tcPr>
                  <w:tcW w:w="6174" w:type="dxa"/>
                  <w:gridSpan w:val="2"/>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施工营地采暖采用</w:t>
                  </w:r>
                  <w:r>
                    <w:rPr>
                      <w:rFonts w:ascii="Times New Roman" w:hAnsi="Times New Roman" w:cs="Times New Roman"/>
                      <w:sz w:val="21"/>
                      <w:szCs w:val="21"/>
                    </w:rPr>
                    <w:t>电暖气</w:t>
                  </w:r>
                  <w:r>
                    <w:rPr>
                      <w:rFonts w:hint="eastAsia" w:ascii="Times New Roman" w:hAnsi="Times New Roman" w:cs="Times New Roman"/>
                      <w:sz w:val="21"/>
                      <w:szCs w:val="21"/>
                    </w:rPr>
                    <w:t>取暖</w:t>
                  </w:r>
                </w:p>
              </w:tc>
            </w:tr>
            <w:tr>
              <w:trPr>
                <w:trHeight w:val="416" w:hRule="atLeast"/>
                <w:jc w:val="center"/>
              </w:trPr>
              <w:tc>
                <w:tcPr>
                  <w:tcW w:w="989"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配套</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工程</w:t>
                  </w: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接入系统</w:t>
                  </w:r>
                </w:p>
              </w:tc>
              <w:tc>
                <w:tcPr>
                  <w:tcW w:w="6174" w:type="dxa"/>
                  <w:gridSpan w:val="2"/>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bCs/>
                      <w:sz w:val="21"/>
                      <w:szCs w:val="21"/>
                    </w:rPr>
                    <w:t>3个风电机组接入一个集电线路单元，</w:t>
                  </w:r>
                  <w:r>
                    <w:rPr>
                      <w:rFonts w:ascii="Times New Roman" w:hAnsi="Times New Roman" w:cs="Times New Roman"/>
                      <w:bCs/>
                      <w:sz w:val="21"/>
                      <w:szCs w:val="21"/>
                    </w:rPr>
                    <w:t>以</w:t>
                  </w:r>
                  <w:r>
                    <w:rPr>
                      <w:rFonts w:hint="eastAsia" w:ascii="Times New Roman" w:hAnsi="Times New Roman" w:cs="Times New Roman"/>
                      <w:bCs/>
                      <w:sz w:val="21"/>
                      <w:szCs w:val="21"/>
                    </w:rPr>
                    <w:t>1</w:t>
                  </w:r>
                  <w:r>
                    <w:rPr>
                      <w:rFonts w:ascii="Times New Roman" w:hAnsi="Times New Roman" w:cs="Times New Roman"/>
                      <w:bCs/>
                      <w:sz w:val="21"/>
                      <w:szCs w:val="21"/>
                    </w:rPr>
                    <w:t>回35kV线路接入店坪110kV</w:t>
                  </w:r>
                  <w:r>
                    <w:rPr>
                      <w:rFonts w:hint="eastAsia" w:ascii="Times New Roman" w:hAnsi="Times New Roman" w:cs="Times New Roman"/>
                      <w:bCs/>
                      <w:sz w:val="21"/>
                      <w:szCs w:val="21"/>
                    </w:rPr>
                    <w:t>，</w:t>
                  </w:r>
                  <w:r>
                    <w:rPr>
                      <w:rFonts w:ascii="Times New Roman" w:hAnsi="Times New Roman" w:cs="Times New Roman"/>
                      <w:bCs/>
                      <w:sz w:val="21"/>
                      <w:szCs w:val="21"/>
                    </w:rPr>
                    <w:t>变电站35kV侧母线，线路长约20km</w:t>
                  </w:r>
                  <w:r>
                    <w:rPr>
                      <w:rFonts w:hint="eastAsia" w:ascii="Times New Roman" w:hAnsi="Times New Roman" w:cs="Times New Roman"/>
                      <w:sz w:val="21"/>
                      <w:szCs w:val="21"/>
                    </w:rPr>
                    <w:t>。本次评价不包括场外输电线路环评。</w:t>
                  </w:r>
                </w:p>
              </w:tc>
            </w:tr>
            <w:tr>
              <w:trPr>
                <w:trHeight w:val="594" w:hRule="atLeast"/>
                <w:jc w:val="center"/>
              </w:trPr>
              <w:tc>
                <w:tcPr>
                  <w:tcW w:w="989"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环保</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工程</w:t>
                  </w:r>
                </w:p>
              </w:tc>
              <w:tc>
                <w:tcPr>
                  <w:tcW w:w="11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生态工程</w:t>
                  </w:r>
                </w:p>
              </w:tc>
              <w:tc>
                <w:tcPr>
                  <w:tcW w:w="6174" w:type="dxa"/>
                  <w:gridSpan w:val="2"/>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bCs/>
                      <w:sz w:val="21"/>
                      <w:szCs w:val="21"/>
                    </w:rPr>
                  </w:pPr>
                  <w:r>
                    <w:rPr>
                      <w:rFonts w:hint="eastAsia" w:ascii="Times New Roman" w:hAnsi="Times New Roman" w:cs="Times New Roman"/>
                      <w:sz w:val="21"/>
                      <w:szCs w:val="21"/>
                    </w:rPr>
                    <w:t>临时占地植被恢复，水土保持等</w:t>
                  </w:r>
                </w:p>
              </w:tc>
            </w:tr>
          </w:tbl>
          <w:p>
            <w:pPr>
              <w:pStyle w:val="15"/>
              <w:adjustRightInd w:val="0"/>
              <w:snapToGrid w:val="0"/>
              <w:spacing w:line="440" w:lineRule="exact"/>
              <w:jc w:val="center"/>
              <w:rPr>
                <w:rFonts w:ascii="Times New Roman" w:hAnsi="Times New Roman" w:cs="宋体"/>
                <w:kern w:val="32"/>
                <w:sz w:val="24"/>
                <w:szCs w:val="24"/>
              </w:rPr>
            </w:pPr>
            <w:r>
              <w:rPr>
                <w:rFonts w:hint="eastAsia" w:ascii="Times New Roman" w:hAnsi="Times New Roman" w:cs="宋体"/>
                <w:kern w:val="32"/>
                <w:sz w:val="24"/>
                <w:szCs w:val="24"/>
              </w:rPr>
              <w:t>表4    项目主要设备设施一览表</w:t>
            </w:r>
          </w:p>
          <w:tbl>
            <w:tblPr>
              <w:tblW w:w="828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left w:w="0" w:type="dxa"/>
                <w:right w:w="0" w:type="dxa"/>
              </w:tblCellMar>
            </w:tblPr>
            <w:tblGrid>
              <w:gridCol w:w="1545"/>
              <w:gridCol w:w="2268"/>
              <w:gridCol w:w="2481"/>
              <w:gridCol w:w="669"/>
              <w:gridCol w:w="1323"/>
            </w:tblGrid>
            <w:tr>
              <w:trPr>
                <w:trHeight w:val="255" w:hRule="atLeast"/>
              </w:trPr>
              <w:tc>
                <w:tcPr>
                  <w:tcW w:w="3813" w:type="dxa"/>
                  <w:gridSpan w:val="2"/>
                  <w:tcBorders>
                    <w:tl2br w:val="nil"/>
                    <w:tr2bl w:val="nil"/>
                  </w:tcBorders>
                  <w:vAlign w:val="center"/>
                </w:tcPr>
                <w:p>
                  <w:pPr>
                    <w:wordWrap w:val="0"/>
                    <w:snapToGrid w:val="0"/>
                    <w:spacing w:line="360" w:lineRule="exact"/>
                    <w:jc w:val="center"/>
                    <w:rPr>
                      <w:szCs w:val="21"/>
                    </w:rPr>
                  </w:pPr>
                  <w:r>
                    <w:rPr>
                      <w:szCs w:val="21"/>
                    </w:rPr>
                    <w:t>设备名称</w:t>
                  </w:r>
                </w:p>
              </w:tc>
              <w:tc>
                <w:tcPr>
                  <w:tcW w:w="2481" w:type="dxa"/>
                  <w:tcBorders>
                    <w:tl2br w:val="nil"/>
                    <w:tr2bl w:val="nil"/>
                  </w:tcBorders>
                  <w:vAlign w:val="center"/>
                </w:tcPr>
                <w:p>
                  <w:pPr>
                    <w:wordWrap w:val="0"/>
                    <w:snapToGrid w:val="0"/>
                    <w:spacing w:line="360" w:lineRule="exact"/>
                    <w:jc w:val="center"/>
                    <w:rPr>
                      <w:szCs w:val="21"/>
                    </w:rPr>
                  </w:pPr>
                  <w:r>
                    <w:rPr>
                      <w:szCs w:val="21"/>
                    </w:rPr>
                    <w:t>型号</w:t>
                  </w:r>
                  <w:r>
                    <w:rPr>
                      <w:rFonts w:hint="eastAsia"/>
                      <w:szCs w:val="21"/>
                    </w:rPr>
                    <w:t>规格</w:t>
                  </w:r>
                </w:p>
              </w:tc>
              <w:tc>
                <w:tcPr>
                  <w:tcW w:w="669" w:type="dxa"/>
                  <w:tcBorders>
                    <w:tl2br w:val="nil"/>
                    <w:tr2bl w:val="nil"/>
                  </w:tcBorders>
                  <w:vAlign w:val="center"/>
                </w:tcPr>
                <w:p>
                  <w:pPr>
                    <w:wordWrap w:val="0"/>
                    <w:snapToGrid w:val="0"/>
                    <w:spacing w:line="360" w:lineRule="exact"/>
                    <w:jc w:val="center"/>
                    <w:rPr>
                      <w:szCs w:val="21"/>
                    </w:rPr>
                  </w:pPr>
                  <w:r>
                    <w:rPr>
                      <w:szCs w:val="21"/>
                    </w:rPr>
                    <w:t>单位</w:t>
                  </w:r>
                </w:p>
              </w:tc>
              <w:tc>
                <w:tcPr>
                  <w:tcW w:w="1323" w:type="dxa"/>
                  <w:tcBorders>
                    <w:tl2br w:val="nil"/>
                    <w:tr2bl w:val="nil"/>
                  </w:tcBorders>
                  <w:vAlign w:val="center"/>
                </w:tcPr>
                <w:p>
                  <w:pPr>
                    <w:wordWrap w:val="0"/>
                    <w:snapToGrid w:val="0"/>
                    <w:spacing w:line="360" w:lineRule="exact"/>
                    <w:jc w:val="center"/>
                    <w:rPr>
                      <w:szCs w:val="21"/>
                    </w:rPr>
                  </w:pPr>
                  <w:r>
                    <w:rPr>
                      <w:szCs w:val="21"/>
                    </w:rPr>
                    <w:t>数量</w:t>
                  </w:r>
                </w:p>
              </w:tc>
            </w:tr>
            <w:tr>
              <w:trPr>
                <w:trHeight w:val="255" w:hRule="atLeast"/>
              </w:trPr>
              <w:tc>
                <w:tcPr>
                  <w:tcW w:w="1545" w:type="dxa"/>
                  <w:vMerge w:val="restart"/>
                  <w:tcBorders>
                    <w:tl2br w:val="nil"/>
                    <w:tr2bl w:val="nil"/>
                  </w:tcBorders>
                  <w:vAlign w:val="center"/>
                </w:tcPr>
                <w:p>
                  <w:pPr>
                    <w:wordWrap w:val="0"/>
                    <w:snapToGrid w:val="0"/>
                    <w:spacing w:line="360" w:lineRule="exact"/>
                    <w:jc w:val="center"/>
                    <w:rPr>
                      <w:szCs w:val="21"/>
                    </w:rPr>
                  </w:pPr>
                  <w:r>
                    <w:rPr>
                      <w:szCs w:val="21"/>
                    </w:rPr>
                    <w:t>风力发电机组</w:t>
                  </w:r>
                </w:p>
              </w:tc>
              <w:tc>
                <w:tcPr>
                  <w:tcW w:w="2268" w:type="dxa"/>
                  <w:tcBorders>
                    <w:tl2br w:val="nil"/>
                    <w:tr2bl w:val="nil"/>
                  </w:tcBorders>
                  <w:vAlign w:val="center"/>
                </w:tcPr>
                <w:p>
                  <w:pPr>
                    <w:wordWrap w:val="0"/>
                    <w:autoSpaceDE w:val="0"/>
                    <w:autoSpaceDN w:val="0"/>
                    <w:adjustRightInd w:val="0"/>
                    <w:snapToGrid w:val="0"/>
                    <w:spacing w:line="360" w:lineRule="exact"/>
                    <w:jc w:val="center"/>
                    <w:rPr>
                      <w:szCs w:val="21"/>
                    </w:rPr>
                  </w:pPr>
                  <w:r>
                    <w:rPr>
                      <w:rFonts w:cs="宋?"/>
                      <w:kern w:val="0"/>
                      <w:szCs w:val="21"/>
                    </w:rPr>
                    <w:t>风力发电机组2000kW</w:t>
                  </w:r>
                </w:p>
              </w:tc>
              <w:tc>
                <w:tcPr>
                  <w:tcW w:w="2481" w:type="dxa"/>
                  <w:tcBorders>
                    <w:tl2br w:val="nil"/>
                    <w:tr2bl w:val="nil"/>
                  </w:tcBorders>
                  <w:vAlign w:val="center"/>
                </w:tcPr>
                <w:p>
                  <w:pPr>
                    <w:wordWrap w:val="0"/>
                    <w:snapToGrid w:val="0"/>
                    <w:spacing w:line="360" w:lineRule="exact"/>
                    <w:jc w:val="center"/>
                    <w:rPr>
                      <w:szCs w:val="21"/>
                    </w:rPr>
                  </w:pPr>
                  <w:r>
                    <w:rPr>
                      <w:rFonts w:hint="eastAsia"/>
                      <w:szCs w:val="21"/>
                    </w:rPr>
                    <w:t>WTG2-2000</w:t>
                  </w:r>
                  <w:r>
                    <w:rPr>
                      <w:szCs w:val="21"/>
                    </w:rPr>
                    <w:t>型</w:t>
                  </w:r>
                </w:p>
              </w:tc>
              <w:tc>
                <w:tcPr>
                  <w:tcW w:w="669" w:type="dxa"/>
                  <w:tcBorders>
                    <w:tl2br w:val="nil"/>
                    <w:tr2bl w:val="nil"/>
                  </w:tcBorders>
                  <w:vAlign w:val="center"/>
                </w:tcPr>
                <w:p>
                  <w:pPr>
                    <w:wordWrap w:val="0"/>
                    <w:snapToGrid w:val="0"/>
                    <w:spacing w:line="360" w:lineRule="exact"/>
                    <w:jc w:val="center"/>
                    <w:rPr>
                      <w:szCs w:val="21"/>
                    </w:rPr>
                  </w:pPr>
                  <w:r>
                    <w:rPr>
                      <w:szCs w:val="21"/>
                    </w:rPr>
                    <w:t>台</w:t>
                  </w:r>
                </w:p>
              </w:tc>
              <w:tc>
                <w:tcPr>
                  <w:tcW w:w="1323" w:type="dxa"/>
                  <w:tcBorders>
                    <w:tl2br w:val="nil"/>
                    <w:tr2bl w:val="nil"/>
                  </w:tcBorders>
                  <w:vAlign w:val="center"/>
                </w:tcPr>
                <w:p>
                  <w:pPr>
                    <w:wordWrap w:val="0"/>
                    <w:snapToGrid w:val="0"/>
                    <w:spacing w:line="360" w:lineRule="exact"/>
                    <w:jc w:val="center"/>
                    <w:rPr>
                      <w:szCs w:val="21"/>
                    </w:rPr>
                  </w:pPr>
                  <w:r>
                    <w:rPr>
                      <w:rFonts w:hint="eastAsia"/>
                      <w:szCs w:val="21"/>
                    </w:rPr>
                    <w:t>3</w:t>
                  </w:r>
                </w:p>
              </w:tc>
            </w:tr>
            <w:tr>
              <w:trPr>
                <w:trHeight w:val="255" w:hRule="atLeast"/>
              </w:trPr>
              <w:tc>
                <w:tcPr>
                  <w:tcW w:w="1545" w:type="dxa"/>
                  <w:vMerge w:val="continue"/>
                  <w:tcBorders>
                    <w:tl2br w:val="nil"/>
                    <w:tr2bl w:val="nil"/>
                  </w:tcBorders>
                  <w:vAlign w:val="center"/>
                </w:tcPr>
                <w:p>
                  <w:pPr>
                    <w:widowControl/>
                    <w:wordWrap w:val="0"/>
                    <w:snapToGrid w:val="0"/>
                    <w:spacing w:line="360" w:lineRule="exact"/>
                    <w:jc w:val="center"/>
                    <w:rPr>
                      <w:kern w:val="0"/>
                      <w:szCs w:val="21"/>
                    </w:rPr>
                  </w:pPr>
                </w:p>
              </w:tc>
              <w:tc>
                <w:tcPr>
                  <w:tcW w:w="2268" w:type="dxa"/>
                  <w:tcBorders>
                    <w:tl2br w:val="nil"/>
                    <w:tr2bl w:val="nil"/>
                  </w:tcBorders>
                  <w:vAlign w:val="center"/>
                </w:tcPr>
                <w:p>
                  <w:pPr>
                    <w:wordWrap w:val="0"/>
                    <w:autoSpaceDE w:val="0"/>
                    <w:autoSpaceDN w:val="0"/>
                    <w:adjustRightInd w:val="0"/>
                    <w:snapToGrid w:val="0"/>
                    <w:spacing w:line="360" w:lineRule="exact"/>
                    <w:ind w:firstLine="315" w:firstLineChars="150"/>
                    <w:jc w:val="center"/>
                    <w:rPr>
                      <w:kern w:val="0"/>
                      <w:szCs w:val="21"/>
                    </w:rPr>
                  </w:pPr>
                  <w:r>
                    <w:rPr>
                      <w:rFonts w:hint="eastAsia" w:cs="宋?"/>
                      <w:kern w:val="0"/>
                      <w:szCs w:val="21"/>
                    </w:rPr>
                    <w:t>35</w:t>
                  </w:r>
                  <w:r>
                    <w:rPr>
                      <w:rFonts w:cs="宋?"/>
                      <w:kern w:val="0"/>
                      <w:szCs w:val="21"/>
                    </w:rPr>
                    <w:t>kV</w:t>
                  </w:r>
                  <w:r>
                    <w:rPr>
                      <w:rFonts w:hint="eastAsia" w:cs="宋?"/>
                      <w:kern w:val="0"/>
                      <w:szCs w:val="21"/>
                    </w:rPr>
                    <w:t>箱式变压器</w:t>
                  </w:r>
                </w:p>
              </w:tc>
              <w:tc>
                <w:tcPr>
                  <w:tcW w:w="2481" w:type="dxa"/>
                  <w:tcBorders>
                    <w:tl2br w:val="nil"/>
                    <w:tr2bl w:val="nil"/>
                  </w:tcBorders>
                  <w:vAlign w:val="center"/>
                </w:tcPr>
                <w:p>
                  <w:pPr>
                    <w:wordWrap w:val="0"/>
                    <w:snapToGrid w:val="0"/>
                    <w:spacing w:line="360" w:lineRule="exact"/>
                    <w:jc w:val="center"/>
                    <w:rPr>
                      <w:szCs w:val="21"/>
                    </w:rPr>
                  </w:pPr>
                  <w:r>
                    <w:rPr>
                      <w:rFonts w:hint="eastAsia"/>
                      <w:szCs w:val="21"/>
                    </w:rPr>
                    <w:t>美式</w:t>
                  </w:r>
                </w:p>
              </w:tc>
              <w:tc>
                <w:tcPr>
                  <w:tcW w:w="669" w:type="dxa"/>
                  <w:tcBorders>
                    <w:tl2br w:val="nil"/>
                    <w:tr2bl w:val="nil"/>
                  </w:tcBorders>
                  <w:vAlign w:val="center"/>
                </w:tcPr>
                <w:p>
                  <w:pPr>
                    <w:wordWrap w:val="0"/>
                    <w:snapToGrid w:val="0"/>
                    <w:spacing w:line="360" w:lineRule="exact"/>
                    <w:jc w:val="center"/>
                    <w:rPr>
                      <w:szCs w:val="21"/>
                    </w:rPr>
                  </w:pPr>
                  <w:r>
                    <w:rPr>
                      <w:szCs w:val="21"/>
                    </w:rPr>
                    <w:t>台</w:t>
                  </w:r>
                </w:p>
              </w:tc>
              <w:tc>
                <w:tcPr>
                  <w:tcW w:w="1323" w:type="dxa"/>
                  <w:tcBorders>
                    <w:tl2br w:val="nil"/>
                    <w:tr2bl w:val="nil"/>
                  </w:tcBorders>
                  <w:vAlign w:val="center"/>
                </w:tcPr>
                <w:p>
                  <w:pPr>
                    <w:wordWrap w:val="0"/>
                    <w:snapToGrid w:val="0"/>
                    <w:spacing w:line="360" w:lineRule="exact"/>
                    <w:jc w:val="center"/>
                    <w:rPr>
                      <w:szCs w:val="21"/>
                    </w:rPr>
                  </w:pPr>
                  <w:r>
                    <w:rPr>
                      <w:rFonts w:hint="eastAsia"/>
                      <w:szCs w:val="21"/>
                    </w:rPr>
                    <w:t>3</w:t>
                  </w:r>
                </w:p>
              </w:tc>
            </w:tr>
            <w:tr>
              <w:trPr>
                <w:trHeight w:val="255" w:hRule="atLeast"/>
              </w:trPr>
              <w:tc>
                <w:tcPr>
                  <w:tcW w:w="3813" w:type="dxa"/>
                  <w:gridSpan w:val="2"/>
                  <w:tcBorders>
                    <w:tl2br w:val="nil"/>
                    <w:tr2bl w:val="nil"/>
                  </w:tcBorders>
                  <w:vAlign w:val="center"/>
                </w:tcPr>
                <w:p>
                  <w:pPr>
                    <w:widowControl/>
                    <w:wordWrap w:val="0"/>
                    <w:snapToGrid w:val="0"/>
                    <w:spacing w:line="360" w:lineRule="exact"/>
                    <w:jc w:val="center"/>
                    <w:rPr>
                      <w:kern w:val="0"/>
                      <w:szCs w:val="21"/>
                    </w:rPr>
                  </w:pPr>
                  <w:r>
                    <w:rPr>
                      <w:rFonts w:hint="eastAsia"/>
                      <w:kern w:val="0"/>
                      <w:szCs w:val="21"/>
                    </w:rPr>
                    <w:t>35kV集电线路</w:t>
                  </w:r>
                </w:p>
              </w:tc>
              <w:tc>
                <w:tcPr>
                  <w:tcW w:w="2481" w:type="dxa"/>
                  <w:tcBorders>
                    <w:tl2br w:val="nil"/>
                    <w:tr2bl w:val="nil"/>
                  </w:tcBorders>
                  <w:vAlign w:val="center"/>
                </w:tcPr>
                <w:p>
                  <w:pPr>
                    <w:wordWrap w:val="0"/>
                    <w:snapToGrid w:val="0"/>
                    <w:spacing w:line="360" w:lineRule="exact"/>
                    <w:jc w:val="center"/>
                    <w:rPr>
                      <w:szCs w:val="21"/>
                    </w:rPr>
                  </w:pPr>
                  <w:r>
                    <w:rPr>
                      <w:szCs w:val="21"/>
                    </w:rPr>
                    <w:t>JL/G1A-120/25GJ-35</w:t>
                  </w:r>
                </w:p>
              </w:tc>
              <w:tc>
                <w:tcPr>
                  <w:tcW w:w="669" w:type="dxa"/>
                  <w:tcBorders>
                    <w:tl2br w:val="nil"/>
                    <w:tr2bl w:val="nil"/>
                  </w:tcBorders>
                  <w:vAlign w:val="center"/>
                </w:tcPr>
                <w:p>
                  <w:pPr>
                    <w:wordWrap w:val="0"/>
                    <w:snapToGrid w:val="0"/>
                    <w:spacing w:line="360" w:lineRule="exact"/>
                    <w:jc w:val="center"/>
                    <w:rPr>
                      <w:szCs w:val="21"/>
                    </w:rPr>
                  </w:pPr>
                  <w:r>
                    <w:rPr>
                      <w:rFonts w:hint="eastAsia"/>
                      <w:szCs w:val="21"/>
                    </w:rPr>
                    <w:t>km</w:t>
                  </w:r>
                </w:p>
              </w:tc>
              <w:tc>
                <w:tcPr>
                  <w:tcW w:w="1323" w:type="dxa"/>
                  <w:tcBorders>
                    <w:tl2br w:val="nil"/>
                    <w:tr2bl w:val="nil"/>
                  </w:tcBorders>
                  <w:vAlign w:val="center"/>
                </w:tcPr>
                <w:p>
                  <w:pPr>
                    <w:wordWrap w:val="0"/>
                    <w:snapToGrid w:val="0"/>
                    <w:spacing w:line="360" w:lineRule="exact"/>
                    <w:jc w:val="center"/>
                    <w:rPr>
                      <w:szCs w:val="21"/>
                    </w:rPr>
                  </w:pPr>
                  <w:r>
                    <w:rPr>
                      <w:rFonts w:hint="eastAsia"/>
                      <w:szCs w:val="21"/>
                    </w:rPr>
                    <w:t>6.0</w:t>
                  </w:r>
                </w:p>
              </w:tc>
            </w:tr>
          </w:tbl>
          <w:p>
            <w:pPr>
              <w:pStyle w:val="29"/>
              <w:wordWrap w:val="0"/>
              <w:adjustRightInd w:val="0"/>
              <w:snapToGrid w:val="0"/>
              <w:spacing w:before="0" w:beforeAutospacing="0" w:after="0" w:afterAutospacing="0" w:line="420" w:lineRule="exact"/>
              <w:ind w:firstLine="241" w:firstLineChars="100"/>
              <w:jc w:val="both"/>
              <w:rPr>
                <w:rFonts w:ascii="Times New Roman" w:hAnsi="Times New Roman" w:cs="Times New Roman"/>
                <w:b/>
              </w:rPr>
            </w:pPr>
            <w:r>
              <w:rPr>
                <w:rFonts w:hint="eastAsia" w:ascii="Times New Roman" w:hAnsi="Times New Roman" w:cs="Times New Roman"/>
                <w:b/>
              </w:rPr>
              <w:t>（5）工程</w:t>
            </w:r>
            <w:r>
              <w:rPr>
                <w:rFonts w:ascii="Times New Roman" w:hAnsi="Times New Roman" w:cs="Times New Roman"/>
                <w:b/>
              </w:rPr>
              <w:t xml:space="preserve">占地 </w:t>
            </w:r>
          </w:p>
          <w:p>
            <w:pPr>
              <w:wordWrap w:val="0"/>
              <w:autoSpaceDE w:val="0"/>
              <w:autoSpaceDN w:val="0"/>
              <w:adjustRightInd w:val="0"/>
              <w:spacing w:line="420" w:lineRule="exact"/>
              <w:ind w:firstLine="480" w:firstLineChars="200"/>
              <w:rPr>
                <w:rFonts w:cs="宋体"/>
                <w:kern w:val="0"/>
                <w:sz w:val="24"/>
              </w:rPr>
            </w:pPr>
            <w:r>
              <w:rPr>
                <w:rFonts w:cs="宋体"/>
                <w:kern w:val="0"/>
                <w:sz w:val="24"/>
              </w:rPr>
              <w:t>本</w:t>
            </w:r>
            <w:r>
              <w:rPr>
                <w:kern w:val="0"/>
                <w:sz w:val="24"/>
              </w:rPr>
              <w:t>风电</w:t>
            </w:r>
            <w:r>
              <w:rPr>
                <w:rFonts w:cs="宋体"/>
                <w:kern w:val="0"/>
                <w:sz w:val="24"/>
              </w:rPr>
              <w:t>场</w:t>
            </w:r>
            <w:r>
              <w:rPr>
                <w:kern w:val="0"/>
                <w:sz w:val="24"/>
              </w:rPr>
              <w:t>工程</w:t>
            </w:r>
            <w:r>
              <w:rPr>
                <w:rFonts w:cs="宋体"/>
                <w:kern w:val="0"/>
                <w:sz w:val="24"/>
              </w:rPr>
              <w:t>总用</w:t>
            </w:r>
            <w:r>
              <w:rPr>
                <w:kern w:val="0"/>
                <w:sz w:val="24"/>
              </w:rPr>
              <w:t>地</w:t>
            </w:r>
            <w:r>
              <w:rPr>
                <w:rFonts w:cs="宋体"/>
                <w:kern w:val="0"/>
                <w:sz w:val="24"/>
              </w:rPr>
              <w:t>约</w:t>
            </w:r>
            <w:r>
              <w:rPr>
                <w:rFonts w:hint="eastAsia"/>
                <w:kern w:val="0"/>
                <w:sz w:val="24"/>
              </w:rPr>
              <w:t>34300</w:t>
            </w:r>
            <w:r>
              <w:rPr>
                <w:rFonts w:eastAsia="Times New Roman"/>
                <w:kern w:val="0"/>
                <w:sz w:val="24"/>
              </w:rPr>
              <w:t>m</w:t>
            </w:r>
            <w:r>
              <w:rPr>
                <w:rFonts w:eastAsia="Times New Roman"/>
                <w:spacing w:val="1"/>
                <w:kern w:val="0"/>
                <w:position w:val="9"/>
                <w:sz w:val="16"/>
                <w:szCs w:val="16"/>
              </w:rPr>
              <w:t>2</w:t>
            </w:r>
            <w:r>
              <w:rPr>
                <w:rFonts w:cs="宋体"/>
                <w:kern w:val="0"/>
                <w:sz w:val="24"/>
              </w:rPr>
              <w:t>，其</w:t>
            </w:r>
            <w:r>
              <w:rPr>
                <w:kern w:val="0"/>
                <w:sz w:val="24"/>
              </w:rPr>
              <w:t>中</w:t>
            </w:r>
            <w:r>
              <w:rPr>
                <w:rFonts w:cs="宋体"/>
                <w:kern w:val="0"/>
                <w:sz w:val="24"/>
              </w:rPr>
              <w:t>永久</w:t>
            </w:r>
            <w:r>
              <w:rPr>
                <w:spacing w:val="-3"/>
                <w:kern w:val="0"/>
                <w:sz w:val="24"/>
              </w:rPr>
              <w:t>性</w:t>
            </w:r>
            <w:r>
              <w:rPr>
                <w:rFonts w:cs="宋体"/>
                <w:kern w:val="0"/>
                <w:sz w:val="24"/>
              </w:rPr>
              <w:t>用</w:t>
            </w:r>
            <w:r>
              <w:rPr>
                <w:kern w:val="0"/>
                <w:sz w:val="24"/>
              </w:rPr>
              <w:t>地</w:t>
            </w:r>
            <w:r>
              <w:rPr>
                <w:rFonts w:cs="宋体"/>
                <w:kern w:val="0"/>
                <w:sz w:val="24"/>
              </w:rPr>
              <w:t>面积为</w:t>
            </w:r>
            <w:r>
              <w:rPr>
                <w:rFonts w:hint="eastAsia"/>
                <w:kern w:val="0"/>
                <w:sz w:val="24"/>
              </w:rPr>
              <w:t>1056</w:t>
            </w:r>
            <w:r>
              <w:rPr>
                <w:rFonts w:eastAsia="Times New Roman"/>
                <w:kern w:val="0"/>
                <w:sz w:val="24"/>
              </w:rPr>
              <w:t>m</w:t>
            </w:r>
            <w:r>
              <w:rPr>
                <w:rFonts w:eastAsia="Times New Roman"/>
                <w:spacing w:val="-2"/>
                <w:kern w:val="0"/>
                <w:position w:val="9"/>
                <w:sz w:val="16"/>
                <w:szCs w:val="16"/>
              </w:rPr>
              <w:t>2</w:t>
            </w:r>
            <w:r>
              <w:rPr>
                <w:rFonts w:cs="宋体"/>
                <w:kern w:val="0"/>
                <w:sz w:val="24"/>
              </w:rPr>
              <w:t>，临时</w:t>
            </w:r>
            <w:r>
              <w:rPr>
                <w:kern w:val="0"/>
                <w:sz w:val="24"/>
              </w:rPr>
              <w:t>性</w:t>
            </w:r>
            <w:r>
              <w:rPr>
                <w:rFonts w:cs="宋体"/>
                <w:kern w:val="0"/>
                <w:sz w:val="24"/>
              </w:rPr>
              <w:t>用</w:t>
            </w:r>
            <w:r>
              <w:rPr>
                <w:kern w:val="0"/>
                <w:sz w:val="24"/>
              </w:rPr>
              <w:t>地</w:t>
            </w:r>
            <w:r>
              <w:rPr>
                <w:rFonts w:cs="宋体"/>
                <w:kern w:val="0"/>
                <w:sz w:val="24"/>
              </w:rPr>
              <w:t>面积</w:t>
            </w:r>
            <w:r>
              <w:rPr>
                <w:rFonts w:hint="eastAsia"/>
                <w:kern w:val="0"/>
                <w:sz w:val="24"/>
              </w:rPr>
              <w:t>34244</w:t>
            </w:r>
            <w:r>
              <w:rPr>
                <w:rFonts w:eastAsia="Times New Roman"/>
                <w:kern w:val="0"/>
                <w:sz w:val="24"/>
              </w:rPr>
              <w:t>m</w:t>
            </w:r>
            <w:r>
              <w:rPr>
                <w:rFonts w:eastAsia="Times New Roman"/>
                <w:spacing w:val="1"/>
                <w:kern w:val="0"/>
                <w:position w:val="9"/>
                <w:sz w:val="16"/>
                <w:szCs w:val="16"/>
              </w:rPr>
              <w:t>2</w:t>
            </w:r>
            <w:r>
              <w:rPr>
                <w:rFonts w:cs="宋体"/>
                <w:kern w:val="0"/>
                <w:sz w:val="24"/>
              </w:rPr>
              <w:t>。</w:t>
            </w:r>
            <w:r>
              <w:rPr>
                <w:rFonts w:hint="eastAsia" w:cs="宋体"/>
                <w:kern w:val="0"/>
                <w:sz w:val="24"/>
              </w:rPr>
              <w:t>永久占地为风机机组及箱变基础占地，</w:t>
            </w:r>
            <w:r>
              <w:rPr>
                <w:kern w:val="0"/>
                <w:sz w:val="24"/>
              </w:rPr>
              <w:t>工程</w:t>
            </w:r>
            <w:r>
              <w:rPr>
                <w:rFonts w:cs="宋体"/>
                <w:kern w:val="0"/>
                <w:sz w:val="24"/>
              </w:rPr>
              <w:t>临时用</w:t>
            </w:r>
            <w:r>
              <w:rPr>
                <w:kern w:val="0"/>
                <w:sz w:val="24"/>
              </w:rPr>
              <w:t>地</w:t>
            </w:r>
            <w:r>
              <w:rPr>
                <w:rFonts w:cs="宋体"/>
                <w:kern w:val="0"/>
                <w:sz w:val="24"/>
              </w:rPr>
              <w:t>约</w:t>
            </w:r>
            <w:r>
              <w:rPr>
                <w:rFonts w:hint="eastAsia"/>
                <w:kern w:val="0"/>
                <w:sz w:val="24"/>
              </w:rPr>
              <w:t>34244</w:t>
            </w:r>
            <w:r>
              <w:rPr>
                <w:rFonts w:eastAsia="Times New Roman"/>
                <w:kern w:val="0"/>
                <w:sz w:val="24"/>
              </w:rPr>
              <w:t>m</w:t>
            </w:r>
            <w:r>
              <w:rPr>
                <w:rFonts w:eastAsia="Times New Roman"/>
                <w:spacing w:val="1"/>
                <w:kern w:val="0"/>
                <w:position w:val="9"/>
                <w:sz w:val="16"/>
                <w:szCs w:val="16"/>
              </w:rPr>
              <w:t>2</w:t>
            </w:r>
            <w:r>
              <w:rPr>
                <w:rFonts w:cs="宋体"/>
                <w:spacing w:val="-5"/>
                <w:kern w:val="0"/>
                <w:sz w:val="24"/>
              </w:rPr>
              <w:t>，</w:t>
            </w:r>
            <w:r>
              <w:rPr>
                <w:rFonts w:cs="宋体"/>
                <w:kern w:val="0"/>
                <w:sz w:val="24"/>
              </w:rPr>
              <w:t>其</w:t>
            </w:r>
            <w:r>
              <w:rPr>
                <w:spacing w:val="-3"/>
                <w:kern w:val="0"/>
                <w:sz w:val="24"/>
              </w:rPr>
              <w:t>中</w:t>
            </w:r>
            <w:r>
              <w:rPr>
                <w:rFonts w:cs="宋体"/>
                <w:spacing w:val="-5"/>
                <w:kern w:val="0"/>
                <w:sz w:val="24"/>
              </w:rPr>
              <w:t>：</w:t>
            </w:r>
            <w:r>
              <w:rPr>
                <w:kern w:val="0"/>
                <w:sz w:val="24"/>
              </w:rPr>
              <w:t>施工安</w:t>
            </w:r>
            <w:r>
              <w:rPr>
                <w:rFonts w:cs="宋体"/>
                <w:spacing w:val="-3"/>
                <w:kern w:val="0"/>
                <w:sz w:val="24"/>
              </w:rPr>
              <w:t>装</w:t>
            </w:r>
            <w:r>
              <w:rPr>
                <w:rFonts w:cs="宋体"/>
                <w:kern w:val="0"/>
                <w:sz w:val="24"/>
              </w:rPr>
              <w:t>场</w:t>
            </w:r>
            <w:r>
              <w:rPr>
                <w:kern w:val="0"/>
                <w:sz w:val="24"/>
              </w:rPr>
              <w:t>地</w:t>
            </w:r>
            <w:r>
              <w:rPr>
                <w:rFonts w:eastAsia="Times New Roman"/>
                <w:kern w:val="0"/>
                <w:sz w:val="24"/>
              </w:rPr>
              <w:t>3</w:t>
            </w:r>
            <w:r>
              <w:rPr>
                <w:rFonts w:cs="宋体"/>
                <w:kern w:val="0"/>
                <w:sz w:val="24"/>
              </w:rPr>
              <w:t>个</w:t>
            </w:r>
            <w:r>
              <w:rPr>
                <w:rFonts w:cs="宋体"/>
                <w:spacing w:val="-5"/>
                <w:kern w:val="0"/>
                <w:sz w:val="24"/>
              </w:rPr>
              <w:t>，</w:t>
            </w:r>
            <w:r>
              <w:rPr>
                <w:rFonts w:cs="宋体"/>
                <w:kern w:val="0"/>
                <w:sz w:val="24"/>
              </w:rPr>
              <w:t>按单个面积</w:t>
            </w:r>
            <w:r>
              <w:rPr>
                <w:rFonts w:eastAsia="Times New Roman"/>
                <w:kern w:val="0"/>
                <w:sz w:val="24"/>
              </w:rPr>
              <w:t>40m</w:t>
            </w:r>
            <w:r>
              <w:rPr>
                <w:rFonts w:cs="宋体"/>
                <w:kern w:val="0"/>
                <w:sz w:val="24"/>
              </w:rPr>
              <w:t>×</w:t>
            </w:r>
            <w:r>
              <w:rPr>
                <w:rFonts w:eastAsia="Times New Roman"/>
                <w:kern w:val="0"/>
                <w:sz w:val="24"/>
              </w:rPr>
              <w:t>50m</w:t>
            </w:r>
            <w:r>
              <w:rPr>
                <w:kern w:val="0"/>
                <w:sz w:val="24"/>
              </w:rPr>
              <w:t>计算</w:t>
            </w:r>
            <w:r>
              <w:rPr>
                <w:rFonts w:cs="宋体"/>
                <w:kern w:val="0"/>
                <w:sz w:val="24"/>
              </w:rPr>
              <w:t>用</w:t>
            </w:r>
            <w:r>
              <w:rPr>
                <w:kern w:val="0"/>
                <w:sz w:val="24"/>
              </w:rPr>
              <w:t>地</w:t>
            </w:r>
            <w:r>
              <w:rPr>
                <w:rFonts w:hint="eastAsia"/>
                <w:kern w:val="0"/>
                <w:sz w:val="24"/>
              </w:rPr>
              <w:t>6000</w:t>
            </w:r>
            <w:r>
              <w:rPr>
                <w:rFonts w:eastAsia="Times New Roman"/>
                <w:kern w:val="0"/>
                <w:sz w:val="24"/>
              </w:rPr>
              <w:t>m</w:t>
            </w:r>
            <w:r>
              <w:rPr>
                <w:rFonts w:eastAsia="Times New Roman"/>
                <w:spacing w:val="1"/>
                <w:kern w:val="0"/>
                <w:position w:val="9"/>
                <w:sz w:val="16"/>
                <w:szCs w:val="16"/>
              </w:rPr>
              <w:t>2</w:t>
            </w:r>
            <w:r>
              <w:rPr>
                <w:rFonts w:cs="宋体"/>
                <w:spacing w:val="-44"/>
                <w:kern w:val="0"/>
                <w:sz w:val="24"/>
              </w:rPr>
              <w:t>，</w:t>
            </w:r>
            <w:r>
              <w:rPr>
                <w:rFonts w:cs="宋体"/>
                <w:kern w:val="0"/>
                <w:sz w:val="24"/>
              </w:rPr>
              <w:t>扣</w:t>
            </w:r>
            <w:r>
              <w:rPr>
                <w:rFonts w:cs="宋体"/>
                <w:spacing w:val="-3"/>
                <w:kern w:val="0"/>
                <w:sz w:val="24"/>
              </w:rPr>
              <w:t>除</w:t>
            </w:r>
            <w:r>
              <w:rPr>
                <w:rFonts w:cs="宋体"/>
                <w:kern w:val="0"/>
                <w:sz w:val="24"/>
              </w:rPr>
              <w:t>基础永久用</w:t>
            </w:r>
            <w:r>
              <w:rPr>
                <w:kern w:val="0"/>
                <w:sz w:val="24"/>
              </w:rPr>
              <w:t>地</w:t>
            </w:r>
            <w:r>
              <w:rPr>
                <w:rFonts w:cs="宋体"/>
                <w:kern w:val="0"/>
                <w:sz w:val="24"/>
              </w:rPr>
              <w:t>后临时用</w:t>
            </w:r>
            <w:r>
              <w:rPr>
                <w:kern w:val="0"/>
                <w:sz w:val="24"/>
              </w:rPr>
              <w:t>地</w:t>
            </w:r>
            <w:r>
              <w:rPr>
                <w:rFonts w:hint="eastAsia"/>
                <w:kern w:val="0"/>
                <w:sz w:val="24"/>
              </w:rPr>
              <w:t>1056</w:t>
            </w:r>
            <w:r>
              <w:rPr>
                <w:rFonts w:eastAsia="Times New Roman"/>
                <w:kern w:val="0"/>
                <w:sz w:val="24"/>
              </w:rPr>
              <w:t>m</w:t>
            </w:r>
            <w:r>
              <w:rPr>
                <w:rFonts w:eastAsia="Times New Roman"/>
                <w:spacing w:val="1"/>
                <w:kern w:val="0"/>
                <w:position w:val="9"/>
                <w:sz w:val="16"/>
                <w:szCs w:val="16"/>
              </w:rPr>
              <w:t>2</w:t>
            </w:r>
            <w:r>
              <w:rPr>
                <w:rFonts w:cs="宋体"/>
                <w:spacing w:val="-44"/>
                <w:kern w:val="0"/>
                <w:sz w:val="24"/>
              </w:rPr>
              <w:t>；</w:t>
            </w:r>
            <w:r>
              <w:rPr>
                <w:kern w:val="0"/>
                <w:sz w:val="24"/>
              </w:rPr>
              <w:t>施工</w:t>
            </w:r>
            <w:r>
              <w:rPr>
                <w:rFonts w:cs="宋体"/>
                <w:spacing w:val="-3"/>
                <w:kern w:val="0"/>
                <w:sz w:val="24"/>
              </w:rPr>
              <w:t>仓</w:t>
            </w:r>
            <w:r>
              <w:rPr>
                <w:rFonts w:cs="宋体"/>
                <w:kern w:val="0"/>
                <w:sz w:val="24"/>
              </w:rPr>
              <w:t>库</w:t>
            </w:r>
            <w:r>
              <w:rPr>
                <w:kern w:val="0"/>
                <w:sz w:val="24"/>
              </w:rPr>
              <w:t>和</w:t>
            </w:r>
            <w:r>
              <w:rPr>
                <w:rFonts w:cs="宋体"/>
                <w:kern w:val="0"/>
                <w:sz w:val="24"/>
              </w:rPr>
              <w:t>辅助加</w:t>
            </w:r>
            <w:r>
              <w:rPr>
                <w:kern w:val="0"/>
                <w:sz w:val="24"/>
              </w:rPr>
              <w:t>工</w:t>
            </w:r>
            <w:r>
              <w:rPr>
                <w:rFonts w:cs="宋体"/>
                <w:kern w:val="0"/>
                <w:sz w:val="24"/>
              </w:rPr>
              <w:t>厂</w:t>
            </w:r>
            <w:r>
              <w:rPr>
                <w:kern w:val="0"/>
                <w:sz w:val="24"/>
              </w:rPr>
              <w:t>、</w:t>
            </w:r>
            <w:r>
              <w:rPr>
                <w:rFonts w:cs="宋体"/>
                <w:kern w:val="0"/>
                <w:sz w:val="24"/>
              </w:rPr>
              <w:t>材料</w:t>
            </w:r>
            <w:r>
              <w:rPr>
                <w:kern w:val="0"/>
                <w:sz w:val="24"/>
              </w:rPr>
              <w:t>设</w:t>
            </w:r>
            <w:r>
              <w:rPr>
                <w:rFonts w:cs="宋体"/>
                <w:kern w:val="0"/>
                <w:sz w:val="24"/>
              </w:rPr>
              <w:t>备仓库</w:t>
            </w:r>
            <w:r>
              <w:rPr>
                <w:kern w:val="0"/>
                <w:sz w:val="24"/>
              </w:rPr>
              <w:t>、</w:t>
            </w:r>
            <w:r>
              <w:rPr>
                <w:rFonts w:cs="宋体"/>
                <w:kern w:val="0"/>
                <w:sz w:val="24"/>
              </w:rPr>
              <w:t>临时房屋等用</w:t>
            </w:r>
            <w:r>
              <w:rPr>
                <w:kern w:val="0"/>
                <w:sz w:val="24"/>
              </w:rPr>
              <w:t>地</w:t>
            </w:r>
            <w:r>
              <w:rPr>
                <w:rFonts w:hint="eastAsia"/>
                <w:kern w:val="0"/>
                <w:sz w:val="24"/>
              </w:rPr>
              <w:t>6300</w:t>
            </w:r>
            <w:r>
              <w:rPr>
                <w:rFonts w:eastAsia="Times New Roman"/>
                <w:kern w:val="0"/>
                <w:sz w:val="24"/>
              </w:rPr>
              <w:t>m</w:t>
            </w:r>
            <w:r>
              <w:rPr>
                <w:rFonts w:eastAsia="Times New Roman"/>
                <w:spacing w:val="1"/>
                <w:kern w:val="0"/>
                <w:position w:val="9"/>
                <w:sz w:val="16"/>
                <w:szCs w:val="16"/>
              </w:rPr>
              <w:t>2</w:t>
            </w:r>
            <w:r>
              <w:rPr>
                <w:rFonts w:cs="宋体"/>
                <w:kern w:val="0"/>
                <w:sz w:val="24"/>
              </w:rPr>
              <w:t>；</w:t>
            </w:r>
            <w:r>
              <w:rPr>
                <w:rFonts w:cs="宋体"/>
                <w:spacing w:val="-3"/>
                <w:kern w:val="0"/>
                <w:sz w:val="24"/>
              </w:rPr>
              <w:t>架</w:t>
            </w:r>
            <w:r>
              <w:rPr>
                <w:rFonts w:cs="宋体"/>
                <w:kern w:val="0"/>
                <w:sz w:val="24"/>
              </w:rPr>
              <w:t>空线路杆塔基础用</w:t>
            </w:r>
            <w:r>
              <w:rPr>
                <w:kern w:val="0"/>
                <w:sz w:val="24"/>
              </w:rPr>
              <w:t>地</w:t>
            </w:r>
            <w:r>
              <w:rPr>
                <w:rFonts w:cs="宋体"/>
                <w:kern w:val="0"/>
                <w:sz w:val="24"/>
              </w:rPr>
              <w:t>面积</w:t>
            </w:r>
            <w:r>
              <w:rPr>
                <w:rFonts w:hint="eastAsia"/>
                <w:kern w:val="0"/>
                <w:sz w:val="24"/>
              </w:rPr>
              <w:t>2100</w:t>
            </w:r>
            <w:r>
              <w:rPr>
                <w:rFonts w:eastAsia="Times New Roman"/>
                <w:kern w:val="0"/>
                <w:sz w:val="24"/>
              </w:rPr>
              <w:t>m</w:t>
            </w:r>
            <w:r>
              <w:rPr>
                <w:rFonts w:eastAsia="Times New Roman"/>
                <w:spacing w:val="1"/>
                <w:kern w:val="0"/>
                <w:position w:val="9"/>
                <w:sz w:val="16"/>
                <w:szCs w:val="16"/>
              </w:rPr>
              <w:t>2</w:t>
            </w:r>
            <w:r>
              <w:rPr>
                <w:rFonts w:cs="宋体"/>
                <w:kern w:val="0"/>
                <w:sz w:val="24"/>
              </w:rPr>
              <w:t>；场内</w:t>
            </w:r>
            <w:r>
              <w:rPr>
                <w:kern w:val="0"/>
                <w:sz w:val="24"/>
              </w:rPr>
              <w:t>施工</w:t>
            </w:r>
            <w:r>
              <w:rPr>
                <w:rFonts w:hint="eastAsia"/>
                <w:kern w:val="0"/>
                <w:sz w:val="24"/>
              </w:rPr>
              <w:t>及检修</w:t>
            </w:r>
            <w:r>
              <w:rPr>
                <w:rFonts w:cs="宋体"/>
                <w:kern w:val="0"/>
                <w:sz w:val="24"/>
              </w:rPr>
              <w:t>道路临时用</w:t>
            </w:r>
            <w:r>
              <w:rPr>
                <w:kern w:val="0"/>
                <w:sz w:val="24"/>
              </w:rPr>
              <w:t>地</w:t>
            </w:r>
            <w:r>
              <w:rPr>
                <w:rFonts w:hint="eastAsia" w:cs="宋体"/>
                <w:kern w:val="0"/>
                <w:sz w:val="24"/>
              </w:rPr>
              <w:t>22000</w:t>
            </w:r>
            <w:r>
              <w:rPr>
                <w:rFonts w:eastAsia="Times New Roman"/>
                <w:kern w:val="0"/>
                <w:sz w:val="24"/>
              </w:rPr>
              <w:t>m</w:t>
            </w:r>
            <w:r>
              <w:rPr>
                <w:rFonts w:eastAsia="Times New Roman"/>
                <w:spacing w:val="-2"/>
                <w:kern w:val="0"/>
                <w:position w:val="9"/>
                <w:sz w:val="16"/>
                <w:szCs w:val="16"/>
              </w:rPr>
              <w:t>2</w:t>
            </w:r>
            <w:r>
              <w:rPr>
                <w:rFonts w:hint="eastAsia" w:cs="宋体"/>
                <w:kern w:val="0"/>
                <w:sz w:val="24"/>
              </w:rPr>
              <w:t>，其中包括集电线路架空的3个铁塔占地157.5m</w:t>
            </w:r>
            <w:r>
              <w:rPr>
                <w:rFonts w:hint="eastAsia" w:cs="宋体"/>
                <w:kern w:val="0"/>
                <w:sz w:val="24"/>
                <w:vertAlign w:val="superscript"/>
              </w:rPr>
              <w:t>2</w:t>
            </w:r>
            <w:r>
              <w:rPr>
                <w:rFonts w:hint="eastAsia" w:cs="宋体"/>
                <w:kern w:val="0"/>
                <w:sz w:val="24"/>
              </w:rPr>
              <w:t>。</w:t>
            </w:r>
          </w:p>
          <w:p>
            <w:pPr>
              <w:pStyle w:val="29"/>
              <w:adjustRightInd w:val="0"/>
              <w:snapToGrid w:val="0"/>
              <w:spacing w:before="0" w:beforeAutospacing="0" w:after="0" w:afterAutospacing="0" w:line="420" w:lineRule="exact"/>
              <w:ind w:firstLine="480" w:firstLineChars="200"/>
              <w:jc w:val="center"/>
              <w:rPr>
                <w:rFonts w:ascii="Times New Roman" w:hAnsi="Times New Roman" w:cs="Times New Roman"/>
              </w:rPr>
            </w:pPr>
            <w:r>
              <w:rPr>
                <w:rFonts w:hint="eastAsia" w:ascii="Times New Roman" w:hAnsi="Times New Roman" w:cs="Times New Roman"/>
              </w:rPr>
              <w:t>表5  风电场占地面积汇总表</w:t>
            </w:r>
          </w:p>
          <w:tbl>
            <w:tblPr>
              <w:tblW w:w="82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left w:w="0" w:type="dxa"/>
                <w:right w:w="0" w:type="dxa"/>
              </w:tblCellMar>
            </w:tblPr>
            <w:tblGrid>
              <w:gridCol w:w="699"/>
              <w:gridCol w:w="2043"/>
              <w:gridCol w:w="1076"/>
              <w:gridCol w:w="2551"/>
              <w:gridCol w:w="1917"/>
            </w:tblGrid>
            <w:tr>
              <w:trPr>
                <w:trHeight w:val="251" w:hRule="atLeast"/>
                <w:jc w:val="center"/>
              </w:trPr>
              <w:tc>
                <w:tcPr>
                  <w:tcW w:w="699"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bookmarkStart w:id="2" w:name="_Hlk276028617"/>
                  <w:r>
                    <w:rPr>
                      <w:rFonts w:ascii="Times New Roman" w:hAnsi="Times New Roman" w:eastAsia="宋体"/>
                      <w:color w:val="auto"/>
                    </w:rPr>
                    <w:t>项目</w:t>
                  </w:r>
                </w:p>
              </w:tc>
              <w:tc>
                <w:tcPr>
                  <w:tcW w:w="2043"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ascii="Times New Roman" w:hAnsi="Times New Roman" w:eastAsia="宋体"/>
                      <w:color w:val="auto"/>
                    </w:rPr>
                    <w:t>占地内容</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ascii="Times New Roman" w:hAnsi="Times New Roman" w:eastAsia="宋体"/>
                      <w:color w:val="auto"/>
                    </w:rPr>
                    <w:t>面积（</w:t>
                  </w:r>
                  <w:bookmarkStart w:id="3" w:name="OLE_LINK10"/>
                  <w:bookmarkStart w:id="4" w:name="OLE_LINK9"/>
                  <w:r>
                    <w:rPr>
                      <w:rFonts w:ascii="Times New Roman" w:hAnsi="Times New Roman" w:eastAsia="宋体"/>
                      <w:color w:val="auto"/>
                    </w:rPr>
                    <w:t>m</w:t>
                  </w:r>
                  <w:r>
                    <w:rPr>
                      <w:rFonts w:ascii="Times New Roman" w:hAnsi="Times New Roman" w:eastAsia="宋体"/>
                      <w:color w:val="auto"/>
                      <w:vertAlign w:val="superscript"/>
                    </w:rPr>
                    <w:t>2</w:t>
                  </w:r>
                  <w:bookmarkEnd w:id="3"/>
                  <w:bookmarkEnd w:id="4"/>
                  <w:r>
                    <w:rPr>
                      <w:rFonts w:ascii="Times New Roman" w:hAnsi="Times New Roman" w:eastAsia="宋体"/>
                      <w:color w:val="auto"/>
                    </w:rPr>
                    <w:t>）</w:t>
                  </w:r>
                </w:p>
              </w:tc>
              <w:tc>
                <w:tcPr>
                  <w:tcW w:w="2551" w:type="dxa"/>
                  <w:vAlign w:val="center"/>
                </w:tcPr>
                <w:p>
                  <w:pPr>
                    <w:pStyle w:val="66"/>
                    <w:snapToGrid w:val="0"/>
                    <w:spacing w:line="360" w:lineRule="exact"/>
                    <w:textAlignment w:val="center"/>
                    <w:rPr>
                      <w:rFonts w:ascii="Times New Roman" w:hAnsi="Times New Roman" w:eastAsia="宋体"/>
                      <w:color w:val="auto"/>
                    </w:rPr>
                  </w:pPr>
                  <w:r>
                    <w:rPr>
                      <w:rFonts w:ascii="Times New Roman" w:hAnsi="Times New Roman" w:eastAsia="宋体"/>
                      <w:color w:val="auto"/>
                    </w:rPr>
                    <w:t>土地</w:t>
                  </w:r>
                  <w:r>
                    <w:rPr>
                      <w:rFonts w:hint="eastAsia" w:ascii="Times New Roman" w:hAnsi="Times New Roman" w:eastAsia="宋体"/>
                      <w:color w:val="auto"/>
                    </w:rPr>
                    <w:t>类型</w:t>
                  </w:r>
                  <w:r>
                    <w:rPr>
                      <w:rFonts w:ascii="Times New Roman" w:hAnsi="Times New Roman" w:eastAsia="宋体"/>
                      <w:color w:val="auto"/>
                    </w:rPr>
                    <w:t>及面积</w:t>
                  </w:r>
                </w:p>
              </w:tc>
              <w:tc>
                <w:tcPr>
                  <w:tcW w:w="1917" w:type="dxa"/>
                  <w:vAlign w:val="center"/>
                </w:tcPr>
                <w:p>
                  <w:pPr>
                    <w:pStyle w:val="66"/>
                    <w:snapToGrid w:val="0"/>
                    <w:spacing w:line="360" w:lineRule="exact"/>
                    <w:textAlignment w:val="center"/>
                    <w:rPr>
                      <w:rFonts w:ascii="Times New Roman" w:hAnsi="Times New Roman" w:eastAsia="宋体"/>
                      <w:color w:val="auto"/>
                    </w:rPr>
                  </w:pPr>
                  <w:r>
                    <w:rPr>
                      <w:rFonts w:ascii="Times New Roman" w:hAnsi="Times New Roman" w:eastAsia="宋体"/>
                      <w:color w:val="auto"/>
                    </w:rPr>
                    <w:t>备注</w:t>
                  </w:r>
                </w:p>
              </w:tc>
            </w:tr>
            <w:tr>
              <w:trPr>
                <w:trHeight w:val="251" w:hRule="atLeast"/>
                <w:jc w:val="center"/>
              </w:trPr>
              <w:tc>
                <w:tcPr>
                  <w:tcW w:w="8286" w:type="dxa"/>
                  <w:gridSpan w:val="5"/>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永久占地</w:t>
                  </w:r>
                </w:p>
              </w:tc>
            </w:tr>
            <w:bookmarkEnd w:id="2"/>
            <w:tr>
              <w:trPr>
                <w:trHeight w:val="225" w:hRule="atLeast"/>
                <w:jc w:val="center"/>
              </w:trPr>
              <w:tc>
                <w:tcPr>
                  <w:tcW w:w="699"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bookmarkStart w:id="5" w:name="OLE_LINK14" w:colFirst="0" w:colLast="2"/>
                  <w:bookmarkStart w:id="6" w:name="OLE_LINK13" w:colFirst="0" w:colLast="2"/>
                  <w:bookmarkStart w:id="7" w:name="_Hlk364677541"/>
                  <w:r>
                    <w:rPr>
                      <w:rFonts w:ascii="Times New Roman" w:hAnsi="Times New Roman" w:eastAsia="宋体"/>
                      <w:color w:val="auto"/>
                    </w:rPr>
                    <w:t>1</w:t>
                  </w:r>
                </w:p>
              </w:tc>
              <w:tc>
                <w:tcPr>
                  <w:tcW w:w="2043"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ascii="Times New Roman" w:hAnsi="Times New Roman" w:eastAsia="宋体"/>
                      <w:color w:val="auto"/>
                    </w:rPr>
                    <w:t>风机机组及箱变基础</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1056</w:t>
                  </w:r>
                </w:p>
              </w:tc>
              <w:tc>
                <w:tcPr>
                  <w:tcW w:w="2551" w:type="dxa"/>
                  <w:vAlign w:val="center"/>
                </w:tcPr>
                <w:p>
                  <w:pPr>
                    <w:pStyle w:val="66"/>
                    <w:snapToGrid w:val="0"/>
                    <w:spacing w:line="360" w:lineRule="exact"/>
                    <w:textAlignment w:val="center"/>
                    <w:rPr>
                      <w:rFonts w:ascii="Times New Roman" w:hAnsi="Times New Roman" w:eastAsia="宋体"/>
                      <w:color w:val="auto"/>
                      <w:vertAlign w:val="superscript"/>
                    </w:rPr>
                  </w:pPr>
                  <w:r>
                    <w:rPr>
                      <w:rFonts w:hint="eastAsia" w:ascii="Times New Roman" w:hAnsi="Times New Roman" w:eastAsia="宋体"/>
                      <w:color w:val="auto"/>
                    </w:rPr>
                    <w:t>草地1056m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风机</w:t>
                  </w:r>
                  <w:r>
                    <w:rPr>
                      <w:rFonts w:ascii="Times New Roman" w:hAnsi="Times New Roman" w:eastAsia="宋体"/>
                      <w:color w:val="auto"/>
                    </w:rPr>
                    <w:t>及箱变按照</w:t>
                  </w:r>
                  <w:r>
                    <w:rPr>
                      <w:rFonts w:hint="eastAsia" w:ascii="Times New Roman" w:hAnsi="Times New Roman" w:eastAsia="宋体"/>
                      <w:color w:val="auto"/>
                    </w:rPr>
                    <w:t>352m</w:t>
                  </w:r>
                  <w:r>
                    <w:rPr>
                      <w:rFonts w:hint="eastAsia" w:ascii="Times New Roman" w:hAnsi="Times New Roman" w:eastAsia="宋体"/>
                      <w:color w:val="auto"/>
                      <w:vertAlign w:val="superscript"/>
                    </w:rPr>
                    <w:t>2</w:t>
                  </w:r>
                  <w:r>
                    <w:rPr>
                      <w:rFonts w:hint="eastAsia" w:ascii="Times New Roman" w:hAnsi="Times New Roman" w:eastAsia="宋体"/>
                      <w:color w:val="auto"/>
                    </w:rPr>
                    <w:t>计，</w:t>
                  </w:r>
                  <w:r>
                    <w:rPr>
                      <w:rFonts w:ascii="Times New Roman" w:hAnsi="Times New Roman" w:eastAsia="宋体"/>
                      <w:color w:val="auto"/>
                    </w:rPr>
                    <w:t>共</w:t>
                  </w:r>
                  <w:r>
                    <w:rPr>
                      <w:rFonts w:hint="eastAsia" w:ascii="Times New Roman" w:hAnsi="Times New Roman" w:eastAsia="宋体"/>
                      <w:color w:val="auto"/>
                    </w:rPr>
                    <w:t>3</w:t>
                  </w:r>
                  <w:r>
                    <w:rPr>
                      <w:rFonts w:ascii="Times New Roman" w:hAnsi="Times New Roman" w:eastAsia="宋体"/>
                      <w:color w:val="auto"/>
                    </w:rPr>
                    <w:t>台</w:t>
                  </w:r>
                </w:p>
              </w:tc>
            </w:tr>
            <w:tr>
              <w:trPr>
                <w:trHeight w:val="264" w:hRule="atLeast"/>
                <w:jc w:val="center"/>
              </w:trPr>
              <w:tc>
                <w:tcPr>
                  <w:tcW w:w="2742" w:type="dxa"/>
                  <w:gridSpan w:val="2"/>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小计</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1056</w:t>
                  </w:r>
                </w:p>
              </w:tc>
              <w:tc>
                <w:tcPr>
                  <w:tcW w:w="2551"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草地1056m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r>
                    <w:rPr>
                      <w:rFonts w:ascii="Times New Roman" w:hAnsi="Times New Roman" w:eastAsia="宋体"/>
                      <w:color w:val="auto"/>
                    </w:rPr>
                    <w:t>——</w:t>
                  </w:r>
                </w:p>
              </w:tc>
            </w:tr>
            <w:tr>
              <w:trPr>
                <w:trHeight w:val="264" w:hRule="atLeast"/>
                <w:jc w:val="center"/>
              </w:trPr>
              <w:tc>
                <w:tcPr>
                  <w:tcW w:w="8286" w:type="dxa"/>
                  <w:gridSpan w:val="5"/>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临时占地</w:t>
                  </w:r>
                </w:p>
              </w:tc>
            </w:tr>
            <w:bookmarkEnd w:id="5"/>
            <w:bookmarkEnd w:id="6"/>
            <w:bookmarkEnd w:id="7"/>
            <w:tr>
              <w:trPr>
                <w:trHeight w:val="264" w:hRule="atLeast"/>
                <w:jc w:val="center"/>
              </w:trPr>
              <w:tc>
                <w:tcPr>
                  <w:tcW w:w="699"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1</w:t>
                  </w:r>
                </w:p>
              </w:tc>
              <w:tc>
                <w:tcPr>
                  <w:tcW w:w="2043"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吊装平台</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4944</w:t>
                  </w:r>
                </w:p>
              </w:tc>
              <w:tc>
                <w:tcPr>
                  <w:tcW w:w="2551"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草地4944m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单机</w:t>
                  </w:r>
                  <w:r>
                    <w:rPr>
                      <w:rFonts w:ascii="Times New Roman" w:hAnsi="Times New Roman" w:eastAsia="宋体"/>
                      <w:color w:val="auto"/>
                    </w:rPr>
                    <w:t>（40m×50m-</w:t>
                  </w:r>
                  <w:r>
                    <w:rPr>
                      <w:rFonts w:hint="eastAsia" w:ascii="Times New Roman" w:hAnsi="Times New Roman" w:eastAsia="宋体"/>
                      <w:color w:val="auto"/>
                    </w:rPr>
                    <w:t>352</w:t>
                  </w:r>
                  <w:r>
                    <w:rPr>
                      <w:rFonts w:ascii="Times New Roman" w:hAnsi="Times New Roman" w:eastAsia="宋体"/>
                      <w:b/>
                      <w:bCs/>
                      <w:color w:val="auto"/>
                    </w:rPr>
                    <w:t xml:space="preserve"> </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ascii="Times New Roman" w:hAnsi="Times New Roman" w:eastAsia="宋体"/>
                      <w:color w:val="auto"/>
                    </w:rPr>
                    <w:t>）</w:t>
                  </w:r>
                </w:p>
              </w:tc>
            </w:tr>
            <w:tr>
              <w:trPr>
                <w:trHeight w:val="264" w:hRule="atLeast"/>
                <w:jc w:val="center"/>
              </w:trPr>
              <w:tc>
                <w:tcPr>
                  <w:tcW w:w="699"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2</w:t>
                  </w:r>
                </w:p>
              </w:tc>
              <w:tc>
                <w:tcPr>
                  <w:tcW w:w="2043"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施工及检修道路</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22000</w:t>
                  </w:r>
                </w:p>
              </w:tc>
              <w:tc>
                <w:tcPr>
                  <w:tcW w:w="2551"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林地11682m</w:t>
                  </w:r>
                  <w:r>
                    <w:rPr>
                      <w:rFonts w:hint="eastAsia" w:ascii="Times New Roman" w:hAnsi="Times New Roman" w:eastAsia="宋体"/>
                      <w:color w:val="auto"/>
                      <w:vertAlign w:val="superscript"/>
                    </w:rPr>
                    <w:t>2</w:t>
                  </w:r>
                  <w:r>
                    <w:rPr>
                      <w:rFonts w:hint="eastAsia" w:ascii="Times New Roman" w:hAnsi="Times New Roman" w:eastAsia="宋体"/>
                      <w:color w:val="auto"/>
                    </w:rPr>
                    <w:t>（其中针叶林10303m</w:t>
                  </w:r>
                  <w:r>
                    <w:rPr>
                      <w:rFonts w:hint="eastAsia" w:ascii="Times New Roman" w:hAnsi="Times New Roman" w:eastAsia="宋体"/>
                      <w:color w:val="auto"/>
                      <w:vertAlign w:val="superscript"/>
                    </w:rPr>
                    <w:t>2</w:t>
                  </w:r>
                  <w:r>
                    <w:rPr>
                      <w:rFonts w:hint="eastAsia" w:ascii="Times New Roman" w:hAnsi="Times New Roman" w:eastAsia="宋体"/>
                      <w:color w:val="auto"/>
                    </w:rPr>
                    <w:t>，灌木林1379m</w:t>
                  </w:r>
                  <w:r>
                    <w:rPr>
                      <w:rFonts w:hint="eastAsia" w:ascii="Times New Roman" w:hAnsi="Times New Roman" w:eastAsia="宋体"/>
                      <w:color w:val="auto"/>
                      <w:vertAlign w:val="superscript"/>
                    </w:rPr>
                    <w:t>2</w:t>
                  </w:r>
                  <w:r>
                    <w:rPr>
                      <w:rFonts w:hint="eastAsia" w:ascii="Times New Roman" w:hAnsi="Times New Roman" w:eastAsia="宋体"/>
                      <w:color w:val="auto"/>
                    </w:rPr>
                    <w:t>）</w:t>
                  </w:r>
                </w:p>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草地10318m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包括施工道路占地、集电线路占地</w:t>
                  </w:r>
                </w:p>
              </w:tc>
            </w:tr>
            <w:tr>
              <w:trPr>
                <w:trHeight w:val="264" w:hRule="atLeast"/>
                <w:jc w:val="center"/>
              </w:trPr>
              <w:tc>
                <w:tcPr>
                  <w:tcW w:w="699"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3</w:t>
                  </w:r>
                </w:p>
              </w:tc>
              <w:tc>
                <w:tcPr>
                  <w:tcW w:w="2043" w:type="dxa"/>
                  <w:tcMar>
                    <w:top w:w="20" w:type="dxa"/>
                    <w:left w:w="20" w:type="dxa"/>
                    <w:bottom w:w="0" w:type="dxa"/>
                    <w:right w:w="20" w:type="dxa"/>
                  </w:tcMar>
                  <w:vAlign w:val="center"/>
                </w:tcPr>
                <w:p>
                  <w:pPr>
                    <w:pStyle w:val="66"/>
                    <w:snapToGrid w:val="0"/>
                    <w:spacing w:line="360" w:lineRule="exact"/>
                    <w:ind w:firstLine="105" w:firstLineChars="50"/>
                    <w:textAlignment w:val="center"/>
                    <w:rPr>
                      <w:rFonts w:ascii="Times New Roman" w:hAnsi="Times New Roman" w:eastAsia="宋体"/>
                      <w:color w:val="auto"/>
                    </w:rPr>
                  </w:pPr>
                  <w:r>
                    <w:rPr>
                      <w:rFonts w:hint="eastAsia" w:ascii="Times New Roman" w:hAnsi="Times New Roman" w:eastAsia="宋体"/>
                      <w:color w:val="auto"/>
                    </w:rPr>
                    <w:t>施工临时占地</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6300</w:t>
                  </w:r>
                </w:p>
              </w:tc>
              <w:tc>
                <w:tcPr>
                  <w:tcW w:w="2551" w:type="dxa"/>
                  <w:vAlign w:val="center"/>
                </w:tcPr>
                <w:p>
                  <w:pPr>
                    <w:pStyle w:val="66"/>
                    <w:snapToGrid w:val="0"/>
                    <w:spacing w:line="360" w:lineRule="exact"/>
                    <w:textAlignment w:val="center"/>
                    <w:rPr>
                      <w:rFonts w:ascii="Times New Roman" w:hAnsi="Times New Roman" w:eastAsia="宋体"/>
                      <w:color w:val="auto"/>
                      <w:vertAlign w:val="superscript"/>
                    </w:rPr>
                  </w:pPr>
                  <w:r>
                    <w:rPr>
                      <w:rFonts w:hint="eastAsia" w:ascii="Times New Roman" w:hAnsi="Times New Roman" w:eastAsia="宋体"/>
                      <w:color w:val="auto"/>
                    </w:rPr>
                    <w:t>草地6300m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p>
              </w:tc>
            </w:tr>
            <w:tr>
              <w:trPr>
                <w:trHeight w:val="264" w:hRule="atLeast"/>
                <w:jc w:val="center"/>
              </w:trPr>
              <w:tc>
                <w:tcPr>
                  <w:tcW w:w="2742" w:type="dxa"/>
                  <w:gridSpan w:val="2"/>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小计</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34244</w:t>
                  </w:r>
                </w:p>
              </w:tc>
              <w:tc>
                <w:tcPr>
                  <w:tcW w:w="2551" w:type="dxa"/>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林地11682m</w:t>
                  </w:r>
                  <w:r>
                    <w:rPr>
                      <w:rFonts w:hint="eastAsia" w:ascii="Times New Roman" w:hAnsi="Times New Roman" w:eastAsia="宋体"/>
                      <w:color w:val="auto"/>
                      <w:vertAlign w:val="superscript"/>
                    </w:rPr>
                    <w:t>2</w:t>
                  </w:r>
                  <w:r>
                    <w:rPr>
                      <w:rFonts w:hint="eastAsia" w:ascii="Times New Roman" w:hAnsi="Times New Roman" w:eastAsia="宋体"/>
                      <w:color w:val="auto"/>
                    </w:rPr>
                    <w:t>（其中针叶林10303m</w:t>
                  </w:r>
                  <w:r>
                    <w:rPr>
                      <w:rFonts w:hint="eastAsia" w:ascii="Times New Roman" w:hAnsi="Times New Roman" w:eastAsia="宋体"/>
                      <w:color w:val="auto"/>
                      <w:vertAlign w:val="superscript"/>
                    </w:rPr>
                    <w:t>2</w:t>
                  </w:r>
                  <w:r>
                    <w:rPr>
                      <w:rFonts w:hint="eastAsia" w:ascii="Times New Roman" w:hAnsi="Times New Roman" w:eastAsia="宋体"/>
                      <w:color w:val="auto"/>
                    </w:rPr>
                    <w:t>，灌木林1379m</w:t>
                  </w:r>
                  <w:r>
                    <w:rPr>
                      <w:rFonts w:hint="eastAsia" w:ascii="Times New Roman" w:hAnsi="Times New Roman" w:eastAsia="宋体"/>
                      <w:color w:val="auto"/>
                      <w:vertAlign w:val="superscript"/>
                    </w:rPr>
                    <w:t>2</w:t>
                  </w:r>
                  <w:r>
                    <w:rPr>
                      <w:rFonts w:hint="eastAsia" w:ascii="Times New Roman" w:hAnsi="Times New Roman" w:eastAsia="宋体"/>
                      <w:color w:val="auto"/>
                    </w:rPr>
                    <w:t>）</w:t>
                  </w:r>
                </w:p>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草地21562m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p>
              </w:tc>
            </w:tr>
            <w:tr>
              <w:trPr>
                <w:trHeight w:val="264" w:hRule="atLeast"/>
                <w:jc w:val="center"/>
              </w:trPr>
              <w:tc>
                <w:tcPr>
                  <w:tcW w:w="2742" w:type="dxa"/>
                  <w:gridSpan w:val="2"/>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合计</w:t>
                  </w:r>
                </w:p>
              </w:tc>
              <w:tc>
                <w:tcPr>
                  <w:tcW w:w="1076" w:type="dxa"/>
                  <w:tcMar>
                    <w:top w:w="20" w:type="dxa"/>
                    <w:left w:w="20" w:type="dxa"/>
                    <w:bottom w:w="0" w:type="dxa"/>
                    <w:right w:w="20" w:type="dxa"/>
                  </w:tcMar>
                  <w:vAlign w:val="center"/>
                </w:tcPr>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34300</w:t>
                  </w:r>
                </w:p>
              </w:tc>
              <w:tc>
                <w:tcPr>
                  <w:tcW w:w="2551" w:type="dxa"/>
                  <w:vAlign w:val="center"/>
                </w:tcPr>
                <w:p>
                  <w:pPr>
                    <w:pStyle w:val="66"/>
                    <w:snapToGrid w:val="0"/>
                    <w:spacing w:line="360" w:lineRule="exact"/>
                    <w:textAlignment w:val="center"/>
                    <w:rPr>
                      <w:rFonts w:ascii="Times New Roman" w:hAnsi="Times New Roman" w:eastAsia="宋体"/>
                      <w:color w:val="auto"/>
                      <w:vertAlign w:val="superscript"/>
                    </w:rPr>
                  </w:pPr>
                  <w:r>
                    <w:rPr>
                      <w:rFonts w:hint="eastAsia" w:ascii="Times New Roman" w:hAnsi="Times New Roman" w:eastAsia="宋体"/>
                      <w:color w:val="auto"/>
                    </w:rPr>
                    <w:t>林地11682m</w:t>
                  </w:r>
                  <w:r>
                    <w:rPr>
                      <w:rFonts w:hint="eastAsia" w:ascii="Times New Roman" w:hAnsi="Times New Roman" w:eastAsia="宋体"/>
                      <w:color w:val="auto"/>
                      <w:vertAlign w:val="superscript"/>
                    </w:rPr>
                    <w:t>2</w:t>
                  </w:r>
                </w:p>
                <w:p>
                  <w:pPr>
                    <w:pStyle w:val="66"/>
                    <w:snapToGrid w:val="0"/>
                    <w:spacing w:line="360" w:lineRule="exact"/>
                    <w:textAlignment w:val="center"/>
                    <w:rPr>
                      <w:rFonts w:ascii="Times New Roman" w:hAnsi="Times New Roman" w:eastAsia="宋体"/>
                      <w:color w:val="auto"/>
                    </w:rPr>
                  </w:pPr>
                  <w:r>
                    <w:rPr>
                      <w:rFonts w:hint="eastAsia" w:ascii="Times New Roman" w:hAnsi="Times New Roman" w:eastAsia="宋体"/>
                      <w:color w:val="auto"/>
                    </w:rPr>
                    <w:t>草地22618m</w:t>
                  </w:r>
                  <w:r>
                    <w:rPr>
                      <w:rFonts w:hint="eastAsia" w:ascii="Times New Roman" w:hAnsi="Times New Roman" w:eastAsia="宋体"/>
                      <w:color w:val="auto"/>
                      <w:vertAlign w:val="superscript"/>
                    </w:rPr>
                    <w:t>2</w:t>
                  </w:r>
                </w:p>
              </w:tc>
              <w:tc>
                <w:tcPr>
                  <w:tcW w:w="1917" w:type="dxa"/>
                  <w:vAlign w:val="center"/>
                </w:tcPr>
                <w:p>
                  <w:pPr>
                    <w:pStyle w:val="66"/>
                    <w:snapToGrid w:val="0"/>
                    <w:spacing w:line="360" w:lineRule="exact"/>
                    <w:textAlignment w:val="center"/>
                    <w:rPr>
                      <w:rFonts w:ascii="Times New Roman" w:hAnsi="Times New Roman" w:eastAsia="宋体"/>
                      <w:color w:val="auto"/>
                    </w:rPr>
                  </w:pPr>
                </w:p>
              </w:tc>
            </w:tr>
          </w:tbl>
          <w:p>
            <w:pPr>
              <w:wordWrap w:val="0"/>
              <w:autoSpaceDE w:val="0"/>
              <w:autoSpaceDN w:val="0"/>
              <w:adjustRightInd w:val="0"/>
              <w:spacing w:line="420" w:lineRule="exact"/>
              <w:ind w:firstLine="480" w:firstLineChars="200"/>
              <w:rPr>
                <w:sz w:val="24"/>
              </w:rPr>
            </w:pPr>
            <w:r>
              <w:rPr>
                <w:sz w:val="24"/>
              </w:rPr>
              <w:t>从现场踏勘结果看，</w:t>
            </w:r>
            <w:r>
              <w:rPr>
                <w:rFonts w:hint="eastAsia"/>
                <w:sz w:val="24"/>
              </w:rPr>
              <w:t>草地</w:t>
            </w:r>
            <w:r>
              <w:rPr>
                <w:sz w:val="24"/>
              </w:rPr>
              <w:t>是本风场工程占地涉及占用植被的主体，不同海拔均有分布，草种草种</w:t>
            </w:r>
            <w:r>
              <w:rPr>
                <w:rFonts w:hint="eastAsia"/>
                <w:sz w:val="24"/>
              </w:rPr>
              <w:t>多为一年、多年生禾草及蒿类草丛，包括</w:t>
            </w:r>
            <w:r>
              <w:rPr>
                <w:sz w:val="24"/>
              </w:rPr>
              <w:t>青蒿</w:t>
            </w:r>
            <w:r>
              <w:rPr>
                <w:rFonts w:hint="eastAsia"/>
                <w:sz w:val="24"/>
              </w:rPr>
              <w:t>、针茅、车前、狗尾草等</w:t>
            </w:r>
            <w:r>
              <w:rPr>
                <w:sz w:val="24"/>
              </w:rPr>
              <w:t>。其次为</w:t>
            </w:r>
            <w:r>
              <w:rPr>
                <w:rFonts w:hint="eastAsia"/>
                <w:sz w:val="24"/>
              </w:rPr>
              <w:t>针叶林地和灌木林，</w:t>
            </w:r>
            <w:r>
              <w:rPr>
                <w:sz w:val="24"/>
              </w:rPr>
              <w:t>主要分布在山脊顶部及山脊阳面</w:t>
            </w:r>
            <w:r>
              <w:rPr>
                <w:rFonts w:hint="eastAsia"/>
                <w:sz w:val="24"/>
              </w:rPr>
              <w:t>。</w:t>
            </w:r>
          </w:p>
          <w:p>
            <w:pPr>
              <w:wordWrap w:val="0"/>
              <w:autoSpaceDE w:val="0"/>
              <w:autoSpaceDN w:val="0"/>
              <w:adjustRightInd w:val="0"/>
              <w:spacing w:line="420" w:lineRule="exact"/>
              <w:ind w:firstLine="480" w:firstLineChars="200"/>
              <w:rPr>
                <w:sz w:val="24"/>
              </w:rPr>
            </w:pPr>
            <w:r>
              <w:rPr>
                <w:rFonts w:hint="eastAsia"/>
                <w:sz w:val="24"/>
              </w:rPr>
              <w:t>环评要求项目在施工过程中严格控制施工厂界，避免对针叶林的大面积破坏，同时微观选址时尽量避让林地，无法避让时进行林地补偿措施。</w:t>
            </w:r>
          </w:p>
          <w:p>
            <w:pPr>
              <w:wordWrap w:val="0"/>
              <w:snapToGrid w:val="0"/>
              <w:spacing w:line="420" w:lineRule="exact"/>
              <w:ind w:firstLine="480" w:firstLineChars="200"/>
              <w:rPr>
                <w:sz w:val="24"/>
              </w:rPr>
            </w:pPr>
            <w:r>
              <w:rPr>
                <w:sz w:val="24"/>
              </w:rPr>
              <w:t>工程永久和临时占地完全损毁了原有的植被类型，</w:t>
            </w:r>
            <w:r>
              <w:rPr>
                <w:rFonts w:hint="eastAsia"/>
                <w:sz w:val="24"/>
              </w:rPr>
              <w:t>地表</w:t>
            </w:r>
            <w:r>
              <w:rPr>
                <w:sz w:val="24"/>
              </w:rPr>
              <w:t>植物</w:t>
            </w:r>
            <w:r>
              <w:rPr>
                <w:rFonts w:hint="eastAsia"/>
                <w:sz w:val="24"/>
              </w:rPr>
              <w:t>将</w:t>
            </w:r>
            <w:r>
              <w:rPr>
                <w:sz w:val="24"/>
              </w:rPr>
              <w:t>全被清除，施工区临近区域的植被也受到一定程度的损毁。评价范围内</w:t>
            </w:r>
            <w:r>
              <w:rPr>
                <w:rFonts w:hint="eastAsia"/>
                <w:sz w:val="24"/>
              </w:rPr>
              <w:t>风机机位和吊装平台占用</w:t>
            </w:r>
            <w:r>
              <w:rPr>
                <w:sz w:val="24"/>
              </w:rPr>
              <w:t>植被以</w:t>
            </w:r>
            <w:r>
              <w:rPr>
                <w:rFonts w:hint="eastAsia"/>
                <w:sz w:val="24"/>
              </w:rPr>
              <w:t>草地</w:t>
            </w:r>
            <w:r>
              <w:rPr>
                <w:sz w:val="24"/>
              </w:rPr>
              <w:t>为主</w:t>
            </w:r>
            <w:r>
              <w:rPr>
                <w:rFonts w:hint="eastAsia"/>
                <w:sz w:val="24"/>
              </w:rPr>
              <w:t>，施工检修道路主要占用林地和草地。在施工过程中修建施工检修道路时尽量避开针叶林地，优化道路的选址选线。</w:t>
            </w:r>
            <w:r>
              <w:rPr>
                <w:sz w:val="24"/>
              </w:rPr>
              <w:t>随着项目的建成，施工临时占地</w:t>
            </w:r>
            <w:r>
              <w:rPr>
                <w:rFonts w:hint="eastAsia"/>
                <w:sz w:val="24"/>
              </w:rPr>
              <w:t>采用当地草种和树种</w:t>
            </w:r>
            <w:r>
              <w:rPr>
                <w:sz w:val="24"/>
              </w:rPr>
              <w:t>进行</w:t>
            </w:r>
            <w:r>
              <w:rPr>
                <w:rFonts w:hint="eastAsia"/>
                <w:sz w:val="24"/>
              </w:rPr>
              <w:t>植被</w:t>
            </w:r>
            <w:r>
              <w:rPr>
                <w:sz w:val="24"/>
              </w:rPr>
              <w:t>恢复，项目建设对植物种群的影响大大减轻。因此，风电场的建设对场内植物种类及分布均不会造成太大的影响，对区域植物的物种多样性的影响较小。</w:t>
            </w:r>
          </w:p>
          <w:p>
            <w:pPr>
              <w:wordWrap w:val="0"/>
              <w:snapToGrid w:val="0"/>
              <w:spacing w:line="420" w:lineRule="exact"/>
              <w:ind w:firstLine="480" w:firstLineChars="200"/>
              <w:rPr>
                <w:sz w:val="24"/>
              </w:rPr>
            </w:pPr>
            <w:r>
              <w:rPr>
                <w:rFonts w:hint="eastAsia"/>
                <w:sz w:val="24"/>
              </w:rPr>
              <w:t>本期风电场不在国家及省级自然保护区、风景名胜区以及其他需要特别保护的区域内，风场范围不是国家及省级珍惜保护动植物集中分布区域。</w:t>
            </w:r>
          </w:p>
          <w:p>
            <w:pPr>
              <w:wordWrap w:val="0"/>
              <w:snapToGrid w:val="0"/>
              <w:spacing w:line="420" w:lineRule="exact"/>
              <w:ind w:firstLine="480" w:firstLineChars="200"/>
              <w:rPr>
                <w:sz w:val="24"/>
              </w:rPr>
            </w:pPr>
            <w:r>
              <w:rPr>
                <w:rFonts w:hint="eastAsia"/>
                <w:sz w:val="24"/>
              </w:rPr>
              <w:t>2018年4月20日，山西省</w:t>
            </w:r>
            <w:r>
              <w:rPr>
                <w:rFonts w:hint="eastAsia"/>
                <w:sz w:val="24"/>
                <w:lang w:eastAsia="zh-CN"/>
              </w:rPr>
              <w:t>发展和改革委员会</w:t>
            </w:r>
            <w:r>
              <w:rPr>
                <w:rFonts w:hint="eastAsia"/>
                <w:sz w:val="24"/>
              </w:rPr>
              <w:t>以晋发改新能源发【2018】218号文发布“关于印发《山西省‘十三五’分散式风电开发建设方案》的通知”，同意项目开展前期工作。</w:t>
            </w:r>
          </w:p>
          <w:p>
            <w:pPr>
              <w:pStyle w:val="29"/>
              <w:wordWrap w:val="0"/>
              <w:snapToGrid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rPr>
              <w:t>2018年10月18日，岢岚县环境保护局以岢环办函【2018】23号“关于太原重工股份有限公司太原重工股份有限公司岢岚6MW分散式风电项目用地与各类保护区重叠情况的函”同意本项目建设。</w:t>
            </w:r>
          </w:p>
          <w:p>
            <w:pPr>
              <w:pStyle w:val="29"/>
              <w:wordWrap w:val="0"/>
              <w:snapToGrid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rPr>
              <w:t>2018年9月13日，岢岚县林业局以岢林函【2018】8号“关于岢岚分散式风电项目用地预审范围风机位置与各类保护区重叠情况复查的函”明确岢岚分散式风电项目用地预审范围风机位置与自然保护区、湿地公园、国家一级公益林、国家二级公益林、Ⅰ级保护林地、Ⅱ级保护林地、山西省永久生生态公益林没有重叠。</w:t>
            </w:r>
          </w:p>
          <w:p>
            <w:pPr>
              <w:pStyle w:val="29"/>
              <w:wordWrap w:val="0"/>
              <w:snapToGrid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rPr>
              <w:t>2018年9月12日，岢岚县住房保障和城乡建设管理局以岢建字【2018】120号以“关于太原重工股份有限公司太原重工股份有限公司岢岚6MW分散式风电项目与我县风景名胜区规划范围重叠情况的核查意见”同意本项目建设。</w:t>
            </w:r>
          </w:p>
          <w:p>
            <w:pPr>
              <w:pStyle w:val="29"/>
              <w:wordWrap w:val="0"/>
              <w:snapToGrid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rPr>
              <w:t>2018年9月12日，岢岚县文化局以岢文函【2018】41号“关于核查太原重工股份有限公司岢岚分散式风电项目用地的意见”同意该项目建设。</w:t>
            </w:r>
          </w:p>
          <w:p>
            <w:pPr>
              <w:wordWrap w:val="0"/>
              <w:autoSpaceDE w:val="0"/>
              <w:autoSpaceDN w:val="0"/>
              <w:adjustRightInd w:val="0"/>
              <w:spacing w:line="441" w:lineRule="exact"/>
              <w:ind w:left="518"/>
              <w:rPr>
                <w:rFonts w:cs="宋?"/>
                <w:b/>
                <w:kern w:val="0"/>
                <w:sz w:val="24"/>
              </w:rPr>
            </w:pPr>
            <w:r>
              <w:rPr>
                <w:rFonts w:hint="eastAsia"/>
                <w:b/>
                <w:sz w:val="24"/>
              </w:rPr>
              <w:t>（6）</w:t>
            </w:r>
            <w:r>
              <w:rPr>
                <w:rFonts w:cs="宋?"/>
                <w:b/>
                <w:kern w:val="0"/>
                <w:sz w:val="24"/>
              </w:rPr>
              <w:t>施工方案</w:t>
            </w:r>
          </w:p>
          <w:p>
            <w:pPr>
              <w:wordWrap w:val="0"/>
              <w:autoSpaceDE w:val="0"/>
              <w:autoSpaceDN w:val="0"/>
              <w:adjustRightInd w:val="0"/>
              <w:spacing w:line="420" w:lineRule="exact"/>
              <w:ind w:firstLine="480" w:firstLineChars="200"/>
              <w:rPr>
                <w:rFonts w:cs="宋?"/>
                <w:kern w:val="0"/>
                <w:sz w:val="24"/>
              </w:rPr>
            </w:pPr>
            <w:r>
              <w:rPr>
                <w:rFonts w:cs="宋?"/>
                <w:kern w:val="0"/>
                <w:sz w:val="24"/>
              </w:rPr>
              <w:t>本项目</w:t>
            </w:r>
            <w:r>
              <w:rPr>
                <w:rFonts w:hint="eastAsia" w:cs="宋?"/>
                <w:kern w:val="0"/>
                <w:sz w:val="24"/>
              </w:rPr>
              <w:t>拟设一个临时</w:t>
            </w:r>
            <w:r>
              <w:rPr>
                <w:rFonts w:cs="宋?"/>
                <w:kern w:val="0"/>
                <w:sz w:val="24"/>
              </w:rPr>
              <w:t>施工生产生活区，临时施工生产生活场地规划布置于</w:t>
            </w:r>
            <w:r>
              <w:rPr>
                <w:rFonts w:hint="eastAsia" w:cs="宋?"/>
                <w:kern w:val="0"/>
                <w:sz w:val="24"/>
              </w:rPr>
              <w:t>扩建的进场道路F03号风机吊装平台附近，施工营地包括生活区和生产区，生活区主要为施工人员提供食宿，生产区主要</w:t>
            </w:r>
            <w:r>
              <w:rPr>
                <w:rFonts w:cs="宋?"/>
                <w:kern w:val="0"/>
                <w:sz w:val="24"/>
              </w:rPr>
              <w:t>布置了砂石料堆场、综合加工厂、综合仓库及机械停放场、施工临时生产</w:t>
            </w:r>
            <w:r>
              <w:rPr>
                <w:rFonts w:hint="eastAsia" w:cs="宋?"/>
                <w:kern w:val="0"/>
                <w:sz w:val="24"/>
              </w:rPr>
              <w:t>库等。</w:t>
            </w:r>
          </w:p>
          <w:p>
            <w:pPr>
              <w:wordWrap w:val="0"/>
              <w:autoSpaceDE w:val="0"/>
              <w:autoSpaceDN w:val="0"/>
              <w:adjustRightInd w:val="0"/>
              <w:spacing w:line="420" w:lineRule="exact"/>
              <w:ind w:firstLine="480" w:firstLineChars="200"/>
              <w:rPr>
                <w:rFonts w:cs="宋?"/>
                <w:kern w:val="0"/>
                <w:sz w:val="24"/>
              </w:rPr>
            </w:pPr>
            <w:r>
              <w:rPr>
                <w:rFonts w:cs="宋?"/>
                <w:kern w:val="0"/>
                <w:sz w:val="24"/>
              </w:rPr>
              <w:t>施工用电</w:t>
            </w:r>
            <w:r>
              <w:rPr>
                <w:rFonts w:hint="eastAsia" w:cs="宋?"/>
                <w:kern w:val="0"/>
                <w:sz w:val="24"/>
              </w:rPr>
              <w:t>由</w:t>
            </w:r>
            <w:r>
              <w:rPr>
                <w:rFonts w:cs="宋?"/>
                <w:kern w:val="0"/>
                <w:sz w:val="24"/>
              </w:rPr>
              <w:t>小型柴油发电机</w:t>
            </w:r>
            <w:r>
              <w:rPr>
                <w:rFonts w:hint="eastAsia" w:cs="宋?"/>
                <w:kern w:val="0"/>
                <w:sz w:val="24"/>
              </w:rPr>
              <w:t>提供；</w:t>
            </w:r>
            <w:r>
              <w:rPr>
                <w:rFonts w:cs="宋?"/>
                <w:kern w:val="0"/>
                <w:sz w:val="24"/>
              </w:rPr>
              <w:t>现场施工用水和生活用水取水方式采取水罐车或水箱运输</w:t>
            </w:r>
            <w:r>
              <w:rPr>
                <w:rFonts w:hint="eastAsia" w:cs="宋?"/>
                <w:kern w:val="0"/>
                <w:sz w:val="24"/>
              </w:rPr>
              <w:t>；</w:t>
            </w:r>
            <w:r>
              <w:rPr>
                <w:rFonts w:cs="宋?"/>
                <w:kern w:val="0"/>
                <w:sz w:val="24"/>
              </w:rPr>
              <w:t>主要建筑物材料来源充足，砂石骨料、水泥、木材、钢材、油料等在岢岚县采购，运距约25.0km。</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施工营地平面布置图见附图3。</w:t>
            </w:r>
          </w:p>
          <w:p>
            <w:pPr>
              <w:wordWrap w:val="0"/>
              <w:autoSpaceDE w:val="0"/>
              <w:autoSpaceDN w:val="0"/>
              <w:adjustRightInd w:val="0"/>
              <w:spacing w:line="420" w:lineRule="exact"/>
              <w:ind w:firstLine="480" w:firstLineChars="200"/>
              <w:rPr>
                <w:rFonts w:cs="宋?"/>
                <w:kern w:val="0"/>
                <w:sz w:val="24"/>
              </w:rPr>
            </w:pPr>
            <w:r>
              <w:rPr>
                <w:rFonts w:cs="宋?"/>
                <w:kern w:val="0"/>
                <w:sz w:val="24"/>
              </w:rPr>
              <w:t>风电场工程施工主要包括风力发电机组基础、箱变基础的开挖和混凝土浇筑、机组设备的安装以及电气设备的安装、机组箱变的安装、线缆的安装，施工工期为4个月。风力发电机组设备的施工安装顺序为：混凝土基础现场浇注，塔筒运输到机位，吊车依次吊装塔筒、机舱和叶轮，然后安装调试。</w:t>
            </w:r>
          </w:p>
          <w:p>
            <w:pPr>
              <w:wordWrap w:val="0"/>
              <w:autoSpaceDE w:val="0"/>
              <w:autoSpaceDN w:val="0"/>
              <w:adjustRightInd w:val="0"/>
              <w:spacing w:line="441" w:lineRule="exact"/>
              <w:ind w:left="518"/>
              <w:rPr>
                <w:b/>
                <w:sz w:val="24"/>
              </w:rPr>
            </w:pPr>
            <w:r>
              <w:rPr>
                <w:rFonts w:hint="eastAsia"/>
                <w:b/>
                <w:sz w:val="24"/>
              </w:rPr>
              <w:t>（7）建设进度</w:t>
            </w:r>
          </w:p>
          <w:p>
            <w:pPr>
              <w:wordWrap w:val="0"/>
              <w:autoSpaceDE w:val="0"/>
              <w:autoSpaceDN w:val="0"/>
              <w:adjustRightInd w:val="0"/>
              <w:spacing w:line="439" w:lineRule="exact"/>
              <w:ind w:left="525"/>
              <w:rPr>
                <w:rFonts w:cs="宋?"/>
                <w:kern w:val="0"/>
                <w:sz w:val="24"/>
              </w:rPr>
            </w:pPr>
            <w:r>
              <w:rPr>
                <w:rFonts w:cs="宋?"/>
                <w:kern w:val="0"/>
                <w:sz w:val="24"/>
              </w:rPr>
              <w:t>本项目施工建设期拟定为</w:t>
            </w:r>
            <w:r>
              <w:rPr>
                <w:rFonts w:hint="eastAsia"/>
                <w:kern w:val="0"/>
                <w:sz w:val="24"/>
              </w:rPr>
              <w:t>4</w:t>
            </w:r>
            <w:r>
              <w:rPr>
                <w:rFonts w:cs="宋?"/>
                <w:kern w:val="0"/>
                <w:sz w:val="24"/>
              </w:rPr>
              <w:t>个月。</w:t>
            </w:r>
          </w:p>
          <w:p>
            <w:pPr>
              <w:pStyle w:val="29"/>
              <w:wordWrap w:val="0"/>
              <w:spacing w:beforeLines="25" w:beforeAutospacing="0" w:after="0" w:afterAutospacing="0" w:line="440" w:lineRule="exact"/>
              <w:jc w:val="both"/>
              <w:rPr>
                <w:rFonts w:ascii="Times New Roman" w:hAnsi="Times New Roman" w:cs="Times New Roman"/>
                <w:b/>
                <w:sz w:val="28"/>
                <w:szCs w:val="28"/>
              </w:rPr>
            </w:pPr>
            <w:r>
              <w:rPr>
                <w:rFonts w:hint="eastAsia" w:ascii="Times New Roman" w:hAnsi="Times New Roman" w:cs="Times New Roman"/>
                <w:b/>
                <w:sz w:val="28"/>
                <w:szCs w:val="28"/>
              </w:rPr>
              <w:t>4、技术</w:t>
            </w:r>
            <w:r>
              <w:rPr>
                <w:rFonts w:ascii="Times New Roman" w:hAnsi="Times New Roman" w:cs="Times New Roman"/>
                <w:b/>
                <w:sz w:val="28"/>
                <w:szCs w:val="28"/>
              </w:rPr>
              <w:t>经济指标</w:t>
            </w:r>
          </w:p>
          <w:p>
            <w:pPr>
              <w:pStyle w:val="29"/>
              <w:wordWrap w:val="0"/>
              <w:spacing w:before="0" w:beforeAutospacing="0" w:after="0" w:afterAutospacing="0" w:line="440" w:lineRule="exact"/>
              <w:ind w:firstLine="480" w:firstLineChars="200"/>
              <w:jc w:val="both"/>
              <w:rPr>
                <w:rFonts w:ascii="Times New Roman" w:hAnsi="Times New Roman" w:cs="Times New Roman"/>
              </w:rPr>
            </w:pPr>
            <w:r>
              <w:rPr>
                <w:rFonts w:ascii="Times New Roman" w:hAnsi="Times New Roman" w:cs="Times New Roman"/>
              </w:rPr>
              <w:t>本项目的主要</w:t>
            </w:r>
            <w:r>
              <w:rPr>
                <w:rFonts w:hint="eastAsia" w:ascii="Times New Roman" w:hAnsi="Times New Roman" w:cs="Times New Roman"/>
              </w:rPr>
              <w:t>技术</w:t>
            </w:r>
            <w:r>
              <w:rPr>
                <w:rFonts w:ascii="Times New Roman" w:hAnsi="Times New Roman" w:cs="Times New Roman"/>
              </w:rPr>
              <w:t>经济指标列于表</w:t>
            </w:r>
            <w:r>
              <w:rPr>
                <w:rFonts w:hint="eastAsia" w:ascii="Times New Roman" w:hAnsi="Times New Roman" w:cs="Times New Roman"/>
              </w:rPr>
              <w:t>6</w:t>
            </w:r>
            <w:r>
              <w:rPr>
                <w:rFonts w:ascii="Times New Roman" w:hAnsi="Times New Roman" w:cs="Times New Roman"/>
              </w:rPr>
              <w:t>。</w:t>
            </w:r>
          </w:p>
          <w:p>
            <w:pPr>
              <w:pStyle w:val="15"/>
              <w:adjustRightInd w:val="0"/>
              <w:snapToGrid w:val="0"/>
              <w:spacing w:line="440" w:lineRule="exact"/>
              <w:jc w:val="center"/>
              <w:rPr>
                <w:rFonts w:ascii="Times New Roman" w:hAnsi="Times New Roman" w:cs="宋体"/>
                <w:kern w:val="32"/>
                <w:sz w:val="24"/>
                <w:szCs w:val="24"/>
              </w:rPr>
            </w:pPr>
            <w:r>
              <w:rPr>
                <w:rFonts w:hint="eastAsia" w:ascii="Times New Roman" w:hAnsi="Times New Roman" w:cs="宋体"/>
                <w:kern w:val="32"/>
                <w:sz w:val="24"/>
                <w:szCs w:val="24"/>
              </w:rPr>
              <w:t>表6   本项目主要技术经济指标</w:t>
            </w:r>
          </w:p>
          <w:tbl>
            <w:tblPr>
              <w:tblW w:w="828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3547"/>
              <w:gridCol w:w="1885"/>
              <w:gridCol w:w="2854"/>
            </w:tblGrid>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指标名称</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单位</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指标数值</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装机规模</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MW</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年上网电量</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MWh</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14209.6</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年等效满负荷小时数</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h</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2368.3</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总</w:t>
                  </w:r>
                  <w:r>
                    <w:rPr>
                      <w:rFonts w:ascii="Times New Roman" w:hAnsi="Times New Roman" w:cs="Times New Roman"/>
                      <w:sz w:val="21"/>
                      <w:szCs w:val="21"/>
                    </w:rPr>
                    <w:t>投资</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万元</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bCs/>
                      <w:kern w:val="2"/>
                      <w:sz w:val="21"/>
                      <w:szCs w:val="21"/>
                    </w:rPr>
                    <w:t>5236.05</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流动资金</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万元</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18</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销售收入总额（不含增值税）</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万</w:t>
                  </w:r>
                  <w:r>
                    <w:rPr>
                      <w:rFonts w:hint="eastAsia" w:ascii="Times New Roman" w:hAnsi="Times New Roman" w:cs="Times New Roman"/>
                      <w:sz w:val="21"/>
                      <w:szCs w:val="21"/>
                    </w:rPr>
                    <w:t>元</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13964.80</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总成本费用</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万元</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9459.84</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销售税金附加总额</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万元</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185.64</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发电利润总额</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万元</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5247.52</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投资收回期</w:t>
                  </w:r>
                  <w:r>
                    <w:rPr>
                      <w:rFonts w:hint="eastAsia" w:ascii="Times New Roman" w:hAnsi="Times New Roman" w:cs="Times New Roman"/>
                      <w:sz w:val="21"/>
                      <w:szCs w:val="21"/>
                    </w:rPr>
                    <w:t>（所得税后）</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年</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9.67</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总投资收益率（ROI）</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6.58</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投资利润率</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5.19</w:t>
                  </w:r>
                </w:p>
              </w:tc>
            </w:tr>
            <w:tr>
              <w:trPr>
                <w:trHeight w:val="366" w:hRule="atLeast"/>
              </w:trPr>
              <w:tc>
                <w:tcPr>
                  <w:tcW w:w="3547"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资本金</w:t>
                  </w:r>
                  <w:r>
                    <w:rPr>
                      <w:rFonts w:hint="eastAsia" w:ascii="Times New Roman" w:hAnsi="Times New Roman" w:cs="Times New Roman"/>
                      <w:sz w:val="21"/>
                      <w:szCs w:val="21"/>
                    </w:rPr>
                    <w:t>净</w:t>
                  </w:r>
                  <w:r>
                    <w:rPr>
                      <w:rFonts w:ascii="Times New Roman" w:hAnsi="Times New Roman" w:cs="Times New Roman"/>
                      <w:sz w:val="21"/>
                      <w:szCs w:val="21"/>
                    </w:rPr>
                    <w:t>利润率</w:t>
                  </w:r>
                  <w:r>
                    <w:rPr>
                      <w:rFonts w:hint="eastAsia" w:ascii="Times New Roman" w:hAnsi="Times New Roman" w:cs="Times New Roman"/>
                      <w:sz w:val="21"/>
                      <w:szCs w:val="21"/>
                    </w:rPr>
                    <w:t>（ROE）</w:t>
                  </w:r>
                </w:p>
              </w:tc>
              <w:tc>
                <w:tcPr>
                  <w:tcW w:w="1885"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2854"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19.22</w:t>
                  </w:r>
                </w:p>
              </w:tc>
            </w:tr>
          </w:tbl>
          <w:p>
            <w:pPr>
              <w:pStyle w:val="29"/>
              <w:wordWrap w:val="0"/>
              <w:spacing w:beforeLines="25" w:beforeAutospacing="0" w:afterLines="25" w:afterAutospacing="0" w:line="440" w:lineRule="exact"/>
              <w:jc w:val="both"/>
              <w:rPr>
                <w:rFonts w:ascii="Times New Roman" w:hAnsi="Times New Roman" w:cs="Times New Roman"/>
                <w:b/>
                <w:sz w:val="28"/>
                <w:szCs w:val="28"/>
              </w:rPr>
            </w:pPr>
            <w:r>
              <w:rPr>
                <w:rFonts w:hint="eastAsia" w:ascii="Times New Roman" w:hAnsi="Times New Roman" w:cs="Times New Roman"/>
                <w:b/>
                <w:sz w:val="28"/>
                <w:szCs w:val="28"/>
              </w:rPr>
              <w:t>5、</w:t>
            </w:r>
            <w:r>
              <w:rPr>
                <w:rFonts w:ascii="Times New Roman" w:hAnsi="Times New Roman" w:cs="Times New Roman"/>
                <w:b/>
                <w:sz w:val="28"/>
                <w:szCs w:val="28"/>
              </w:rPr>
              <w:t>环保投资</w:t>
            </w:r>
          </w:p>
          <w:p>
            <w:pPr>
              <w:autoSpaceDE w:val="0"/>
              <w:autoSpaceDN w:val="0"/>
              <w:adjustRightInd w:val="0"/>
              <w:spacing w:line="420" w:lineRule="exact"/>
              <w:ind w:firstLine="480" w:firstLineChars="200"/>
              <w:rPr>
                <w:sz w:val="24"/>
              </w:rPr>
            </w:pPr>
            <w:r>
              <w:rPr>
                <w:sz w:val="24"/>
              </w:rPr>
              <w:t>风力发电是利用可再生的清洁能源风能，将风能转化成机械能，最后转化成电能的过程。在这个转化过程中，不产生废气、废水和废渣，对环境的负面影响仅在于改变部分土地的利用功能，产生一定的</w:t>
            </w:r>
            <w:r>
              <w:rPr>
                <w:rFonts w:hint="eastAsia"/>
                <w:sz w:val="24"/>
              </w:rPr>
              <w:t>生态影响</w:t>
            </w:r>
            <w:r>
              <w:rPr>
                <w:sz w:val="24"/>
              </w:rPr>
              <w:t>，因此，工程本身</w:t>
            </w:r>
            <w:r>
              <w:rPr>
                <w:rFonts w:hint="eastAsia"/>
                <w:sz w:val="24"/>
              </w:rPr>
              <w:t>对环境的影响较小</w:t>
            </w:r>
            <w:r>
              <w:rPr>
                <w:sz w:val="24"/>
              </w:rPr>
              <w:t>。</w:t>
            </w:r>
            <w:r>
              <w:rPr>
                <w:rFonts w:hint="eastAsia"/>
                <w:sz w:val="24"/>
              </w:rPr>
              <w:t>本</w:t>
            </w:r>
            <w:r>
              <w:rPr>
                <w:sz w:val="24"/>
              </w:rPr>
              <w:t>项目总投资5236.05万元</w:t>
            </w:r>
            <w:r>
              <w:rPr>
                <w:rFonts w:hint="eastAsia"/>
                <w:sz w:val="24"/>
              </w:rPr>
              <w:t>，其中环保投资170万元。占总投资</w:t>
            </w:r>
            <w:r>
              <w:rPr>
                <w:sz w:val="24"/>
              </w:rPr>
              <w:t>的</w:t>
            </w:r>
          </w:p>
          <w:p>
            <w:pPr>
              <w:wordWrap w:val="0"/>
              <w:autoSpaceDE w:val="0"/>
              <w:autoSpaceDN w:val="0"/>
              <w:adjustRightInd w:val="0"/>
              <w:spacing w:line="420" w:lineRule="exact"/>
              <w:rPr>
                <w:sz w:val="24"/>
              </w:rPr>
            </w:pPr>
            <w:r>
              <w:rPr>
                <w:rFonts w:hint="eastAsia"/>
                <w:sz w:val="24"/>
              </w:rPr>
              <w:t>3.25%</w:t>
            </w:r>
            <w:r>
              <w:rPr>
                <w:sz w:val="24"/>
              </w:rPr>
              <w:t>。本工程环保投资见表</w:t>
            </w:r>
            <w:r>
              <w:rPr>
                <w:rFonts w:hint="eastAsia"/>
                <w:sz w:val="24"/>
              </w:rPr>
              <w:t>7</w:t>
            </w:r>
            <w:r>
              <w:rPr>
                <w:sz w:val="24"/>
              </w:rPr>
              <w:t>。</w:t>
            </w:r>
          </w:p>
          <w:p>
            <w:pPr>
              <w:wordWrap w:val="0"/>
              <w:autoSpaceDE w:val="0"/>
              <w:autoSpaceDN w:val="0"/>
              <w:adjustRightInd w:val="0"/>
              <w:spacing w:line="420" w:lineRule="exact"/>
              <w:ind w:firstLine="480" w:firstLineChars="200"/>
              <w:rPr>
                <w:sz w:val="24"/>
              </w:rPr>
            </w:pPr>
            <w:r>
              <w:rPr>
                <w:rFonts w:hint="eastAsia"/>
                <w:sz w:val="24"/>
              </w:rPr>
              <w:t>太原重工股份有限公司岢岚6MW分散式风电项目</w:t>
            </w:r>
            <w:r>
              <w:rPr>
                <w:sz w:val="24"/>
              </w:rPr>
              <w:t>年发电量</w:t>
            </w:r>
            <w:r>
              <w:rPr>
                <w:rFonts w:cs="宋体"/>
                <w:kern w:val="0"/>
                <w:sz w:val="24"/>
              </w:rPr>
              <w:t>14209.6</w:t>
            </w:r>
            <w:r>
              <w:rPr>
                <w:rFonts w:hint="eastAsia"/>
                <w:sz w:val="24"/>
              </w:rPr>
              <w:t>MWh</w:t>
            </w:r>
            <w:r>
              <w:rPr>
                <w:sz w:val="24"/>
              </w:rPr>
              <w:t>，与燃煤电厂相比，以发电标煤煤耗0.32kg/kWh计，每年可节约标煤</w:t>
            </w:r>
            <w:r>
              <w:rPr>
                <w:rFonts w:hint="eastAsia"/>
                <w:sz w:val="24"/>
              </w:rPr>
              <w:t>4550</w:t>
            </w:r>
            <w:r>
              <w:rPr>
                <w:sz w:val="24"/>
              </w:rPr>
              <w:t>t。相应每年可减少多种大气污染物的排放，其中减少NO</w:t>
            </w:r>
            <w:r>
              <w:rPr>
                <w:sz w:val="24"/>
                <w:vertAlign w:val="subscript"/>
              </w:rPr>
              <w:t>x</w:t>
            </w:r>
            <w:r>
              <w:rPr>
                <w:sz w:val="24"/>
              </w:rPr>
              <w:t>排放量</w:t>
            </w:r>
            <w:r>
              <w:rPr>
                <w:rFonts w:hint="eastAsia"/>
                <w:sz w:val="24"/>
              </w:rPr>
              <w:t>4.97</w:t>
            </w:r>
            <w:r>
              <w:rPr>
                <w:sz w:val="24"/>
              </w:rPr>
              <w:t>t/a（按0.35g/kw·h），SO</w:t>
            </w:r>
            <w:r>
              <w:rPr>
                <w:sz w:val="24"/>
                <w:vertAlign w:val="subscript"/>
              </w:rPr>
              <w:t>2</w:t>
            </w:r>
            <w:r>
              <w:rPr>
                <w:sz w:val="24"/>
              </w:rPr>
              <w:t>排放量</w:t>
            </w:r>
            <w:r>
              <w:rPr>
                <w:rFonts w:hint="eastAsia"/>
                <w:sz w:val="24"/>
              </w:rPr>
              <w:t>4.97</w:t>
            </w:r>
            <w:r>
              <w:rPr>
                <w:sz w:val="24"/>
              </w:rPr>
              <w:t>t/a（按0.35g/kw·h），烟尘排放量</w:t>
            </w:r>
            <w:r>
              <w:rPr>
                <w:rFonts w:hint="eastAsia"/>
                <w:sz w:val="24"/>
              </w:rPr>
              <w:t>7.10</w:t>
            </w:r>
            <w:r>
              <w:rPr>
                <w:sz w:val="24"/>
              </w:rPr>
              <w:t>t/a</w:t>
            </w:r>
            <w:r>
              <w:rPr>
                <w:rFonts w:hint="eastAsia"/>
                <w:sz w:val="24"/>
              </w:rPr>
              <w:t>（</w:t>
            </w:r>
            <w:r>
              <w:rPr>
                <w:sz w:val="24"/>
              </w:rPr>
              <w:t>按0.5g/kw·h</w:t>
            </w:r>
            <w:r>
              <w:rPr>
                <w:rFonts w:hint="eastAsia"/>
                <w:sz w:val="24"/>
              </w:rPr>
              <w:t>）</w:t>
            </w:r>
            <w:r>
              <w:rPr>
                <w:sz w:val="24"/>
              </w:rPr>
              <w:t>，CO</w:t>
            </w:r>
            <w:r>
              <w:rPr>
                <w:sz w:val="24"/>
                <w:vertAlign w:val="subscript"/>
              </w:rPr>
              <w:t>2</w:t>
            </w:r>
            <w:r>
              <w:rPr>
                <w:rFonts w:hint="eastAsia"/>
                <w:sz w:val="24"/>
              </w:rPr>
              <w:t>4.97</w:t>
            </w:r>
            <w:r>
              <w:rPr>
                <w:sz w:val="24"/>
              </w:rPr>
              <w:t>t/a（按0.35g/kw·h），并可减少燃煤电厂产生的噪声及燃料、灰渣运输处置带来的相应环境和生态影响。因此风电场的建设具有明显的污染物减排的环境效益。</w:t>
            </w:r>
          </w:p>
          <w:p>
            <w:pPr>
              <w:pStyle w:val="15"/>
              <w:adjustRightInd w:val="0"/>
              <w:snapToGrid w:val="0"/>
              <w:spacing w:line="440" w:lineRule="exact"/>
              <w:ind w:firstLine="480" w:firstLineChars="200"/>
              <w:jc w:val="center"/>
              <w:rPr>
                <w:rFonts w:ascii="Times New Roman" w:hAnsi="Times New Roman" w:cs="宋体"/>
                <w:sz w:val="24"/>
                <w:szCs w:val="24"/>
              </w:rPr>
            </w:pPr>
            <w:r>
              <w:rPr>
                <w:rFonts w:hint="eastAsia" w:ascii="Times New Roman" w:hAnsi="Times New Roman" w:cs="宋体"/>
                <w:kern w:val="32"/>
                <w:sz w:val="24"/>
                <w:szCs w:val="24"/>
              </w:rPr>
              <w:t>表7   本工程环保投资</w:t>
            </w:r>
          </w:p>
          <w:tbl>
            <w:tblPr>
              <w:tblW w:w="828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929"/>
              <w:gridCol w:w="807"/>
              <w:gridCol w:w="4770"/>
              <w:gridCol w:w="1780"/>
            </w:tblGrid>
            <w:tr>
              <w:trPr>
                <w:trHeight w:val="397" w:hRule="atLeast"/>
              </w:trPr>
              <w:tc>
                <w:tcPr>
                  <w:tcW w:w="6506" w:type="dxa"/>
                  <w:gridSpan w:val="3"/>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项目</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投资（</w:t>
                  </w:r>
                  <w:r>
                    <w:rPr>
                      <w:rFonts w:hint="eastAsia" w:ascii="Times New Roman" w:hAnsi="Times New Roman" w:cs="Times New Roman"/>
                      <w:sz w:val="21"/>
                      <w:szCs w:val="21"/>
                    </w:rPr>
                    <w:t>万</w:t>
                  </w:r>
                  <w:r>
                    <w:rPr>
                      <w:rFonts w:ascii="Times New Roman" w:hAnsi="Times New Roman" w:cs="Times New Roman"/>
                      <w:sz w:val="21"/>
                      <w:szCs w:val="21"/>
                    </w:rPr>
                    <w:t>元）</w:t>
                  </w:r>
                </w:p>
              </w:tc>
            </w:tr>
            <w:tr>
              <w:trPr>
                <w:trHeight w:val="397" w:hRule="atLeast"/>
              </w:trPr>
              <w:tc>
                <w:tcPr>
                  <w:tcW w:w="929" w:type="dxa"/>
                  <w:vMerge w:val="restart"/>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施工期</w:t>
                  </w:r>
                </w:p>
              </w:tc>
              <w:tc>
                <w:tcPr>
                  <w:tcW w:w="807" w:type="dxa"/>
                  <w:vMerge w:val="restart"/>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生态恢复及补偿费用</w:t>
                  </w:r>
                </w:p>
              </w:tc>
              <w:tc>
                <w:tcPr>
                  <w:tcW w:w="477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风机及及箱变区植被恢复措施</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50</w:t>
                  </w:r>
                </w:p>
              </w:tc>
            </w:tr>
            <w:tr>
              <w:trPr>
                <w:trHeight w:val="397" w:hRule="atLeast"/>
              </w:trPr>
              <w:tc>
                <w:tcPr>
                  <w:tcW w:w="929"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807"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477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检修道路区植被恢复措施</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30</w:t>
                  </w:r>
                </w:p>
              </w:tc>
            </w:tr>
            <w:tr>
              <w:trPr>
                <w:trHeight w:val="397" w:hRule="atLeast"/>
              </w:trPr>
              <w:tc>
                <w:tcPr>
                  <w:tcW w:w="929"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807"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477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集电线路区、临时杆塔植被恢复</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10</w:t>
                  </w:r>
                </w:p>
              </w:tc>
            </w:tr>
            <w:tr>
              <w:trPr>
                <w:trHeight w:val="397" w:hRule="atLeast"/>
              </w:trPr>
              <w:tc>
                <w:tcPr>
                  <w:tcW w:w="929"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807"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477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施工场地区植被恢复</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20</w:t>
                  </w:r>
                </w:p>
              </w:tc>
            </w:tr>
            <w:tr>
              <w:trPr>
                <w:trHeight w:val="397" w:hRule="atLeast"/>
              </w:trPr>
              <w:tc>
                <w:tcPr>
                  <w:tcW w:w="929" w:type="dxa"/>
                  <w:vMerge w:val="continue"/>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p>
              </w:tc>
              <w:tc>
                <w:tcPr>
                  <w:tcW w:w="5577" w:type="dxa"/>
                  <w:gridSpan w:val="2"/>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水土保持</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60</w:t>
                  </w:r>
                </w:p>
              </w:tc>
            </w:tr>
            <w:tr>
              <w:trPr>
                <w:trHeight w:val="397" w:hRule="atLeast"/>
              </w:trPr>
              <w:tc>
                <w:tcPr>
                  <w:tcW w:w="6506" w:type="dxa"/>
                  <w:gridSpan w:val="3"/>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合计</w:t>
                  </w:r>
                </w:p>
              </w:tc>
              <w:tc>
                <w:tcPr>
                  <w:tcW w:w="1780" w:type="dxa"/>
                  <w:tcBorders>
                    <w:tl2br w:val="nil"/>
                    <w:tr2bl w:val="nil"/>
                  </w:tcBorders>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170</w:t>
                  </w:r>
                </w:p>
              </w:tc>
            </w:tr>
          </w:tbl>
          <w:p>
            <w:pPr>
              <w:pStyle w:val="15"/>
              <w:wordWrap w:val="0"/>
              <w:spacing w:beforeLines="50" w:line="440" w:lineRule="exact"/>
              <w:rPr>
                <w:rFonts w:ascii="Times New Roman" w:hAnsi="Times New Roman" w:cs="Times New Roman"/>
                <w:sz w:val="24"/>
                <w:szCs w:val="24"/>
              </w:rPr>
            </w:pPr>
            <w:r>
              <w:rPr>
                <w:rFonts w:hint="eastAsia" w:ascii="Times New Roman" w:hAnsi="Times New Roman" w:cs="Times New Roman"/>
                <w:sz w:val="24"/>
                <w:szCs w:val="24"/>
              </w:rPr>
              <w:t xml:space="preserve">                                                  </w:t>
            </w:r>
          </w:p>
          <w:p>
            <w:pPr>
              <w:pStyle w:val="15"/>
              <w:wordWrap w:val="0"/>
              <w:spacing w:beforeLines="50" w:line="440" w:lineRule="exact"/>
              <w:rPr>
                <w:rFonts w:ascii="Times New Roman" w:hAnsi="Times New Roman" w:cs="Times New Roman"/>
                <w:b/>
                <w:kern w:val="32"/>
                <w:sz w:val="24"/>
                <w:szCs w:val="24"/>
              </w:rPr>
            </w:pPr>
          </w:p>
          <w:p>
            <w:pPr>
              <w:pStyle w:val="15"/>
              <w:wordWrap w:val="0"/>
              <w:spacing w:beforeLines="50" w:line="440" w:lineRule="exact"/>
              <w:rPr>
                <w:rFonts w:ascii="Times New Roman" w:hAnsi="Times New Roman" w:cs="Times New Roman"/>
                <w:b/>
                <w:kern w:val="32"/>
                <w:sz w:val="24"/>
                <w:szCs w:val="24"/>
              </w:rPr>
            </w:pPr>
          </w:p>
          <w:p>
            <w:pPr>
              <w:pStyle w:val="15"/>
              <w:wordWrap w:val="0"/>
              <w:spacing w:beforeLines="50" w:line="440" w:lineRule="exact"/>
              <w:rPr>
                <w:rFonts w:ascii="Times New Roman" w:hAnsi="Times New Roman" w:cs="Times New Roman"/>
                <w:b/>
                <w:kern w:val="32"/>
                <w:sz w:val="24"/>
                <w:szCs w:val="24"/>
              </w:rPr>
            </w:pPr>
          </w:p>
        </w:tc>
      </w:tr>
    </w:tbl>
    <w:p>
      <w:pPr>
        <w:pStyle w:val="15"/>
        <w:wordWrap w:val="0"/>
        <w:snapToGrid w:val="0"/>
        <w:spacing w:beforeLines="25" w:afterLines="25"/>
        <w:rPr>
          <w:rFonts w:ascii="Times New Roman" w:hAnsi="Times New Roman" w:cs="Times New Roman"/>
          <w:b/>
          <w:bCs/>
          <w:sz w:val="28"/>
          <w:szCs w:val="28"/>
        </w:rPr>
        <w:sectPr>
          <w:headerReference r:id="rId4" w:type="default"/>
          <w:footerReference r:id="rId5" w:type="default"/>
          <w:pgSz w:w="11906" w:h="16838"/>
          <w:pgMar w:top="1440" w:right="1800" w:bottom="1440" w:left="1800" w:header="851" w:footer="992" w:gutter="0"/>
          <w:pgNumType w:start="1"/>
          <w:cols w:space="720" w:num="1"/>
          <w:docGrid w:type="lines" w:linePitch="312"/>
        </w:sectPr>
      </w:pPr>
    </w:p>
    <w:p>
      <w:pPr>
        <w:pStyle w:val="15"/>
        <w:wordWrap w:val="0"/>
        <w:snapToGrid w:val="0"/>
        <w:spacing w:beforeLines="25" w:afterLines="25" w:line="440" w:lineRule="exact"/>
        <w:outlineLvl w:val="0"/>
        <w:rPr>
          <w:rFonts w:ascii="Times New Roman" w:hAnsi="Times New Roman" w:cs="Times New Roman"/>
          <w:b/>
          <w:bCs/>
          <w:sz w:val="28"/>
          <w:szCs w:val="28"/>
        </w:rPr>
      </w:pPr>
      <w:bookmarkStart w:id="8" w:name="_Toc528854942"/>
      <w:r>
        <w:rPr>
          <w:rFonts w:hint="eastAsia" w:ascii="Times New Roman" w:hAnsi="Times New Roman" w:cs="Times New Roman"/>
          <w:b/>
          <w:bCs/>
          <w:sz w:val="28"/>
          <w:szCs w:val="28"/>
        </w:rPr>
        <w:t>二、风电场总平面布置</w:t>
      </w:r>
      <w:bookmarkEnd w:id="8"/>
    </w:p>
    <w:p>
      <w:pPr>
        <w:pStyle w:val="29"/>
        <w:wordWrap w:val="0"/>
        <w:spacing w:before="0" w:beforeAutospacing="0" w:after="0" w:afterAutospacing="0" w:line="420" w:lineRule="exact"/>
        <w:ind w:firstLine="480" w:firstLineChars="200"/>
        <w:jc w:val="both"/>
        <w:rPr>
          <w:rFonts w:ascii="Times New Roman" w:hAnsi="Times New Roman" w:cs="Times New Roman"/>
        </w:rPr>
      </w:pPr>
      <w:bookmarkStart w:id="9" w:name="_Toc396141966"/>
      <w:bookmarkStart w:id="10" w:name="_Toc396142781"/>
      <w:bookmarkStart w:id="11" w:name="_Toc401731072"/>
      <w:bookmarkStart w:id="12" w:name="_Toc406057594"/>
      <w:bookmarkStart w:id="13" w:name="_Toc406057702"/>
      <w:bookmarkStart w:id="14" w:name="_Toc406057899"/>
      <w:bookmarkStart w:id="15" w:name="_Toc409679574"/>
      <w:bookmarkStart w:id="16" w:name="_Toc409679701"/>
      <w:bookmarkStart w:id="17" w:name="_Toc436993049"/>
      <w:bookmarkStart w:id="18" w:name="_Toc479326640"/>
      <w:r>
        <w:rPr>
          <w:rFonts w:hint="eastAsia" w:ascii="Times New Roman" w:hAnsi="Times New Roman" w:cs="Times New Roman"/>
        </w:rPr>
        <w:t>1、风力发电机组选型与</w:t>
      </w:r>
      <w:bookmarkEnd w:id="9"/>
      <w:bookmarkEnd w:id="10"/>
      <w:bookmarkEnd w:id="11"/>
      <w:bookmarkEnd w:id="12"/>
      <w:bookmarkEnd w:id="13"/>
      <w:bookmarkEnd w:id="14"/>
      <w:bookmarkEnd w:id="15"/>
      <w:bookmarkEnd w:id="16"/>
      <w:bookmarkEnd w:id="17"/>
      <w:bookmarkEnd w:id="18"/>
      <w:r>
        <w:rPr>
          <w:rFonts w:hint="eastAsia" w:ascii="Times New Roman" w:hAnsi="Times New Roman" w:cs="Times New Roman"/>
        </w:rPr>
        <w:t>布置</w:t>
      </w:r>
    </w:p>
    <w:p>
      <w:pPr>
        <w:wordWrap w:val="0"/>
        <w:autoSpaceDE w:val="0"/>
        <w:autoSpaceDN w:val="0"/>
        <w:adjustRightInd w:val="0"/>
        <w:spacing w:line="420" w:lineRule="exact"/>
        <w:ind w:firstLine="480" w:firstLineChars="200"/>
        <w:rPr>
          <w:sz w:val="24"/>
        </w:rPr>
      </w:pPr>
      <w:r>
        <w:rPr>
          <w:rFonts w:hint="eastAsia"/>
          <w:sz w:val="24"/>
        </w:rPr>
        <w:t>太原重工股份有限公司岢岚6MW分散式风电项目位于</w:t>
      </w:r>
      <w:r>
        <w:rPr>
          <w:sz w:val="24"/>
        </w:rPr>
        <w:t>忻州市岢岚县岚漪镇后砖窑村一带</w:t>
      </w:r>
      <w:r>
        <w:rPr>
          <w:rFonts w:hint="eastAsia"/>
          <w:sz w:val="24"/>
        </w:rPr>
        <w:t>，</w:t>
      </w:r>
      <w:r>
        <w:rPr>
          <w:rFonts w:cs="宋?"/>
          <w:kern w:val="0"/>
          <w:sz w:val="24"/>
        </w:rPr>
        <w:t>本项目选用</w:t>
      </w:r>
      <w:r>
        <w:rPr>
          <w:rFonts w:hint="eastAsia"/>
          <w:kern w:val="0"/>
          <w:sz w:val="24"/>
        </w:rPr>
        <w:t>3</w:t>
      </w:r>
      <w:r>
        <w:rPr>
          <w:rFonts w:cs="宋?"/>
          <w:kern w:val="0"/>
          <w:sz w:val="24"/>
        </w:rPr>
        <w:t>台单机容量为</w:t>
      </w:r>
      <w:r>
        <w:rPr>
          <w:kern w:val="0"/>
          <w:sz w:val="24"/>
        </w:rPr>
        <w:t>2000kW</w:t>
      </w:r>
      <w:r>
        <w:rPr>
          <w:rFonts w:cs="宋?"/>
          <w:kern w:val="0"/>
          <w:sz w:val="24"/>
        </w:rPr>
        <w:t>风力发电机组。风电机组的布置按充分利用风电场场区的风能资源，并结合场区地形地貌、植被及土地利用规划进行风电机组的布置。</w:t>
      </w:r>
    </w:p>
    <w:p>
      <w:pPr>
        <w:wordWrap w:val="0"/>
        <w:autoSpaceDE w:val="0"/>
        <w:autoSpaceDN w:val="0"/>
        <w:adjustRightInd w:val="0"/>
        <w:spacing w:line="420" w:lineRule="exact"/>
        <w:ind w:firstLine="480" w:firstLineChars="200"/>
        <w:rPr>
          <w:rFonts w:cs="宋?"/>
          <w:b/>
          <w:bCs/>
          <w:kern w:val="0"/>
          <w:sz w:val="24"/>
        </w:rPr>
      </w:pPr>
      <w:r>
        <w:rPr>
          <w:rFonts w:cs="宋?"/>
          <w:kern w:val="0"/>
          <w:sz w:val="24"/>
        </w:rPr>
        <w:t>风机基础底面为圆形，底面直径为19.0m，埋深-3.5m，基础为现浇C40钢筋混凝土棱台形扩展基础，基础顶面高出周围地面0.2m。基础由上下两部分组成，上部为高1.22m，平面尺寸为直径6.6m的圆柱体，下部为棱台体，高2.480m，底面尺寸为直径19.0m的圆。</w:t>
      </w:r>
    </w:p>
    <w:p>
      <w:pPr>
        <w:wordWrap w:val="0"/>
        <w:autoSpaceDE w:val="0"/>
        <w:autoSpaceDN w:val="0"/>
        <w:adjustRightInd w:val="0"/>
        <w:spacing w:line="420" w:lineRule="exact"/>
        <w:ind w:firstLine="480" w:firstLineChars="200"/>
        <w:rPr>
          <w:rFonts w:cs="宋?"/>
          <w:kern w:val="0"/>
          <w:sz w:val="24"/>
        </w:rPr>
      </w:pPr>
      <w:r>
        <w:rPr>
          <w:rFonts w:cs="宋?"/>
          <w:kern w:val="0"/>
          <w:sz w:val="24"/>
        </w:rPr>
        <w:t>根椐风电场电气设计，风电机组与箱式变电站组合方式为一机一变方案，即每台风机设一座箱式变压器。根据地质条件和箱式变电站容量，确定箱式变电站基础采用砖混结构，工作平台高出地面0.3m，埋深-2.0m左右，采用素混凝土条形基础，配钢筋混凝土油池。四周采用砖墙封闭，墙体内外侧用防水砂浆抹面。侧壁上预埋电缆埋管。每台箱变基础：C30混凝土量约13m</w:t>
      </w:r>
      <w:r>
        <w:rPr>
          <w:rFonts w:cs="宋?"/>
          <w:kern w:val="0"/>
          <w:sz w:val="24"/>
          <w:vertAlign w:val="superscript"/>
        </w:rPr>
        <w:t>3</w:t>
      </w:r>
      <w:r>
        <w:rPr>
          <w:rFonts w:cs="宋?"/>
          <w:kern w:val="0"/>
          <w:sz w:val="24"/>
        </w:rPr>
        <w:t>，C15混凝土量约4m</w:t>
      </w:r>
      <w:r>
        <w:rPr>
          <w:rFonts w:cs="宋?"/>
          <w:kern w:val="0"/>
          <w:sz w:val="24"/>
          <w:vertAlign w:val="superscript"/>
        </w:rPr>
        <w:t>3</w:t>
      </w:r>
      <w:r>
        <w:rPr>
          <w:rFonts w:cs="宋?"/>
          <w:kern w:val="0"/>
          <w:sz w:val="24"/>
        </w:rPr>
        <w:t>，砌体体积约8m</w:t>
      </w:r>
      <w:r>
        <w:rPr>
          <w:rFonts w:cs="宋?"/>
          <w:kern w:val="0"/>
          <w:sz w:val="24"/>
          <w:vertAlign w:val="superscript"/>
        </w:rPr>
        <w:t>3</w:t>
      </w:r>
      <w:r>
        <w:rPr>
          <w:rFonts w:cs="宋?"/>
          <w:kern w:val="0"/>
          <w:sz w:val="24"/>
        </w:rPr>
        <w:t>，钢筋约1t。基础开挖及回填（包括油池）分别为120m³，土石比为2:8。</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风力发电机组</w:t>
      </w:r>
      <w:r>
        <w:rPr>
          <w:rFonts w:hint="eastAsia" w:ascii="Times New Roman" w:hAnsi="Times New Roman" w:cs="Times New Roman"/>
        </w:rPr>
        <w:t>基础平面及剖面图见图1</w:t>
      </w:r>
      <w:r>
        <w:rPr>
          <w:rFonts w:ascii="Times New Roman" w:hAnsi="Times New Roman" w:cs="Times New Roman"/>
        </w:rPr>
        <w:t>。</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eastAsia="宋体" w:cs="宋体"/>
          <w:kern w:val="0"/>
          <w:sz w:val="24"/>
          <w:szCs w:val="24"/>
          <w:lang w:val="en-US" w:eastAsia="zh-CN" w:bidi="ar-SA"/>
        </w:rPr>
        <w:pict>
          <v:shape id="图片 247" o:spid="_x0000_s1029" type="#_x0000_t75" style="position:absolute;left:0;margin-left:15.15pt;margin-top:8.25pt;height:239.7pt;width:428.5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p>
    <w:p>
      <w:pPr>
        <w:pStyle w:val="29"/>
        <w:spacing w:before="0" w:beforeAutospacing="0" w:after="0" w:afterAutospacing="0" w:line="420" w:lineRule="exact"/>
        <w:jc w:val="center"/>
        <w:rPr>
          <w:rFonts w:ascii="Times New Roman" w:hAnsi="Times New Roman" w:cs="Times New Roman"/>
        </w:rPr>
      </w:pPr>
      <w:r>
        <w:rPr>
          <w:rFonts w:hint="eastAsia" w:ascii="Times New Roman" w:hAnsi="Times New Roman" w:cs="Times New Roman"/>
        </w:rPr>
        <w:t xml:space="preserve">图1  </w:t>
      </w:r>
      <w:r>
        <w:rPr>
          <w:rFonts w:ascii="Times New Roman" w:hAnsi="Times New Roman" w:cs="Times New Roman"/>
        </w:rPr>
        <w:t>风力发电机组</w:t>
      </w:r>
      <w:r>
        <w:rPr>
          <w:rFonts w:hint="eastAsia" w:ascii="Times New Roman" w:hAnsi="Times New Roman" w:cs="Times New Roman"/>
        </w:rPr>
        <w:t>基础平面及剖面图</w:t>
      </w:r>
    </w:p>
    <w:p>
      <w:pPr>
        <w:pStyle w:val="29"/>
        <w:wordWrap w:val="0"/>
        <w:spacing w:before="0" w:beforeAutospacing="0" w:after="0" w:afterAutospacing="0" w:line="420" w:lineRule="exact"/>
        <w:ind w:firstLine="480" w:firstLineChars="200"/>
        <w:jc w:val="both"/>
        <w:rPr>
          <w:rFonts w:ascii="Times New Roman" w:hAnsi="Times New Roman" w:cs="Times New Roman"/>
        </w:rPr>
      </w:pPr>
      <w:bookmarkStart w:id="19" w:name="_Toc396141967"/>
      <w:bookmarkStart w:id="20" w:name="_Toc396142782"/>
      <w:bookmarkStart w:id="21" w:name="_Toc401731073"/>
      <w:bookmarkStart w:id="22" w:name="_Toc406057595"/>
      <w:bookmarkStart w:id="23" w:name="_Toc406057703"/>
      <w:bookmarkStart w:id="24" w:name="_Toc406057900"/>
      <w:bookmarkStart w:id="25" w:name="_Toc409679575"/>
      <w:bookmarkStart w:id="26" w:name="_Toc409679702"/>
      <w:bookmarkStart w:id="27" w:name="_Toc436993050"/>
      <w:bookmarkStart w:id="28" w:name="_Toc479326641"/>
      <w:r>
        <w:rPr>
          <w:rFonts w:hint="eastAsia" w:ascii="Times New Roman" w:hAnsi="Times New Roman" w:cs="Times New Roman"/>
        </w:rPr>
        <w:t>2.道路布置</w:t>
      </w:r>
      <w:bookmarkEnd w:id="19"/>
      <w:bookmarkEnd w:id="20"/>
      <w:bookmarkEnd w:id="21"/>
      <w:bookmarkEnd w:id="22"/>
      <w:bookmarkEnd w:id="23"/>
      <w:bookmarkEnd w:id="24"/>
      <w:bookmarkEnd w:id="25"/>
      <w:bookmarkEnd w:id="26"/>
      <w:bookmarkEnd w:id="27"/>
      <w:bookmarkEnd w:id="28"/>
    </w:p>
    <w:p>
      <w:pPr>
        <w:wordWrap w:val="0"/>
        <w:autoSpaceDE w:val="0"/>
        <w:autoSpaceDN w:val="0"/>
        <w:adjustRightInd w:val="0"/>
        <w:spacing w:line="420" w:lineRule="exact"/>
        <w:ind w:firstLine="420" w:firstLineChars="200"/>
        <w:rPr>
          <w:rFonts w:cs="宋?"/>
          <w:kern w:val="0"/>
          <w:sz w:val="24"/>
        </w:rPr>
      </w:pPr>
      <w:r>
        <w:rPr>
          <w:rFonts w:hint="eastAsia"/>
        </w:rPr>
        <w:t>（1）</w:t>
      </w:r>
      <w:r>
        <w:rPr>
          <w:rFonts w:hint="eastAsia" w:cs="宋?"/>
          <w:kern w:val="0"/>
          <w:sz w:val="24"/>
        </w:rPr>
        <w:t>场外交通运输</w:t>
      </w:r>
    </w:p>
    <w:p>
      <w:pPr>
        <w:wordWrap w:val="0"/>
        <w:autoSpaceDE w:val="0"/>
        <w:autoSpaceDN w:val="0"/>
        <w:adjustRightInd w:val="0"/>
        <w:spacing w:line="420" w:lineRule="exact"/>
        <w:ind w:firstLine="480" w:firstLineChars="200"/>
        <w:rPr>
          <w:kern w:val="0"/>
          <w:sz w:val="24"/>
        </w:rPr>
      </w:pPr>
      <w:bookmarkStart w:id="29" w:name="_Toc479326644"/>
      <w:bookmarkStart w:id="30" w:name="_Toc401731078"/>
      <w:bookmarkStart w:id="31" w:name="_Toc406057600"/>
      <w:bookmarkStart w:id="32" w:name="_Toc406057708"/>
      <w:bookmarkStart w:id="33" w:name="_Toc406057905"/>
      <w:bookmarkStart w:id="34" w:name="_Toc409679580"/>
      <w:bookmarkStart w:id="35" w:name="_Toc409679707"/>
      <w:bookmarkStart w:id="36" w:name="_Toc436993054"/>
      <w:r>
        <w:rPr>
          <w:rFonts w:cs="宋?"/>
          <w:kern w:val="0"/>
          <w:sz w:val="24"/>
        </w:rPr>
        <w:t>风电场场区西侧有岢会线经过，东北侧有国道G209和S46五保高速公路经过，S46五保</w:t>
      </w:r>
      <w:r>
        <w:rPr>
          <w:rFonts w:cs="宋体"/>
          <w:kern w:val="0"/>
          <w:sz w:val="24"/>
        </w:rPr>
        <w:t>高速公路</w:t>
      </w:r>
      <w:r>
        <w:rPr>
          <w:kern w:val="0"/>
          <w:sz w:val="24"/>
        </w:rPr>
        <w:t>黄道川收费站位于风场东侧10km处的黄道川村，对外交通便利。</w:t>
      </w:r>
    </w:p>
    <w:p>
      <w:pPr>
        <w:numPr>
          <w:ilvl w:val="0"/>
          <w:numId w:val="4"/>
        </w:numPr>
        <w:wordWrap w:val="0"/>
        <w:autoSpaceDE w:val="0"/>
        <w:autoSpaceDN w:val="0"/>
        <w:adjustRightInd w:val="0"/>
        <w:spacing w:line="420" w:lineRule="exact"/>
        <w:rPr>
          <w:rFonts w:cs="宋?"/>
          <w:kern w:val="0"/>
          <w:sz w:val="24"/>
        </w:rPr>
      </w:pPr>
      <w:r>
        <w:rPr>
          <w:rFonts w:hint="eastAsia" w:cs="宋?"/>
          <w:kern w:val="0"/>
          <w:sz w:val="24"/>
        </w:rPr>
        <w:t>进场道路及检修道路</w:t>
      </w:r>
    </w:p>
    <w:p>
      <w:pPr>
        <w:wordWrap w:val="0"/>
        <w:autoSpaceDE w:val="0"/>
        <w:autoSpaceDN w:val="0"/>
        <w:adjustRightInd w:val="0"/>
        <w:spacing w:line="420" w:lineRule="exact"/>
        <w:ind w:firstLine="460" w:firstLineChars="200"/>
        <w:rPr>
          <w:sz w:val="23"/>
          <w:szCs w:val="23"/>
        </w:rPr>
      </w:pPr>
      <w:r>
        <w:rPr>
          <w:rFonts w:hint="eastAsia"/>
          <w:sz w:val="23"/>
          <w:szCs w:val="23"/>
        </w:rPr>
        <w:t>根据风电场风机的排布方案，道路施工运输和风场检修考虑永临结合。</w:t>
      </w:r>
      <w:r>
        <w:rPr>
          <w:rFonts w:hint="eastAsia"/>
          <w:kern w:val="0"/>
          <w:sz w:val="24"/>
        </w:rPr>
        <w:t>根据</w:t>
      </w:r>
      <w:r>
        <w:rPr>
          <w:kern w:val="0"/>
          <w:sz w:val="24"/>
        </w:rPr>
        <w:t>岢岚县道路规划图</w:t>
      </w:r>
      <w:r>
        <w:rPr>
          <w:rFonts w:hint="eastAsia"/>
          <w:kern w:val="0"/>
          <w:sz w:val="24"/>
        </w:rPr>
        <w:t>，结合本项目所处的地理位置可知，本项目厂址所在地位于山区，当地道路路网密度较小，可供选择的路线不多，最终确定了两个道路选线方案：</w:t>
      </w:r>
    </w:p>
    <w:p>
      <w:pPr>
        <w:wordWrap w:val="0"/>
        <w:autoSpaceDE w:val="0"/>
        <w:autoSpaceDN w:val="0"/>
        <w:adjustRightInd w:val="0"/>
        <w:spacing w:line="420" w:lineRule="exact"/>
        <w:ind w:firstLine="482" w:firstLineChars="200"/>
        <w:rPr>
          <w:kern w:val="0"/>
          <w:sz w:val="24"/>
        </w:rPr>
      </w:pPr>
      <w:r>
        <w:rPr>
          <w:rFonts w:hint="eastAsia"/>
          <w:b/>
          <w:kern w:val="0"/>
          <w:sz w:val="24"/>
        </w:rPr>
        <w:t>方案一：</w:t>
      </w:r>
      <w:r>
        <w:rPr>
          <w:rFonts w:hint="eastAsia"/>
          <w:kern w:val="0"/>
          <w:sz w:val="24"/>
        </w:rPr>
        <w:t>S46五保高速公路</w:t>
      </w:r>
      <w:r>
        <w:rPr>
          <w:kern w:val="0"/>
          <w:sz w:val="24"/>
        </w:rPr>
        <w:t>-</w:t>
      </w:r>
      <w:r>
        <w:rPr>
          <w:rFonts w:hint="eastAsia"/>
          <w:kern w:val="0"/>
          <w:sz w:val="24"/>
        </w:rPr>
        <w:t>黄道川</w:t>
      </w:r>
      <w:r>
        <w:rPr>
          <w:kern w:val="0"/>
          <w:sz w:val="24"/>
        </w:rPr>
        <w:t>收费站-</w:t>
      </w:r>
      <w:r>
        <w:rPr>
          <w:rFonts w:hint="eastAsia"/>
          <w:kern w:val="0"/>
          <w:sz w:val="24"/>
        </w:rPr>
        <w:t>国道G</w:t>
      </w:r>
      <w:r>
        <w:rPr>
          <w:kern w:val="0"/>
          <w:sz w:val="24"/>
        </w:rPr>
        <w:t>209-</w:t>
      </w:r>
      <w:r>
        <w:rPr>
          <w:rFonts w:hint="eastAsia"/>
          <w:kern w:val="0"/>
          <w:sz w:val="24"/>
        </w:rPr>
        <w:t>宋家沟</w:t>
      </w:r>
      <w:r>
        <w:rPr>
          <w:kern w:val="0"/>
          <w:sz w:val="24"/>
        </w:rPr>
        <w:t>村</w:t>
      </w:r>
      <w:r>
        <w:rPr>
          <w:rFonts w:hint="eastAsia"/>
          <w:kern w:val="0"/>
          <w:sz w:val="24"/>
        </w:rPr>
        <w:t>-吴家岔-既有</w:t>
      </w:r>
      <w:r>
        <w:rPr>
          <w:kern w:val="0"/>
          <w:sz w:val="24"/>
        </w:rPr>
        <w:t>风场</w:t>
      </w:r>
      <w:r>
        <w:rPr>
          <w:rFonts w:hint="eastAsia"/>
          <w:kern w:val="0"/>
          <w:sz w:val="24"/>
        </w:rPr>
        <w:t>场内道路</w:t>
      </w:r>
      <w:r>
        <w:rPr>
          <w:kern w:val="0"/>
          <w:sz w:val="24"/>
        </w:rPr>
        <w:t>-</w:t>
      </w:r>
      <w:r>
        <w:rPr>
          <w:rFonts w:hint="eastAsia"/>
          <w:kern w:val="0"/>
          <w:sz w:val="24"/>
        </w:rPr>
        <w:t>风机施工安装平台。</w:t>
      </w:r>
    </w:p>
    <w:p>
      <w:pPr>
        <w:wordWrap w:val="0"/>
        <w:autoSpaceDE w:val="0"/>
        <w:autoSpaceDN w:val="0"/>
        <w:adjustRightInd w:val="0"/>
        <w:spacing w:line="420" w:lineRule="exact"/>
        <w:ind w:firstLine="480" w:firstLineChars="200"/>
        <w:rPr>
          <w:kern w:val="0"/>
          <w:sz w:val="24"/>
        </w:rPr>
      </w:pPr>
      <w:r>
        <w:rPr>
          <w:rFonts w:hint="eastAsia"/>
          <w:kern w:val="0"/>
          <w:sz w:val="24"/>
        </w:rPr>
        <w:t>根据现场调查，风电场厂址南侧现有一条东西走向的乡村道路，路面为水泥路面，道路宽4.0km，乡村道路尽头现有一条南北走向的长4.0km，宽度为2.0m的土路，由南向北通到风电场内。方案一：对现有的土路面进行改造，长度不变仍为4.0km，宽度由2.0m拓宽为4.5m，路面由土路面改造为碎石路面，不需新建道路。</w:t>
      </w:r>
    </w:p>
    <w:p>
      <w:pPr>
        <w:wordWrap w:val="0"/>
        <w:autoSpaceDE w:val="0"/>
        <w:autoSpaceDN w:val="0"/>
        <w:adjustRightInd w:val="0"/>
        <w:spacing w:line="420" w:lineRule="exact"/>
        <w:ind w:firstLine="482" w:firstLineChars="200"/>
        <w:rPr>
          <w:kern w:val="0"/>
          <w:sz w:val="24"/>
        </w:rPr>
      </w:pPr>
      <w:r>
        <w:rPr>
          <w:rFonts w:hint="eastAsia"/>
          <w:b/>
          <w:kern w:val="0"/>
          <w:sz w:val="24"/>
        </w:rPr>
        <w:t>方案二：</w:t>
      </w:r>
      <w:r>
        <w:rPr>
          <w:rFonts w:hint="eastAsia"/>
          <w:kern w:val="0"/>
          <w:sz w:val="24"/>
        </w:rPr>
        <w:t>S46五保高速公路</w:t>
      </w:r>
      <w:r>
        <w:rPr>
          <w:kern w:val="0"/>
          <w:sz w:val="24"/>
        </w:rPr>
        <w:t>-</w:t>
      </w:r>
      <w:r>
        <w:rPr>
          <w:rFonts w:hint="eastAsia"/>
          <w:kern w:val="0"/>
          <w:sz w:val="24"/>
        </w:rPr>
        <w:t>黄道川</w:t>
      </w:r>
      <w:r>
        <w:rPr>
          <w:kern w:val="0"/>
          <w:sz w:val="24"/>
        </w:rPr>
        <w:t>收费站-</w:t>
      </w:r>
      <w:r>
        <w:rPr>
          <w:rFonts w:hint="eastAsia"/>
          <w:kern w:val="0"/>
          <w:sz w:val="24"/>
        </w:rPr>
        <w:t>国道G</w:t>
      </w:r>
      <w:r>
        <w:rPr>
          <w:kern w:val="0"/>
          <w:sz w:val="24"/>
        </w:rPr>
        <w:t>209-</w:t>
      </w:r>
      <w:r>
        <w:rPr>
          <w:rFonts w:hint="eastAsia"/>
          <w:kern w:val="0"/>
          <w:sz w:val="24"/>
        </w:rPr>
        <w:t>乔家湾-前</w:t>
      </w:r>
      <w:r>
        <w:rPr>
          <w:kern w:val="0"/>
          <w:sz w:val="24"/>
        </w:rPr>
        <w:t>砖窑沟</w:t>
      </w:r>
      <w:r>
        <w:rPr>
          <w:rFonts w:hint="eastAsia"/>
          <w:kern w:val="0"/>
          <w:sz w:val="24"/>
        </w:rPr>
        <w:t>-</w:t>
      </w:r>
      <w:r>
        <w:rPr>
          <w:kern w:val="0"/>
          <w:sz w:val="24"/>
        </w:rPr>
        <w:t>堡子坡</w:t>
      </w:r>
      <w:r>
        <w:rPr>
          <w:rFonts w:hint="eastAsia"/>
          <w:kern w:val="0"/>
          <w:sz w:val="24"/>
        </w:rPr>
        <w:t>-新建场内道路</w:t>
      </w:r>
      <w:r>
        <w:rPr>
          <w:kern w:val="0"/>
          <w:sz w:val="24"/>
        </w:rPr>
        <w:t>-</w:t>
      </w:r>
      <w:r>
        <w:rPr>
          <w:rFonts w:hint="eastAsia"/>
          <w:kern w:val="0"/>
          <w:sz w:val="24"/>
        </w:rPr>
        <w:t>风机施工安装平台。</w:t>
      </w:r>
    </w:p>
    <w:p>
      <w:pPr>
        <w:wordWrap w:val="0"/>
        <w:autoSpaceDE w:val="0"/>
        <w:autoSpaceDN w:val="0"/>
        <w:adjustRightInd w:val="0"/>
        <w:spacing w:line="420" w:lineRule="exact"/>
        <w:ind w:firstLine="480" w:firstLineChars="200"/>
        <w:rPr>
          <w:kern w:val="0"/>
          <w:sz w:val="24"/>
        </w:rPr>
      </w:pPr>
      <w:r>
        <w:rPr>
          <w:rFonts w:hint="eastAsia"/>
          <w:kern w:val="0"/>
          <w:sz w:val="24"/>
        </w:rPr>
        <w:t>方案二从风电场东侧的后砖窑沟村现有乡村道路，路面为水泥路面，道路宽度为</w:t>
      </w:r>
    </w:p>
    <w:p>
      <w:pPr>
        <w:wordWrap w:val="0"/>
        <w:autoSpaceDE w:val="0"/>
        <w:autoSpaceDN w:val="0"/>
        <w:adjustRightInd w:val="0"/>
        <w:spacing w:line="420" w:lineRule="exact"/>
        <w:rPr>
          <w:kern w:val="0"/>
          <w:sz w:val="24"/>
        </w:rPr>
      </w:pPr>
      <w:r>
        <w:rPr>
          <w:rFonts w:hint="eastAsia"/>
          <w:kern w:val="0"/>
          <w:sz w:val="24"/>
        </w:rPr>
        <w:t>4.0m。根据实地调查，农田呈带状分布于“前</w:t>
      </w:r>
      <w:r>
        <w:rPr>
          <w:kern w:val="0"/>
          <w:sz w:val="24"/>
        </w:rPr>
        <w:t>砖窑沟</w:t>
      </w:r>
      <w:r>
        <w:rPr>
          <w:rFonts w:hint="eastAsia"/>
          <w:kern w:val="0"/>
          <w:sz w:val="24"/>
        </w:rPr>
        <w:t>-</w:t>
      </w:r>
      <w:r>
        <w:rPr>
          <w:kern w:val="0"/>
          <w:sz w:val="24"/>
        </w:rPr>
        <w:t>堡子坡</w:t>
      </w:r>
      <w:r>
        <w:rPr>
          <w:rFonts w:hint="eastAsia"/>
          <w:kern w:val="0"/>
          <w:sz w:val="24"/>
        </w:rPr>
        <w:t>-</w:t>
      </w:r>
      <w:r>
        <w:rPr>
          <w:kern w:val="0"/>
          <w:sz w:val="24"/>
        </w:rPr>
        <w:t>后砖窑沟</w:t>
      </w:r>
      <w:r>
        <w:rPr>
          <w:rFonts w:hint="eastAsia"/>
          <w:kern w:val="0"/>
          <w:sz w:val="24"/>
        </w:rPr>
        <w:t>段”乡村道路两侧，经企业与国土部门核实，该区域农田属于基本农田，方案二选择新建的道路（长度为4.2km，宽4.5m的碎石路面）需从现有乡村道路穿越农田向山顶修建，无法避让基本农田。</w:t>
      </w:r>
    </w:p>
    <w:p>
      <w:pPr>
        <w:wordWrap w:val="0"/>
        <w:autoSpaceDE w:val="0"/>
        <w:autoSpaceDN w:val="0"/>
        <w:adjustRightInd w:val="0"/>
        <w:spacing w:line="420" w:lineRule="exact"/>
        <w:ind w:firstLine="480" w:firstLineChars="200"/>
        <w:rPr>
          <w:kern w:val="0"/>
          <w:sz w:val="24"/>
        </w:rPr>
      </w:pPr>
      <w:r>
        <w:rPr>
          <w:rFonts w:hint="eastAsia"/>
          <w:kern w:val="0"/>
          <w:sz w:val="24"/>
        </w:rPr>
        <w:t>场道路选线方案比选内容见表8，选线方案分布见图2。</w:t>
      </w:r>
    </w:p>
    <w:p>
      <w:pPr>
        <w:wordWrap w:val="0"/>
        <w:autoSpaceDE w:val="0"/>
        <w:autoSpaceDN w:val="0"/>
        <w:adjustRightInd w:val="0"/>
        <w:spacing w:line="420" w:lineRule="exact"/>
        <w:rPr>
          <w:kern w:val="0"/>
          <w:sz w:val="24"/>
        </w:rPr>
      </w:pPr>
      <w:r>
        <w:rPr>
          <w:rFonts w:hint="eastAsia" w:ascii="Times New Roman" w:hAnsi="Times New Roman" w:eastAsia="宋体" w:cs="Times New Roman"/>
          <w:kern w:val="0"/>
          <w:sz w:val="24"/>
          <w:szCs w:val="24"/>
          <w:lang w:val="en-US" w:eastAsia="zh-CN" w:bidi="ar-SA"/>
        </w:rPr>
        <w:pict>
          <v:shape id="图片 226" o:spid="_x0000_s1030" type="#_x0000_t75" style="position:absolute;left:0;margin-left:21.6pt;margin-top:2.6pt;height:248.8pt;width:413.5pt;mso-wrap-distance-left:9pt;mso-wrap-distance-right:9pt;rotation:0f;z-index:-251654144;" o:ole="f" fillcolor="#FFFFFF" filled="f" o:preferrelative="t" stroked="f" coordorigin="0,0" coordsize="21600,21600" wrapcoords="0 0 0 21487 21548 21487 21548 0 0 0">
            <v:fill on="f" color2="#FFFFFF" focus="0%"/>
            <v:imagedata gain="65536f" blacklevel="0f" gamma="0" o:title="" r:id="rId16"/>
            <o:lock v:ext="edit" position="f" selection="f" grouping="f" rotation="f" cropping="f" text="f" aspectratio="t"/>
            <w10:wrap type="tight"/>
          </v:shape>
        </w:pict>
      </w:r>
    </w:p>
    <w:p>
      <w:pPr>
        <w:autoSpaceDE w:val="0"/>
        <w:autoSpaceDN w:val="0"/>
        <w:adjustRightInd w:val="0"/>
        <w:spacing w:line="420" w:lineRule="exact"/>
        <w:ind w:firstLine="480" w:firstLineChars="200"/>
        <w:rPr>
          <w:kern w:val="0"/>
          <w:sz w:val="24"/>
        </w:rPr>
      </w:pPr>
      <w:r>
        <w:rPr>
          <w:rFonts w:hint="eastAsia"/>
          <w:kern w:val="0"/>
          <w:sz w:val="24"/>
        </w:rPr>
        <w:t>进</w:t>
      </w:r>
    </w:p>
    <w:p>
      <w:pPr>
        <w:autoSpaceDE w:val="0"/>
        <w:autoSpaceDN w:val="0"/>
        <w:adjustRightInd w:val="0"/>
        <w:spacing w:line="420" w:lineRule="exact"/>
        <w:ind w:firstLine="480" w:firstLineChars="200"/>
        <w:rPr>
          <w:kern w:val="0"/>
          <w:sz w:val="24"/>
        </w:rPr>
      </w:pPr>
    </w:p>
    <w:p>
      <w:pPr>
        <w:autoSpaceDE w:val="0"/>
        <w:autoSpaceDN w:val="0"/>
        <w:adjustRightInd w:val="0"/>
        <w:spacing w:line="420" w:lineRule="exact"/>
        <w:ind w:firstLine="480" w:firstLineChars="200"/>
        <w:rPr>
          <w:kern w:val="0"/>
          <w:sz w:val="24"/>
        </w:rPr>
      </w:pPr>
    </w:p>
    <w:p>
      <w:pPr>
        <w:autoSpaceDE w:val="0"/>
        <w:autoSpaceDN w:val="0"/>
        <w:adjustRightInd w:val="0"/>
        <w:spacing w:line="420" w:lineRule="exact"/>
        <w:ind w:firstLine="480" w:firstLineChars="200"/>
        <w:rPr>
          <w:kern w:val="0"/>
          <w:sz w:val="24"/>
        </w:rPr>
      </w:pPr>
    </w:p>
    <w:p>
      <w:pPr>
        <w:autoSpaceDE w:val="0"/>
        <w:autoSpaceDN w:val="0"/>
        <w:adjustRightInd w:val="0"/>
        <w:spacing w:line="420" w:lineRule="exact"/>
        <w:ind w:firstLine="480" w:firstLineChars="200"/>
        <w:rPr>
          <w:kern w:val="0"/>
          <w:sz w:val="24"/>
        </w:rPr>
      </w:pPr>
    </w:p>
    <w:p>
      <w:pPr>
        <w:autoSpaceDE w:val="0"/>
        <w:autoSpaceDN w:val="0"/>
        <w:adjustRightInd w:val="0"/>
        <w:spacing w:line="420" w:lineRule="exact"/>
        <w:ind w:firstLine="480" w:firstLineChars="200"/>
        <w:rPr>
          <w:kern w:val="0"/>
          <w:sz w:val="24"/>
        </w:rPr>
      </w:pPr>
    </w:p>
    <w:p>
      <w:pPr>
        <w:autoSpaceDE w:val="0"/>
        <w:autoSpaceDN w:val="0"/>
        <w:adjustRightInd w:val="0"/>
        <w:spacing w:line="420" w:lineRule="exact"/>
        <w:ind w:firstLine="480" w:firstLineChars="200"/>
        <w:jc w:val="center"/>
        <w:rPr>
          <w:kern w:val="0"/>
          <w:sz w:val="24"/>
        </w:rPr>
      </w:pPr>
      <w:r>
        <w:rPr>
          <w:rFonts w:hint="eastAsia"/>
          <w:kern w:val="0"/>
          <w:sz w:val="24"/>
        </w:rPr>
        <w:t>图2  道路选线比选方案</w:t>
      </w:r>
    </w:p>
    <w:p>
      <w:pPr>
        <w:autoSpaceDE w:val="0"/>
        <w:autoSpaceDN w:val="0"/>
        <w:adjustRightInd w:val="0"/>
        <w:spacing w:line="420" w:lineRule="exact"/>
        <w:ind w:firstLine="480" w:firstLineChars="200"/>
        <w:jc w:val="center"/>
        <w:rPr>
          <w:kern w:val="0"/>
          <w:sz w:val="24"/>
        </w:rPr>
      </w:pPr>
      <w:r>
        <w:rPr>
          <w:rFonts w:hint="eastAsia"/>
          <w:kern w:val="0"/>
          <w:sz w:val="24"/>
        </w:rPr>
        <w:t>表8  进场施工道路及检修道路方案比选内容</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674"/>
        <w:gridCol w:w="1701"/>
        <w:gridCol w:w="1564"/>
        <w:gridCol w:w="45"/>
        <w:gridCol w:w="1086"/>
        <w:gridCol w:w="851"/>
        <w:gridCol w:w="1285"/>
        <w:gridCol w:w="1131"/>
        <w:gridCol w:w="949"/>
      </w:tblGrid>
      <w:tr>
        <w:trPr>
          <w:jc w:val="center"/>
        </w:trPr>
        <w:tc>
          <w:tcPr>
            <w:tcW w:w="674"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序号</w:t>
            </w:r>
          </w:p>
        </w:tc>
        <w:tc>
          <w:tcPr>
            <w:tcW w:w="170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项目</w:t>
            </w:r>
          </w:p>
        </w:tc>
        <w:tc>
          <w:tcPr>
            <w:tcW w:w="3546" w:type="dxa"/>
            <w:gridSpan w:val="4"/>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方案一</w:t>
            </w:r>
          </w:p>
        </w:tc>
        <w:tc>
          <w:tcPr>
            <w:tcW w:w="3365"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方案二</w:t>
            </w:r>
          </w:p>
        </w:tc>
      </w:tr>
      <w:tr>
        <w:trPr>
          <w:jc w:val="center"/>
        </w:trPr>
        <w:tc>
          <w:tcPr>
            <w:tcW w:w="674"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70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利用既有的道路</w:t>
            </w:r>
          </w:p>
        </w:tc>
        <w:tc>
          <w:tcPr>
            <w:tcW w:w="3546" w:type="dxa"/>
            <w:gridSpan w:val="4"/>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利用既有的4.0km，2.0m宽土路面，需改造为4.5m宽的碎石路面</w:t>
            </w:r>
          </w:p>
        </w:tc>
        <w:tc>
          <w:tcPr>
            <w:tcW w:w="3365"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0km</w:t>
            </w:r>
          </w:p>
        </w:tc>
      </w:tr>
      <w:tr>
        <w:trPr>
          <w:jc w:val="center"/>
        </w:trPr>
        <w:tc>
          <w:tcPr>
            <w:tcW w:w="674"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170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新建道路</w:t>
            </w:r>
          </w:p>
        </w:tc>
        <w:tc>
          <w:tcPr>
            <w:tcW w:w="3546" w:type="dxa"/>
            <w:gridSpan w:val="4"/>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0km</w:t>
            </w:r>
          </w:p>
        </w:tc>
        <w:tc>
          <w:tcPr>
            <w:tcW w:w="3365"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4.2km，宽4.5m碎石路面</w:t>
            </w:r>
          </w:p>
        </w:tc>
      </w:tr>
      <w:tr>
        <w:trPr>
          <w:jc w:val="center"/>
        </w:trPr>
        <w:tc>
          <w:tcPr>
            <w:tcW w:w="674" w:type="dxa"/>
            <w:vMerge w:val="restart"/>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1701" w:type="dxa"/>
            <w:vMerge w:val="restart"/>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运输路线途径村庄</w:t>
            </w: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高家湾村</w:t>
            </w: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114人</w:t>
            </w: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高家湾村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114人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宋家沟村</w:t>
            </w: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30m</w:t>
            </w: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629人</w:t>
            </w: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宋家沟村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30m</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629人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吴家岔村</w:t>
            </w: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已搬迁</w:t>
            </w: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铺上村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90人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杏树湾村</w:t>
            </w: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已搬迁</w:t>
            </w: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柳林湾村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180人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明家沟村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95人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王家沟村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96人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乔家湾村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40m</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90人</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前</w:t>
            </w:r>
            <w:r>
              <w:rPr>
                <w:rFonts w:ascii="Times New Roman" w:hAnsi="Times New Roman" w:cs="Times New Roman"/>
                <w:sz w:val="21"/>
                <w:szCs w:val="21"/>
              </w:rPr>
              <w:t>砖窑沟</w:t>
            </w:r>
            <w:r>
              <w:rPr>
                <w:rFonts w:hint="eastAsia" w:ascii="Times New Roman" w:hAnsi="Times New Roman" w:cs="Times New Roman"/>
                <w:sz w:val="21"/>
                <w:szCs w:val="21"/>
              </w:rPr>
              <w:t>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已搬迁</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609"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086"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851" w:type="dxa"/>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285"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堡子坡</w:t>
            </w:r>
            <w:r>
              <w:rPr>
                <w:rFonts w:hint="eastAsia" w:ascii="Times New Roman" w:hAnsi="Times New Roman" w:cs="Times New Roman"/>
                <w:sz w:val="21"/>
                <w:szCs w:val="21"/>
              </w:rPr>
              <w:t>村</w:t>
            </w:r>
          </w:p>
        </w:tc>
        <w:tc>
          <w:tcPr>
            <w:tcW w:w="113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紧邻</w:t>
            </w:r>
          </w:p>
        </w:tc>
        <w:tc>
          <w:tcPr>
            <w:tcW w:w="949"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已搬迁</w:t>
            </w:r>
          </w:p>
        </w:tc>
      </w:tr>
      <w:tr>
        <w:trPr>
          <w:jc w:val="center"/>
        </w:trPr>
        <w:tc>
          <w:tcPr>
            <w:tcW w:w="674"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1701" w:type="dxa"/>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涉及土地类型</w:t>
            </w:r>
          </w:p>
        </w:tc>
        <w:tc>
          <w:tcPr>
            <w:tcW w:w="3546" w:type="dxa"/>
            <w:gridSpan w:val="4"/>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林地、草地</w:t>
            </w:r>
          </w:p>
        </w:tc>
        <w:tc>
          <w:tcPr>
            <w:tcW w:w="3365"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草地、林地、基本农田</w:t>
            </w:r>
          </w:p>
        </w:tc>
      </w:tr>
      <w:tr>
        <w:trPr>
          <w:jc w:val="center"/>
        </w:trPr>
        <w:tc>
          <w:tcPr>
            <w:tcW w:w="674" w:type="dxa"/>
            <w:vMerge w:val="restart"/>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1701" w:type="dxa"/>
            <w:vMerge w:val="restart"/>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施工临时占地面积</w:t>
            </w:r>
          </w:p>
        </w:tc>
        <w:tc>
          <w:tcPr>
            <w:tcW w:w="1564" w:type="dxa"/>
            <w:vMerge w:val="restart"/>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4.0万m</w:t>
            </w:r>
            <w:r>
              <w:rPr>
                <w:rFonts w:hint="eastAsia" w:ascii="Times New Roman" w:hAnsi="Times New Roman" w:cs="Times New Roman"/>
                <w:sz w:val="21"/>
                <w:szCs w:val="21"/>
                <w:vertAlign w:val="superscript"/>
              </w:rPr>
              <w:t>2</w:t>
            </w:r>
          </w:p>
        </w:tc>
        <w:tc>
          <w:tcPr>
            <w:tcW w:w="1982"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针叶林15380m</w:t>
            </w:r>
            <w:r>
              <w:rPr>
                <w:rFonts w:hint="eastAsia" w:ascii="Times New Roman" w:hAnsi="Times New Roman" w:cs="Times New Roman"/>
                <w:sz w:val="21"/>
                <w:szCs w:val="21"/>
                <w:vertAlign w:val="superscript"/>
              </w:rPr>
              <w:t>2</w:t>
            </w:r>
          </w:p>
        </w:tc>
        <w:tc>
          <w:tcPr>
            <w:tcW w:w="1285" w:type="dxa"/>
            <w:vMerge w:val="restart"/>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4.2万m</w:t>
            </w:r>
            <w:r>
              <w:rPr>
                <w:rFonts w:hint="eastAsia" w:ascii="Times New Roman" w:hAnsi="Times New Roman" w:cs="Times New Roman"/>
                <w:sz w:val="21"/>
                <w:szCs w:val="21"/>
                <w:vertAlign w:val="superscript"/>
              </w:rPr>
              <w:t>2</w:t>
            </w:r>
          </w:p>
        </w:tc>
        <w:tc>
          <w:tcPr>
            <w:tcW w:w="2080" w:type="dxa"/>
            <w:gridSpan w:val="2"/>
            <w:vAlign w:val="center"/>
          </w:tcPr>
          <w:p>
            <w:pPr>
              <w:pStyle w:val="29"/>
              <w:spacing w:before="0" w:after="0" w:line="360" w:lineRule="exact"/>
              <w:jc w:val="center"/>
              <w:rPr>
                <w:rFonts w:ascii="Times New Roman" w:hAnsi="Times New Roman" w:cs="Times New Roman"/>
                <w:sz w:val="21"/>
                <w:szCs w:val="21"/>
              </w:rPr>
            </w:pPr>
            <w:r>
              <w:rPr>
                <w:rFonts w:hint="eastAsia" w:ascii="Times New Roman" w:hAnsi="Times New Roman" w:cs="Times New Roman"/>
                <w:sz w:val="21"/>
                <w:szCs w:val="21"/>
              </w:rPr>
              <w:t>针叶林3800m</w:t>
            </w:r>
            <w:r>
              <w:rPr>
                <w:rFonts w:hint="eastAsia" w:ascii="Times New Roman" w:hAnsi="Times New Roman" w:cs="Times New Roman"/>
                <w:sz w:val="21"/>
                <w:szCs w:val="21"/>
                <w:vertAlign w:val="superscript"/>
              </w:rPr>
              <w:t>2</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56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982"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阔叶林200m</w:t>
            </w:r>
            <w:r>
              <w:rPr>
                <w:rFonts w:hint="eastAsia" w:ascii="Times New Roman" w:hAnsi="Times New Roman" w:cs="Times New Roman"/>
                <w:sz w:val="21"/>
                <w:szCs w:val="21"/>
                <w:vertAlign w:val="superscript"/>
              </w:rPr>
              <w:t>2</w:t>
            </w:r>
          </w:p>
        </w:tc>
        <w:tc>
          <w:tcPr>
            <w:tcW w:w="1285"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2080"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阔叶林250m</w:t>
            </w:r>
            <w:r>
              <w:rPr>
                <w:rFonts w:hint="eastAsia" w:ascii="Times New Roman" w:hAnsi="Times New Roman" w:cs="Times New Roman"/>
                <w:sz w:val="21"/>
                <w:szCs w:val="21"/>
                <w:vertAlign w:val="superscript"/>
              </w:rPr>
              <w:t>2</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56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982"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灌木林6700m</w:t>
            </w:r>
            <w:r>
              <w:rPr>
                <w:rFonts w:hint="eastAsia" w:ascii="Times New Roman" w:hAnsi="Times New Roman" w:cs="Times New Roman"/>
                <w:sz w:val="21"/>
                <w:szCs w:val="21"/>
                <w:vertAlign w:val="superscript"/>
              </w:rPr>
              <w:t>2</w:t>
            </w:r>
          </w:p>
        </w:tc>
        <w:tc>
          <w:tcPr>
            <w:tcW w:w="1285"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2080"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灌木林2250m</w:t>
            </w:r>
            <w:r>
              <w:rPr>
                <w:rFonts w:hint="eastAsia" w:ascii="Times New Roman" w:hAnsi="Times New Roman" w:cs="Times New Roman"/>
                <w:sz w:val="21"/>
                <w:szCs w:val="21"/>
                <w:vertAlign w:val="superscript"/>
              </w:rPr>
              <w:t>2</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56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982"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草地9720m</w:t>
            </w:r>
            <w:r>
              <w:rPr>
                <w:rFonts w:hint="eastAsia" w:ascii="Times New Roman" w:hAnsi="Times New Roman" w:cs="Times New Roman"/>
                <w:sz w:val="21"/>
                <w:szCs w:val="21"/>
                <w:vertAlign w:val="superscript"/>
              </w:rPr>
              <w:t>2</w:t>
            </w:r>
          </w:p>
        </w:tc>
        <w:tc>
          <w:tcPr>
            <w:tcW w:w="1285"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2080"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草地35250m</w:t>
            </w:r>
            <w:r>
              <w:rPr>
                <w:rFonts w:hint="eastAsia" w:ascii="Times New Roman" w:hAnsi="Times New Roman" w:cs="Times New Roman"/>
                <w:sz w:val="21"/>
                <w:szCs w:val="21"/>
                <w:vertAlign w:val="superscript"/>
              </w:rPr>
              <w:t>2</w:t>
            </w:r>
          </w:p>
        </w:tc>
      </w:tr>
      <w:tr>
        <w:trPr>
          <w:jc w:val="center"/>
        </w:trPr>
        <w:tc>
          <w:tcPr>
            <w:tcW w:w="67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701"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564"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1982" w:type="dxa"/>
            <w:gridSpan w:val="3"/>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既有道路占地8000m</w:t>
            </w:r>
            <w:r>
              <w:rPr>
                <w:rFonts w:hint="eastAsia" w:ascii="Times New Roman" w:hAnsi="Times New Roman" w:cs="Times New Roman"/>
                <w:sz w:val="21"/>
                <w:szCs w:val="21"/>
                <w:vertAlign w:val="superscript"/>
              </w:rPr>
              <w:t>2</w:t>
            </w:r>
          </w:p>
        </w:tc>
        <w:tc>
          <w:tcPr>
            <w:tcW w:w="1285" w:type="dxa"/>
            <w:vMerge w:val="continue"/>
            <w:vAlign w:val="center"/>
          </w:tcPr>
          <w:p>
            <w:pPr>
              <w:pStyle w:val="29"/>
              <w:spacing w:before="0" w:beforeAutospacing="0" w:after="0" w:afterAutospacing="0" w:line="360" w:lineRule="exact"/>
              <w:jc w:val="center"/>
              <w:rPr>
                <w:rFonts w:ascii="Times New Roman" w:hAnsi="Times New Roman" w:cs="Times New Roman"/>
                <w:sz w:val="21"/>
                <w:szCs w:val="21"/>
              </w:rPr>
            </w:pPr>
          </w:p>
        </w:tc>
        <w:tc>
          <w:tcPr>
            <w:tcW w:w="2080" w:type="dxa"/>
            <w:gridSpan w:val="2"/>
            <w:vAlign w:val="center"/>
          </w:tcPr>
          <w:p>
            <w:pPr>
              <w:pStyle w:val="29"/>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基本农田450m</w:t>
            </w:r>
            <w:r>
              <w:rPr>
                <w:rFonts w:hint="eastAsia" w:ascii="Times New Roman" w:hAnsi="Times New Roman" w:cs="Times New Roman"/>
                <w:sz w:val="21"/>
                <w:szCs w:val="21"/>
                <w:vertAlign w:val="superscript"/>
              </w:rPr>
              <w:t>2</w:t>
            </w:r>
          </w:p>
        </w:tc>
      </w:tr>
    </w:tbl>
    <w:p>
      <w:pPr>
        <w:wordWrap w:val="0"/>
        <w:autoSpaceDE w:val="0"/>
        <w:autoSpaceDN w:val="0"/>
        <w:adjustRightInd w:val="0"/>
        <w:spacing w:line="420" w:lineRule="exact"/>
        <w:ind w:firstLine="480" w:firstLineChars="200"/>
        <w:rPr>
          <w:kern w:val="0"/>
          <w:sz w:val="24"/>
        </w:rPr>
      </w:pPr>
      <w:r>
        <w:rPr>
          <w:rFonts w:hint="eastAsia"/>
          <w:kern w:val="0"/>
          <w:sz w:val="24"/>
        </w:rPr>
        <w:t>根据上表可知：</w:t>
      </w:r>
    </w:p>
    <w:p>
      <w:pPr>
        <w:pStyle w:val="56"/>
        <w:numPr>
          <w:ilvl w:val="0"/>
          <w:numId w:val="7"/>
        </w:numPr>
        <w:wordWrap w:val="0"/>
        <w:autoSpaceDE w:val="0"/>
        <w:autoSpaceDN w:val="0"/>
        <w:adjustRightInd w:val="0"/>
        <w:spacing w:line="420" w:lineRule="exact"/>
        <w:ind w:firstLineChars="0"/>
        <w:rPr>
          <w:kern w:val="0"/>
          <w:sz w:val="24"/>
        </w:rPr>
      </w:pPr>
      <w:r>
        <w:rPr>
          <w:rFonts w:hint="eastAsia"/>
          <w:kern w:val="0"/>
          <w:sz w:val="24"/>
        </w:rPr>
        <w:t>方案一选择的路线可利用既有道路（4.0km长，2.0m宽的土路面），方案一仅需对既有道路进行改造，无需新建进场道路，而方案二无既有道路可利用，需要新建进场道路4.2km；</w:t>
      </w:r>
    </w:p>
    <w:p>
      <w:pPr>
        <w:pStyle w:val="56"/>
        <w:numPr>
          <w:ilvl w:val="0"/>
          <w:numId w:val="7"/>
        </w:numPr>
        <w:wordWrap w:val="0"/>
        <w:autoSpaceDE w:val="0"/>
        <w:autoSpaceDN w:val="0"/>
        <w:adjustRightInd w:val="0"/>
        <w:spacing w:line="420" w:lineRule="exact"/>
        <w:ind w:firstLineChars="0"/>
        <w:rPr>
          <w:kern w:val="0"/>
          <w:sz w:val="24"/>
        </w:rPr>
      </w:pPr>
      <w:r>
        <w:rPr>
          <w:rFonts w:hint="eastAsia"/>
          <w:kern w:val="0"/>
          <w:sz w:val="24"/>
        </w:rPr>
        <w:t>本项目风机组件等大件的运输经“黄道川</w:t>
      </w:r>
      <w:r>
        <w:rPr>
          <w:kern w:val="0"/>
          <w:sz w:val="24"/>
        </w:rPr>
        <w:t>收费站-</w:t>
      </w:r>
      <w:r>
        <w:rPr>
          <w:rFonts w:hint="eastAsia"/>
          <w:kern w:val="0"/>
          <w:sz w:val="24"/>
        </w:rPr>
        <w:t>国道G</w:t>
      </w:r>
      <w:r>
        <w:rPr>
          <w:kern w:val="0"/>
          <w:sz w:val="24"/>
        </w:rPr>
        <w:t>209</w:t>
      </w:r>
      <w:r>
        <w:rPr>
          <w:rFonts w:hint="eastAsia"/>
          <w:kern w:val="0"/>
          <w:sz w:val="24"/>
        </w:rPr>
        <w:t>-风电场”，运输产生的扬尘和噪声会对沿线分布的村庄产生一定的影响，方案一运输路线沿线经过3个村庄，其中吴家岔村和杏树湾村现已整村搬迁至宋家沟乡，现无居住人口；方案二沿途经过9个村庄，村庄大多沿209国道带状分布，其中前砖窑沟村和</w:t>
      </w:r>
      <w:r>
        <w:rPr>
          <w:kern w:val="0"/>
          <w:sz w:val="24"/>
        </w:rPr>
        <w:t>堡子坡</w:t>
      </w:r>
      <w:r>
        <w:rPr>
          <w:rFonts w:hint="eastAsia"/>
          <w:kern w:val="0"/>
          <w:sz w:val="24"/>
        </w:rPr>
        <w:t>村已整存搬迁。综上方案一运输路线较短，途径村庄较少，对沿线村庄影响较小；</w:t>
      </w:r>
    </w:p>
    <w:p>
      <w:pPr>
        <w:pStyle w:val="56"/>
        <w:numPr>
          <w:ilvl w:val="0"/>
          <w:numId w:val="7"/>
        </w:numPr>
        <w:wordWrap w:val="0"/>
        <w:autoSpaceDE w:val="0"/>
        <w:autoSpaceDN w:val="0"/>
        <w:adjustRightInd w:val="0"/>
        <w:spacing w:line="420" w:lineRule="exact"/>
        <w:ind w:firstLineChars="0"/>
        <w:rPr>
          <w:kern w:val="0"/>
          <w:sz w:val="24"/>
        </w:rPr>
      </w:pPr>
      <w:r>
        <w:rPr>
          <w:rFonts w:hint="eastAsia"/>
          <w:kern w:val="0"/>
          <w:sz w:val="24"/>
        </w:rPr>
        <w:t>从涉及的土地类型比选，方案一针对既有道路扩建工程占地范围内土地类型主要为林地和草地；方案二新建道路占地范围内土地类型包括林地、草地和农田。经企业与国土部门核实当地农田为基本农田，方案二选线无法避让基本农田。</w:t>
      </w:r>
    </w:p>
    <w:p>
      <w:pPr>
        <w:pStyle w:val="56"/>
        <w:numPr>
          <w:ilvl w:val="0"/>
          <w:numId w:val="7"/>
        </w:numPr>
        <w:wordWrap w:val="0"/>
        <w:autoSpaceDE w:val="0"/>
        <w:autoSpaceDN w:val="0"/>
        <w:adjustRightInd w:val="0"/>
        <w:spacing w:line="420" w:lineRule="exact"/>
        <w:ind w:firstLineChars="0"/>
        <w:rPr>
          <w:kern w:val="0"/>
          <w:sz w:val="24"/>
        </w:rPr>
      </w:pPr>
      <w:r>
        <w:rPr>
          <w:rFonts w:hint="eastAsia"/>
          <w:kern w:val="0"/>
          <w:sz w:val="24"/>
        </w:rPr>
        <w:t>从施工期修建道路可能影响的范围方面比选，方案二修建道路长度较长，生态影响的范围较大。</w:t>
      </w:r>
    </w:p>
    <w:p>
      <w:pPr>
        <w:wordWrap w:val="0"/>
        <w:autoSpaceDE w:val="0"/>
        <w:autoSpaceDN w:val="0"/>
        <w:adjustRightInd w:val="0"/>
        <w:spacing w:line="420" w:lineRule="exact"/>
        <w:ind w:firstLine="480" w:firstLineChars="200"/>
        <w:rPr>
          <w:kern w:val="0"/>
          <w:sz w:val="24"/>
        </w:rPr>
      </w:pPr>
      <w:r>
        <w:rPr>
          <w:rFonts w:hint="eastAsia"/>
          <w:kern w:val="0"/>
          <w:sz w:val="24"/>
        </w:rPr>
        <w:t>综合各方面比选，本项目选择方案一作为本项目的大件运输路线和进场道路。施工过程中通过严格控制施工作业带范围，微观调整路线避让大型林木等措施进行优化，施工结束后选取乡土树种及时、等量地恢复临时占地范围内的植被。进场道路及检修道路的主要技术参数见表9。</w:t>
      </w:r>
    </w:p>
    <w:p>
      <w:pPr>
        <w:autoSpaceDE w:val="0"/>
        <w:autoSpaceDN w:val="0"/>
        <w:adjustRightInd w:val="0"/>
        <w:spacing w:line="420" w:lineRule="exact"/>
        <w:ind w:firstLine="480" w:firstLineChars="200"/>
        <w:jc w:val="center"/>
        <w:rPr>
          <w:kern w:val="0"/>
          <w:sz w:val="24"/>
        </w:rPr>
      </w:pPr>
      <w:r>
        <w:rPr>
          <w:rFonts w:hint="eastAsia"/>
          <w:kern w:val="0"/>
          <w:sz w:val="24"/>
        </w:rPr>
        <w:t>表9   道路的主要技术参数</w:t>
      </w:r>
    </w:p>
    <w:tbl>
      <w:tblPr>
        <w:tblW w:w="8913"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951"/>
        <w:gridCol w:w="2533"/>
        <w:gridCol w:w="776"/>
        <w:gridCol w:w="1968"/>
        <w:gridCol w:w="2685"/>
      </w:tblGrid>
      <w:tr>
        <w:trPr>
          <w:trHeight w:val="462" w:hRule="exact"/>
        </w:trPr>
        <w:tc>
          <w:tcPr>
            <w:tcW w:w="951" w:type="dxa"/>
            <w:vAlign w:val="center"/>
          </w:tcPr>
          <w:p>
            <w:pPr>
              <w:wordWrap w:val="0"/>
              <w:autoSpaceDE w:val="0"/>
              <w:autoSpaceDN w:val="0"/>
              <w:adjustRightInd w:val="0"/>
              <w:snapToGrid w:val="0"/>
              <w:spacing w:line="360" w:lineRule="exact"/>
              <w:jc w:val="center"/>
              <w:rPr>
                <w:kern w:val="0"/>
              </w:rPr>
            </w:pPr>
            <w:r>
              <w:rPr>
                <w:kern w:val="0"/>
              </w:rPr>
              <w:t>序号</w:t>
            </w:r>
          </w:p>
        </w:tc>
        <w:tc>
          <w:tcPr>
            <w:tcW w:w="2533" w:type="dxa"/>
            <w:vAlign w:val="center"/>
          </w:tcPr>
          <w:p>
            <w:pPr>
              <w:wordWrap w:val="0"/>
              <w:autoSpaceDE w:val="0"/>
              <w:autoSpaceDN w:val="0"/>
              <w:adjustRightInd w:val="0"/>
              <w:snapToGrid w:val="0"/>
              <w:spacing w:line="360" w:lineRule="exact"/>
              <w:jc w:val="center"/>
              <w:rPr>
                <w:kern w:val="0"/>
              </w:rPr>
            </w:pPr>
            <w:r>
              <w:rPr>
                <w:kern w:val="0"/>
              </w:rPr>
              <w:t>项</w:t>
            </w:r>
            <w:r>
              <w:rPr>
                <w:kern w:val="0"/>
              </w:rPr>
              <w:tab/>
            </w:r>
            <w:r>
              <w:rPr>
                <w:kern w:val="0"/>
              </w:rPr>
              <w:t>目</w:t>
            </w:r>
          </w:p>
        </w:tc>
        <w:tc>
          <w:tcPr>
            <w:tcW w:w="776" w:type="dxa"/>
            <w:vAlign w:val="center"/>
          </w:tcPr>
          <w:p>
            <w:pPr>
              <w:wordWrap w:val="0"/>
              <w:autoSpaceDE w:val="0"/>
              <w:autoSpaceDN w:val="0"/>
              <w:adjustRightInd w:val="0"/>
              <w:snapToGrid w:val="0"/>
              <w:spacing w:line="360" w:lineRule="exact"/>
              <w:jc w:val="center"/>
              <w:rPr>
                <w:kern w:val="0"/>
              </w:rPr>
            </w:pPr>
            <w:r>
              <w:rPr>
                <w:kern w:val="0"/>
              </w:rPr>
              <w:t>单位</w:t>
            </w:r>
          </w:p>
        </w:tc>
        <w:tc>
          <w:tcPr>
            <w:tcW w:w="1968" w:type="dxa"/>
            <w:vAlign w:val="center"/>
          </w:tcPr>
          <w:p>
            <w:pPr>
              <w:wordWrap w:val="0"/>
              <w:autoSpaceDE w:val="0"/>
              <w:autoSpaceDN w:val="0"/>
              <w:adjustRightInd w:val="0"/>
              <w:snapToGrid w:val="0"/>
              <w:spacing w:line="360" w:lineRule="exact"/>
              <w:jc w:val="center"/>
              <w:rPr>
                <w:kern w:val="0"/>
              </w:rPr>
            </w:pPr>
            <w:r>
              <w:rPr>
                <w:kern w:val="0"/>
              </w:rPr>
              <w:t>指</w:t>
            </w:r>
            <w:r>
              <w:rPr>
                <w:kern w:val="0"/>
              </w:rPr>
              <w:tab/>
            </w:r>
            <w:r>
              <w:rPr>
                <w:kern w:val="0"/>
              </w:rPr>
              <w:t>标</w:t>
            </w:r>
          </w:p>
        </w:tc>
        <w:tc>
          <w:tcPr>
            <w:tcW w:w="2685" w:type="dxa"/>
            <w:vAlign w:val="center"/>
          </w:tcPr>
          <w:p>
            <w:pPr>
              <w:wordWrap w:val="0"/>
              <w:autoSpaceDE w:val="0"/>
              <w:autoSpaceDN w:val="0"/>
              <w:adjustRightInd w:val="0"/>
              <w:snapToGrid w:val="0"/>
              <w:spacing w:line="360" w:lineRule="exact"/>
              <w:jc w:val="center"/>
              <w:rPr>
                <w:kern w:val="0"/>
              </w:rPr>
            </w:pPr>
            <w:r>
              <w:rPr>
                <w:kern w:val="0"/>
              </w:rPr>
              <w:t>备</w:t>
            </w:r>
            <w:r>
              <w:rPr>
                <w:kern w:val="0"/>
              </w:rPr>
              <w:tab/>
            </w:r>
            <w:r>
              <w:rPr>
                <w:kern w:val="0"/>
              </w:rPr>
              <w:t>注</w:t>
            </w:r>
          </w:p>
        </w:tc>
      </w:tr>
      <w:tr>
        <w:trPr>
          <w:trHeight w:val="452" w:hRule="exact"/>
        </w:trPr>
        <w:tc>
          <w:tcPr>
            <w:tcW w:w="951" w:type="dxa"/>
            <w:vAlign w:val="center"/>
          </w:tcPr>
          <w:p>
            <w:pPr>
              <w:wordWrap w:val="0"/>
              <w:autoSpaceDE w:val="0"/>
              <w:autoSpaceDN w:val="0"/>
              <w:adjustRightInd w:val="0"/>
              <w:snapToGrid w:val="0"/>
              <w:spacing w:line="360" w:lineRule="exact"/>
              <w:jc w:val="center"/>
              <w:rPr>
                <w:kern w:val="0"/>
              </w:rPr>
            </w:pPr>
            <w:r>
              <w:rPr>
                <w:kern w:val="0"/>
              </w:rPr>
              <w:t>1</w:t>
            </w:r>
          </w:p>
        </w:tc>
        <w:tc>
          <w:tcPr>
            <w:tcW w:w="2533" w:type="dxa"/>
            <w:vAlign w:val="center"/>
          </w:tcPr>
          <w:p>
            <w:pPr>
              <w:wordWrap w:val="0"/>
              <w:autoSpaceDE w:val="0"/>
              <w:autoSpaceDN w:val="0"/>
              <w:adjustRightInd w:val="0"/>
              <w:snapToGrid w:val="0"/>
              <w:spacing w:line="360" w:lineRule="exact"/>
              <w:jc w:val="center"/>
              <w:rPr>
                <w:kern w:val="0"/>
              </w:rPr>
            </w:pPr>
            <w:r>
              <w:rPr>
                <w:kern w:val="0"/>
              </w:rPr>
              <w:t>设计速度</w:t>
            </w:r>
          </w:p>
        </w:tc>
        <w:tc>
          <w:tcPr>
            <w:tcW w:w="776" w:type="dxa"/>
            <w:vAlign w:val="center"/>
          </w:tcPr>
          <w:p>
            <w:pPr>
              <w:wordWrap w:val="0"/>
              <w:autoSpaceDE w:val="0"/>
              <w:autoSpaceDN w:val="0"/>
              <w:adjustRightInd w:val="0"/>
              <w:snapToGrid w:val="0"/>
              <w:spacing w:line="360" w:lineRule="exact"/>
              <w:jc w:val="center"/>
              <w:rPr>
                <w:kern w:val="0"/>
              </w:rPr>
            </w:pPr>
            <w:r>
              <w:rPr>
                <w:kern w:val="0"/>
              </w:rPr>
              <w:t>km/h</w:t>
            </w:r>
          </w:p>
        </w:tc>
        <w:tc>
          <w:tcPr>
            <w:tcW w:w="1968" w:type="dxa"/>
            <w:vAlign w:val="center"/>
          </w:tcPr>
          <w:p>
            <w:pPr>
              <w:wordWrap w:val="0"/>
              <w:autoSpaceDE w:val="0"/>
              <w:autoSpaceDN w:val="0"/>
              <w:adjustRightInd w:val="0"/>
              <w:snapToGrid w:val="0"/>
              <w:spacing w:line="360" w:lineRule="exact"/>
              <w:jc w:val="center"/>
              <w:rPr>
                <w:kern w:val="0"/>
              </w:rPr>
            </w:pPr>
            <w:r>
              <w:rPr>
                <w:kern w:val="0"/>
              </w:rPr>
              <w:t>15</w:t>
            </w:r>
          </w:p>
        </w:tc>
        <w:tc>
          <w:tcPr>
            <w:tcW w:w="2685" w:type="dxa"/>
            <w:vAlign w:val="center"/>
          </w:tcPr>
          <w:p>
            <w:pPr>
              <w:wordWrap w:val="0"/>
              <w:autoSpaceDE w:val="0"/>
              <w:autoSpaceDN w:val="0"/>
              <w:adjustRightInd w:val="0"/>
              <w:snapToGrid w:val="0"/>
              <w:spacing w:line="360" w:lineRule="exact"/>
              <w:jc w:val="center"/>
              <w:rPr>
                <w:kern w:val="0"/>
              </w:rPr>
            </w:pPr>
          </w:p>
        </w:tc>
      </w:tr>
      <w:tr>
        <w:trPr>
          <w:trHeight w:val="452" w:hRule="exact"/>
        </w:trPr>
        <w:tc>
          <w:tcPr>
            <w:tcW w:w="951" w:type="dxa"/>
            <w:vAlign w:val="center"/>
          </w:tcPr>
          <w:p>
            <w:pPr>
              <w:wordWrap w:val="0"/>
              <w:autoSpaceDE w:val="0"/>
              <w:autoSpaceDN w:val="0"/>
              <w:adjustRightInd w:val="0"/>
              <w:snapToGrid w:val="0"/>
              <w:spacing w:line="360" w:lineRule="exact"/>
              <w:jc w:val="center"/>
              <w:rPr>
                <w:kern w:val="0"/>
              </w:rPr>
            </w:pPr>
            <w:r>
              <w:rPr>
                <w:kern w:val="0"/>
              </w:rPr>
              <w:t>2</w:t>
            </w:r>
          </w:p>
        </w:tc>
        <w:tc>
          <w:tcPr>
            <w:tcW w:w="2533" w:type="dxa"/>
            <w:vAlign w:val="center"/>
          </w:tcPr>
          <w:p>
            <w:pPr>
              <w:wordWrap w:val="0"/>
              <w:autoSpaceDE w:val="0"/>
              <w:autoSpaceDN w:val="0"/>
              <w:adjustRightInd w:val="0"/>
              <w:snapToGrid w:val="0"/>
              <w:spacing w:line="360" w:lineRule="exact"/>
              <w:jc w:val="center"/>
              <w:rPr>
                <w:kern w:val="0"/>
              </w:rPr>
            </w:pPr>
            <w:r>
              <w:rPr>
                <w:kern w:val="0"/>
              </w:rPr>
              <w:t>路基宽度</w:t>
            </w:r>
          </w:p>
        </w:tc>
        <w:tc>
          <w:tcPr>
            <w:tcW w:w="776" w:type="dxa"/>
            <w:vAlign w:val="center"/>
          </w:tcPr>
          <w:p>
            <w:pPr>
              <w:wordWrap w:val="0"/>
              <w:autoSpaceDE w:val="0"/>
              <w:autoSpaceDN w:val="0"/>
              <w:adjustRightInd w:val="0"/>
              <w:snapToGrid w:val="0"/>
              <w:spacing w:line="360" w:lineRule="exact"/>
              <w:jc w:val="center"/>
              <w:rPr>
                <w:kern w:val="0"/>
              </w:rPr>
            </w:pPr>
            <w:r>
              <w:rPr>
                <w:kern w:val="0"/>
              </w:rPr>
              <w:t>m</w:t>
            </w:r>
          </w:p>
        </w:tc>
        <w:tc>
          <w:tcPr>
            <w:tcW w:w="1968" w:type="dxa"/>
            <w:vAlign w:val="center"/>
          </w:tcPr>
          <w:p>
            <w:pPr>
              <w:wordWrap w:val="0"/>
              <w:autoSpaceDE w:val="0"/>
              <w:autoSpaceDN w:val="0"/>
              <w:adjustRightInd w:val="0"/>
              <w:snapToGrid w:val="0"/>
              <w:spacing w:line="360" w:lineRule="exact"/>
              <w:jc w:val="center"/>
              <w:rPr>
                <w:kern w:val="0"/>
              </w:rPr>
            </w:pPr>
            <w:r>
              <w:rPr>
                <w:kern w:val="0"/>
              </w:rPr>
              <w:t>5.5</w:t>
            </w:r>
          </w:p>
        </w:tc>
        <w:tc>
          <w:tcPr>
            <w:tcW w:w="2685" w:type="dxa"/>
            <w:vAlign w:val="center"/>
          </w:tcPr>
          <w:p>
            <w:pPr>
              <w:wordWrap w:val="0"/>
              <w:autoSpaceDE w:val="0"/>
              <w:autoSpaceDN w:val="0"/>
              <w:adjustRightInd w:val="0"/>
              <w:snapToGrid w:val="0"/>
              <w:spacing w:line="360" w:lineRule="exact"/>
              <w:jc w:val="center"/>
              <w:rPr>
                <w:kern w:val="0"/>
              </w:rPr>
            </w:pPr>
          </w:p>
        </w:tc>
      </w:tr>
      <w:tr>
        <w:trPr>
          <w:trHeight w:val="455" w:hRule="exact"/>
        </w:trPr>
        <w:tc>
          <w:tcPr>
            <w:tcW w:w="951" w:type="dxa"/>
            <w:vAlign w:val="center"/>
          </w:tcPr>
          <w:p>
            <w:pPr>
              <w:wordWrap w:val="0"/>
              <w:autoSpaceDE w:val="0"/>
              <w:autoSpaceDN w:val="0"/>
              <w:adjustRightInd w:val="0"/>
              <w:snapToGrid w:val="0"/>
              <w:spacing w:line="360" w:lineRule="exact"/>
              <w:jc w:val="center"/>
              <w:rPr>
                <w:kern w:val="0"/>
              </w:rPr>
            </w:pPr>
            <w:r>
              <w:rPr>
                <w:kern w:val="0"/>
              </w:rPr>
              <w:t>3</w:t>
            </w:r>
          </w:p>
        </w:tc>
        <w:tc>
          <w:tcPr>
            <w:tcW w:w="2533" w:type="dxa"/>
            <w:vAlign w:val="center"/>
          </w:tcPr>
          <w:p>
            <w:pPr>
              <w:wordWrap w:val="0"/>
              <w:autoSpaceDE w:val="0"/>
              <w:autoSpaceDN w:val="0"/>
              <w:adjustRightInd w:val="0"/>
              <w:snapToGrid w:val="0"/>
              <w:spacing w:line="360" w:lineRule="exact"/>
              <w:jc w:val="center"/>
              <w:rPr>
                <w:kern w:val="0"/>
              </w:rPr>
            </w:pPr>
            <w:r>
              <w:rPr>
                <w:kern w:val="0"/>
              </w:rPr>
              <w:t>路面宽度</w:t>
            </w:r>
          </w:p>
        </w:tc>
        <w:tc>
          <w:tcPr>
            <w:tcW w:w="776" w:type="dxa"/>
            <w:vAlign w:val="center"/>
          </w:tcPr>
          <w:p>
            <w:pPr>
              <w:wordWrap w:val="0"/>
              <w:autoSpaceDE w:val="0"/>
              <w:autoSpaceDN w:val="0"/>
              <w:adjustRightInd w:val="0"/>
              <w:snapToGrid w:val="0"/>
              <w:spacing w:line="360" w:lineRule="exact"/>
              <w:jc w:val="center"/>
              <w:rPr>
                <w:kern w:val="0"/>
              </w:rPr>
            </w:pPr>
            <w:r>
              <w:rPr>
                <w:kern w:val="0"/>
              </w:rPr>
              <w:t>m</w:t>
            </w:r>
          </w:p>
        </w:tc>
        <w:tc>
          <w:tcPr>
            <w:tcW w:w="1968" w:type="dxa"/>
            <w:vAlign w:val="center"/>
          </w:tcPr>
          <w:p>
            <w:pPr>
              <w:wordWrap w:val="0"/>
              <w:autoSpaceDE w:val="0"/>
              <w:autoSpaceDN w:val="0"/>
              <w:adjustRightInd w:val="0"/>
              <w:snapToGrid w:val="0"/>
              <w:spacing w:line="360" w:lineRule="exact"/>
              <w:jc w:val="center"/>
              <w:rPr>
                <w:kern w:val="0"/>
              </w:rPr>
            </w:pPr>
            <w:r>
              <w:rPr>
                <w:kern w:val="0"/>
              </w:rPr>
              <w:t>4.5</w:t>
            </w:r>
          </w:p>
        </w:tc>
        <w:tc>
          <w:tcPr>
            <w:tcW w:w="2685" w:type="dxa"/>
            <w:vAlign w:val="center"/>
          </w:tcPr>
          <w:p>
            <w:pPr>
              <w:wordWrap w:val="0"/>
              <w:autoSpaceDE w:val="0"/>
              <w:autoSpaceDN w:val="0"/>
              <w:adjustRightInd w:val="0"/>
              <w:snapToGrid w:val="0"/>
              <w:spacing w:line="360" w:lineRule="exact"/>
              <w:jc w:val="center"/>
              <w:rPr>
                <w:kern w:val="0"/>
              </w:rPr>
            </w:pPr>
          </w:p>
        </w:tc>
      </w:tr>
      <w:tr>
        <w:trPr>
          <w:trHeight w:val="452" w:hRule="exact"/>
        </w:trPr>
        <w:tc>
          <w:tcPr>
            <w:tcW w:w="951" w:type="dxa"/>
            <w:vAlign w:val="center"/>
          </w:tcPr>
          <w:p>
            <w:pPr>
              <w:wordWrap w:val="0"/>
              <w:autoSpaceDE w:val="0"/>
              <w:autoSpaceDN w:val="0"/>
              <w:adjustRightInd w:val="0"/>
              <w:snapToGrid w:val="0"/>
              <w:spacing w:line="360" w:lineRule="exact"/>
              <w:jc w:val="center"/>
              <w:rPr>
                <w:kern w:val="0"/>
              </w:rPr>
            </w:pPr>
            <w:r>
              <w:rPr>
                <w:kern w:val="0"/>
              </w:rPr>
              <w:t>4</w:t>
            </w:r>
          </w:p>
        </w:tc>
        <w:tc>
          <w:tcPr>
            <w:tcW w:w="2533" w:type="dxa"/>
            <w:vAlign w:val="center"/>
          </w:tcPr>
          <w:p>
            <w:pPr>
              <w:wordWrap w:val="0"/>
              <w:autoSpaceDE w:val="0"/>
              <w:autoSpaceDN w:val="0"/>
              <w:adjustRightInd w:val="0"/>
              <w:snapToGrid w:val="0"/>
              <w:spacing w:line="360" w:lineRule="exact"/>
              <w:jc w:val="center"/>
              <w:rPr>
                <w:kern w:val="0"/>
              </w:rPr>
            </w:pPr>
            <w:r>
              <w:rPr>
                <w:kern w:val="0"/>
              </w:rPr>
              <w:t>路面类型</w:t>
            </w:r>
          </w:p>
        </w:tc>
        <w:tc>
          <w:tcPr>
            <w:tcW w:w="776" w:type="dxa"/>
            <w:vAlign w:val="center"/>
          </w:tcPr>
          <w:p>
            <w:pPr>
              <w:wordWrap w:val="0"/>
              <w:autoSpaceDE w:val="0"/>
              <w:autoSpaceDN w:val="0"/>
              <w:adjustRightInd w:val="0"/>
              <w:snapToGrid w:val="0"/>
              <w:spacing w:line="360" w:lineRule="exact"/>
              <w:jc w:val="center"/>
              <w:rPr>
                <w:kern w:val="0"/>
              </w:rPr>
            </w:pPr>
          </w:p>
        </w:tc>
        <w:tc>
          <w:tcPr>
            <w:tcW w:w="1968" w:type="dxa"/>
            <w:vAlign w:val="center"/>
          </w:tcPr>
          <w:p>
            <w:pPr>
              <w:wordWrap w:val="0"/>
              <w:autoSpaceDE w:val="0"/>
              <w:autoSpaceDN w:val="0"/>
              <w:adjustRightInd w:val="0"/>
              <w:snapToGrid w:val="0"/>
              <w:spacing w:line="360" w:lineRule="exact"/>
              <w:jc w:val="center"/>
              <w:rPr>
                <w:kern w:val="0"/>
              </w:rPr>
            </w:pPr>
            <w:r>
              <w:rPr>
                <w:kern w:val="0"/>
              </w:rPr>
              <w:t>泥结碎石路面</w:t>
            </w:r>
          </w:p>
        </w:tc>
        <w:tc>
          <w:tcPr>
            <w:tcW w:w="2685" w:type="dxa"/>
            <w:vAlign w:val="center"/>
          </w:tcPr>
          <w:p>
            <w:pPr>
              <w:wordWrap w:val="0"/>
              <w:autoSpaceDE w:val="0"/>
              <w:autoSpaceDN w:val="0"/>
              <w:adjustRightInd w:val="0"/>
              <w:snapToGrid w:val="0"/>
              <w:spacing w:line="360" w:lineRule="exact"/>
              <w:jc w:val="center"/>
              <w:rPr>
                <w:kern w:val="0"/>
              </w:rPr>
            </w:pPr>
          </w:p>
        </w:tc>
      </w:tr>
      <w:tr>
        <w:trPr>
          <w:trHeight w:val="452" w:hRule="exact"/>
        </w:trPr>
        <w:tc>
          <w:tcPr>
            <w:tcW w:w="951" w:type="dxa"/>
            <w:vAlign w:val="center"/>
          </w:tcPr>
          <w:p>
            <w:pPr>
              <w:wordWrap w:val="0"/>
              <w:autoSpaceDE w:val="0"/>
              <w:autoSpaceDN w:val="0"/>
              <w:adjustRightInd w:val="0"/>
              <w:snapToGrid w:val="0"/>
              <w:spacing w:line="360" w:lineRule="exact"/>
              <w:jc w:val="center"/>
              <w:rPr>
                <w:kern w:val="0"/>
              </w:rPr>
            </w:pPr>
            <w:r>
              <w:rPr>
                <w:kern w:val="0"/>
              </w:rPr>
              <w:t>5</w:t>
            </w:r>
          </w:p>
        </w:tc>
        <w:tc>
          <w:tcPr>
            <w:tcW w:w="2533" w:type="dxa"/>
            <w:vAlign w:val="center"/>
          </w:tcPr>
          <w:p>
            <w:pPr>
              <w:wordWrap w:val="0"/>
              <w:autoSpaceDE w:val="0"/>
              <w:autoSpaceDN w:val="0"/>
              <w:adjustRightInd w:val="0"/>
              <w:snapToGrid w:val="0"/>
              <w:spacing w:line="360" w:lineRule="exact"/>
              <w:jc w:val="center"/>
              <w:rPr>
                <w:kern w:val="0"/>
              </w:rPr>
            </w:pPr>
            <w:r>
              <w:rPr>
                <w:kern w:val="0"/>
              </w:rPr>
              <w:t>最小平曲线半径</w:t>
            </w:r>
          </w:p>
        </w:tc>
        <w:tc>
          <w:tcPr>
            <w:tcW w:w="776" w:type="dxa"/>
            <w:vAlign w:val="center"/>
          </w:tcPr>
          <w:p>
            <w:pPr>
              <w:wordWrap w:val="0"/>
              <w:autoSpaceDE w:val="0"/>
              <w:autoSpaceDN w:val="0"/>
              <w:adjustRightInd w:val="0"/>
              <w:snapToGrid w:val="0"/>
              <w:spacing w:line="360" w:lineRule="exact"/>
              <w:jc w:val="center"/>
              <w:rPr>
                <w:kern w:val="0"/>
              </w:rPr>
            </w:pPr>
            <w:r>
              <w:rPr>
                <w:kern w:val="0"/>
              </w:rPr>
              <w:t>m</w:t>
            </w:r>
          </w:p>
        </w:tc>
        <w:tc>
          <w:tcPr>
            <w:tcW w:w="1968" w:type="dxa"/>
            <w:vAlign w:val="center"/>
          </w:tcPr>
          <w:p>
            <w:pPr>
              <w:wordWrap w:val="0"/>
              <w:autoSpaceDE w:val="0"/>
              <w:autoSpaceDN w:val="0"/>
              <w:adjustRightInd w:val="0"/>
              <w:snapToGrid w:val="0"/>
              <w:spacing w:line="360" w:lineRule="exact"/>
              <w:jc w:val="center"/>
              <w:rPr>
                <w:kern w:val="0"/>
              </w:rPr>
            </w:pPr>
            <w:r>
              <w:rPr>
                <w:kern w:val="0"/>
              </w:rPr>
              <w:t>30</w:t>
            </w:r>
          </w:p>
        </w:tc>
        <w:tc>
          <w:tcPr>
            <w:tcW w:w="2685" w:type="dxa"/>
            <w:vAlign w:val="center"/>
          </w:tcPr>
          <w:p>
            <w:pPr>
              <w:wordWrap w:val="0"/>
              <w:autoSpaceDE w:val="0"/>
              <w:autoSpaceDN w:val="0"/>
              <w:adjustRightInd w:val="0"/>
              <w:snapToGrid w:val="0"/>
              <w:spacing w:line="360" w:lineRule="exact"/>
              <w:jc w:val="center"/>
              <w:rPr>
                <w:kern w:val="0"/>
              </w:rPr>
            </w:pPr>
            <w:r>
              <w:rPr>
                <w:kern w:val="0"/>
              </w:rPr>
              <w:t>采用叶片专用运输车</w:t>
            </w:r>
          </w:p>
        </w:tc>
      </w:tr>
      <w:tr>
        <w:trPr>
          <w:trHeight w:val="455" w:hRule="exact"/>
        </w:trPr>
        <w:tc>
          <w:tcPr>
            <w:tcW w:w="951" w:type="dxa"/>
            <w:vAlign w:val="center"/>
          </w:tcPr>
          <w:p>
            <w:pPr>
              <w:wordWrap w:val="0"/>
              <w:autoSpaceDE w:val="0"/>
              <w:autoSpaceDN w:val="0"/>
              <w:adjustRightInd w:val="0"/>
              <w:snapToGrid w:val="0"/>
              <w:spacing w:line="360" w:lineRule="exact"/>
              <w:jc w:val="center"/>
              <w:rPr>
                <w:kern w:val="0"/>
              </w:rPr>
            </w:pPr>
            <w:r>
              <w:rPr>
                <w:kern w:val="0"/>
              </w:rPr>
              <w:t>6</w:t>
            </w:r>
          </w:p>
        </w:tc>
        <w:tc>
          <w:tcPr>
            <w:tcW w:w="2533" w:type="dxa"/>
            <w:vAlign w:val="center"/>
          </w:tcPr>
          <w:p>
            <w:pPr>
              <w:wordWrap w:val="0"/>
              <w:autoSpaceDE w:val="0"/>
              <w:autoSpaceDN w:val="0"/>
              <w:adjustRightInd w:val="0"/>
              <w:snapToGrid w:val="0"/>
              <w:spacing w:line="360" w:lineRule="exact"/>
              <w:jc w:val="center"/>
              <w:rPr>
                <w:kern w:val="0"/>
              </w:rPr>
            </w:pPr>
            <w:r>
              <w:rPr>
                <w:kern w:val="0"/>
              </w:rPr>
              <w:t>最小竖曲线半径</w:t>
            </w:r>
          </w:p>
        </w:tc>
        <w:tc>
          <w:tcPr>
            <w:tcW w:w="776" w:type="dxa"/>
            <w:vAlign w:val="center"/>
          </w:tcPr>
          <w:p>
            <w:pPr>
              <w:wordWrap w:val="0"/>
              <w:autoSpaceDE w:val="0"/>
              <w:autoSpaceDN w:val="0"/>
              <w:adjustRightInd w:val="0"/>
              <w:snapToGrid w:val="0"/>
              <w:spacing w:line="360" w:lineRule="exact"/>
              <w:jc w:val="center"/>
              <w:rPr>
                <w:kern w:val="0"/>
              </w:rPr>
            </w:pPr>
            <w:r>
              <w:rPr>
                <w:kern w:val="0"/>
              </w:rPr>
              <w:t>m</w:t>
            </w:r>
          </w:p>
        </w:tc>
        <w:tc>
          <w:tcPr>
            <w:tcW w:w="1968" w:type="dxa"/>
            <w:vAlign w:val="center"/>
          </w:tcPr>
          <w:p>
            <w:pPr>
              <w:wordWrap w:val="0"/>
              <w:autoSpaceDE w:val="0"/>
              <w:autoSpaceDN w:val="0"/>
              <w:adjustRightInd w:val="0"/>
              <w:snapToGrid w:val="0"/>
              <w:spacing w:line="360" w:lineRule="exact"/>
              <w:jc w:val="center"/>
              <w:rPr>
                <w:kern w:val="0"/>
              </w:rPr>
            </w:pPr>
            <w:r>
              <w:rPr>
                <w:kern w:val="0"/>
              </w:rPr>
              <w:t>200</w:t>
            </w:r>
          </w:p>
        </w:tc>
        <w:tc>
          <w:tcPr>
            <w:tcW w:w="2685" w:type="dxa"/>
            <w:vAlign w:val="center"/>
          </w:tcPr>
          <w:p>
            <w:pPr>
              <w:wordWrap w:val="0"/>
              <w:autoSpaceDE w:val="0"/>
              <w:autoSpaceDN w:val="0"/>
              <w:adjustRightInd w:val="0"/>
              <w:snapToGrid w:val="0"/>
              <w:spacing w:line="360" w:lineRule="exact"/>
              <w:jc w:val="center"/>
              <w:rPr>
                <w:kern w:val="0"/>
              </w:rPr>
            </w:pPr>
          </w:p>
        </w:tc>
      </w:tr>
      <w:tr>
        <w:trPr>
          <w:trHeight w:val="458" w:hRule="exact"/>
        </w:trPr>
        <w:tc>
          <w:tcPr>
            <w:tcW w:w="951" w:type="dxa"/>
            <w:vAlign w:val="center"/>
          </w:tcPr>
          <w:p>
            <w:pPr>
              <w:wordWrap w:val="0"/>
              <w:autoSpaceDE w:val="0"/>
              <w:autoSpaceDN w:val="0"/>
              <w:adjustRightInd w:val="0"/>
              <w:snapToGrid w:val="0"/>
              <w:spacing w:line="360" w:lineRule="exact"/>
              <w:jc w:val="center"/>
              <w:rPr>
                <w:kern w:val="0"/>
              </w:rPr>
            </w:pPr>
            <w:r>
              <w:rPr>
                <w:kern w:val="0"/>
              </w:rPr>
              <w:t>7</w:t>
            </w:r>
          </w:p>
        </w:tc>
        <w:tc>
          <w:tcPr>
            <w:tcW w:w="2533" w:type="dxa"/>
            <w:vAlign w:val="center"/>
          </w:tcPr>
          <w:p>
            <w:pPr>
              <w:wordWrap w:val="0"/>
              <w:autoSpaceDE w:val="0"/>
              <w:autoSpaceDN w:val="0"/>
              <w:adjustRightInd w:val="0"/>
              <w:snapToGrid w:val="0"/>
              <w:spacing w:line="360" w:lineRule="exact"/>
              <w:jc w:val="center"/>
              <w:rPr>
                <w:kern w:val="0"/>
              </w:rPr>
            </w:pPr>
            <w:r>
              <w:rPr>
                <w:kern w:val="0"/>
              </w:rPr>
              <w:t>最大设计坡度</w:t>
            </w:r>
          </w:p>
        </w:tc>
        <w:tc>
          <w:tcPr>
            <w:tcW w:w="776" w:type="dxa"/>
            <w:vAlign w:val="center"/>
          </w:tcPr>
          <w:p>
            <w:pPr>
              <w:wordWrap w:val="0"/>
              <w:autoSpaceDE w:val="0"/>
              <w:autoSpaceDN w:val="0"/>
              <w:adjustRightInd w:val="0"/>
              <w:snapToGrid w:val="0"/>
              <w:spacing w:line="360" w:lineRule="exact"/>
              <w:jc w:val="center"/>
              <w:rPr>
                <w:kern w:val="0"/>
              </w:rPr>
            </w:pPr>
            <w:r>
              <w:rPr>
                <w:kern w:val="0"/>
              </w:rPr>
              <w:t>%</w:t>
            </w:r>
          </w:p>
        </w:tc>
        <w:tc>
          <w:tcPr>
            <w:tcW w:w="1968" w:type="dxa"/>
            <w:vAlign w:val="center"/>
          </w:tcPr>
          <w:p>
            <w:pPr>
              <w:wordWrap w:val="0"/>
              <w:autoSpaceDE w:val="0"/>
              <w:autoSpaceDN w:val="0"/>
              <w:adjustRightInd w:val="0"/>
              <w:snapToGrid w:val="0"/>
              <w:spacing w:line="360" w:lineRule="exact"/>
              <w:jc w:val="center"/>
              <w:rPr>
                <w:kern w:val="0"/>
              </w:rPr>
            </w:pPr>
            <w:r>
              <w:rPr>
                <w:kern w:val="0"/>
              </w:rPr>
              <w:t>15.0</w:t>
            </w:r>
          </w:p>
        </w:tc>
        <w:tc>
          <w:tcPr>
            <w:tcW w:w="2685" w:type="dxa"/>
            <w:vAlign w:val="center"/>
          </w:tcPr>
          <w:p>
            <w:pPr>
              <w:wordWrap w:val="0"/>
              <w:autoSpaceDE w:val="0"/>
              <w:autoSpaceDN w:val="0"/>
              <w:adjustRightInd w:val="0"/>
              <w:snapToGrid w:val="0"/>
              <w:spacing w:line="360" w:lineRule="exact"/>
              <w:jc w:val="center"/>
              <w:rPr>
                <w:kern w:val="0"/>
              </w:rPr>
            </w:pPr>
          </w:p>
        </w:tc>
      </w:tr>
    </w:tbl>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3、集电线路布置</w:t>
      </w:r>
    </w:p>
    <w:p>
      <w:pPr>
        <w:pStyle w:val="29"/>
        <w:wordWrap w:val="0"/>
        <w:spacing w:before="0" w:beforeAutospacing="0" w:after="0" w:afterAutospacing="0" w:line="420" w:lineRule="exact"/>
        <w:ind w:firstLine="480" w:firstLineChars="200"/>
        <w:jc w:val="both"/>
        <w:rPr>
          <w:rFonts w:ascii="Times New Roman" w:hAnsi="Times New Roman" w:cs="Times New Roman"/>
        </w:rPr>
      </w:pPr>
      <w:bookmarkStart w:id="37" w:name="_Toc479326650"/>
      <w:r>
        <w:rPr>
          <w:rFonts w:hint="eastAsia" w:ascii="Times New Roman" w:hAnsi="Times New Roman" w:cs="Times New Roman"/>
        </w:rPr>
        <w:t>本工程建设规模为6MW，共建设WTG2-2000（90m）型3台风力发电机组。每台风力发电机配套一个35kVA箱式升压变压器，采用一机一变单元接线方式。升压变压器将机端电压由0.69kV升至35kV后，接入一个集电线路单元，集电线路送至</w:t>
      </w:r>
      <w:r>
        <w:rPr>
          <w:rFonts w:ascii="Times New Roman" w:hAnsi="Times New Roman" w:cs="Times New Roman"/>
        </w:rPr>
        <w:t>店坪110kV变电站35kV侧母线</w:t>
      </w:r>
      <w:r>
        <w:rPr>
          <w:rFonts w:hint="eastAsia" w:ascii="Times New Roman" w:hAnsi="Times New Roman" w:cs="Times New Roman"/>
        </w:rPr>
        <w:t>。</w:t>
      </w:r>
      <w:bookmarkEnd w:id="37"/>
    </w:p>
    <w:p>
      <w:pPr>
        <w:pStyle w:val="29"/>
        <w:numPr>
          <w:ilvl w:val="0"/>
          <w:numId w:val="3"/>
        </w:numPr>
        <w:wordWrap w:val="0"/>
        <w:spacing w:before="0" w:beforeAutospacing="0" w:after="0" w:afterAutospacing="0" w:line="420" w:lineRule="exact"/>
        <w:ind w:firstLine="480"/>
        <w:jc w:val="both"/>
        <w:rPr>
          <w:rFonts w:ascii="Times New Roman" w:hAnsi="Times New Roman" w:cs="Times New Roman"/>
        </w:rPr>
      </w:pPr>
      <w:r>
        <w:rPr>
          <w:rFonts w:hint="eastAsia" w:ascii="Times New Roman" w:hAnsi="Times New Roman" w:cs="Times New Roman"/>
        </w:rPr>
        <w:t>升压站</w:t>
      </w:r>
    </w:p>
    <w:p>
      <w:pPr>
        <w:pStyle w:val="29"/>
        <w:wordWrap w:val="0"/>
        <w:spacing w:before="0" w:beforeAutospacing="0" w:after="0" w:afterAutospacing="0" w:line="420" w:lineRule="exact"/>
        <w:ind w:left="480"/>
        <w:jc w:val="both"/>
        <w:rPr>
          <w:rFonts w:ascii="Times New Roman" w:hAnsi="Times New Roman" w:cs="Times New Roman"/>
        </w:rPr>
      </w:pPr>
      <w:r>
        <w:rPr>
          <w:rFonts w:hint="eastAsia" w:ascii="Times New Roman" w:hAnsi="Times New Roman" w:cs="Times New Roman"/>
        </w:rPr>
        <w:t>本风电场以35kV电压接入店坪110kV变电站35kV侧母线，不新建升压站。</w:t>
      </w:r>
    </w:p>
    <w:p>
      <w:pPr>
        <w:pStyle w:val="29"/>
        <w:numPr>
          <w:ilvl w:val="0"/>
          <w:numId w:val="3"/>
        </w:numPr>
        <w:wordWrap w:val="0"/>
        <w:spacing w:before="0" w:beforeAutospacing="0" w:after="0" w:afterAutospacing="0" w:line="420" w:lineRule="exact"/>
        <w:ind w:left="480"/>
        <w:jc w:val="both"/>
        <w:rPr>
          <w:rFonts w:ascii="Times New Roman" w:hAnsi="Times New Roman" w:cs="Times New Roman"/>
        </w:rPr>
      </w:pPr>
      <w:r>
        <w:rPr>
          <w:rFonts w:hint="eastAsia" w:ascii="Times New Roman" w:hAnsi="Times New Roman" w:cs="Times New Roman"/>
        </w:rPr>
        <w:t>施工生产生活区</w:t>
      </w:r>
    </w:p>
    <w:p>
      <w:pPr>
        <w:pStyle w:val="29"/>
        <w:wordWrap w:val="0"/>
        <w:spacing w:before="0" w:beforeAutospacing="0" w:after="0" w:afterAutospacing="0" w:line="420" w:lineRule="exact"/>
        <w:ind w:left="480"/>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本工程拟设置一个临时施工生产生活区，临时施工生产生活场地规划布置于风场</w:t>
      </w:r>
      <w:r>
        <w:rPr>
          <w:rFonts w:hint="eastAsia" w:ascii="Times New Roman" w:hAnsi="Times New Roman" w:cs="Times New Roman"/>
        </w:rPr>
        <w:t>F03机位附近扩建的道路东侧，</w:t>
      </w:r>
      <w:r>
        <w:rPr>
          <w:rFonts w:ascii="Times New Roman" w:hAnsi="Times New Roman" w:cs="Times New Roman"/>
        </w:rPr>
        <w:t>施工场地区域内布置砂石料堆场、综合加工厂、综合仓库及机械停放场、施工临时生产及生活设施等。</w:t>
      </w:r>
    </w:p>
    <w:bookmarkEnd w:id="29"/>
    <w:bookmarkEnd w:id="30"/>
    <w:bookmarkEnd w:id="31"/>
    <w:bookmarkEnd w:id="32"/>
    <w:bookmarkEnd w:id="33"/>
    <w:bookmarkEnd w:id="34"/>
    <w:bookmarkEnd w:id="35"/>
    <w:bookmarkEnd w:id="36"/>
    <w:p>
      <w:pPr>
        <w:pStyle w:val="29"/>
        <w:numPr>
          <w:ilvl w:val="0"/>
          <w:numId w:val="3"/>
        </w:numPr>
        <w:wordWrap w:val="0"/>
        <w:spacing w:before="0" w:beforeAutospacing="0" w:after="0" w:afterAutospacing="0" w:line="420" w:lineRule="exact"/>
        <w:ind w:firstLine="480"/>
        <w:jc w:val="both"/>
        <w:rPr>
          <w:rFonts w:ascii="Times New Roman" w:hAnsi="Times New Roman" w:cs="Times New Roman"/>
        </w:rPr>
      </w:pPr>
      <w:r>
        <w:rPr>
          <w:rFonts w:hint="eastAsia" w:ascii="Times New Roman" w:hAnsi="Times New Roman" w:cs="Times New Roman"/>
        </w:rPr>
        <w:t>施工供电线路布置</w:t>
      </w:r>
    </w:p>
    <w:p>
      <w:pPr>
        <w:pStyle w:val="29"/>
        <w:wordWrap w:val="0"/>
        <w:spacing w:before="0" w:beforeAutospacing="0" w:after="0" w:afterAutospacing="0" w:line="420" w:lineRule="exact"/>
        <w:ind w:left="480" w:firstLine="480"/>
        <w:jc w:val="both"/>
        <w:rPr>
          <w:rFonts w:ascii="Times New Roman" w:hAnsi="Times New Roman" w:cs="Times New Roman"/>
        </w:rPr>
      </w:pPr>
      <w:r>
        <w:rPr>
          <w:rFonts w:hint="eastAsia" w:ascii="Times New Roman" w:hAnsi="Times New Roman" w:cs="Times New Roman"/>
        </w:rPr>
        <w:t>施工期供电采用柴油发电机提供。</w:t>
      </w:r>
    </w:p>
    <w:p>
      <w:pPr>
        <w:pStyle w:val="29"/>
        <w:numPr>
          <w:ilvl w:val="0"/>
          <w:numId w:val="3"/>
        </w:numPr>
        <w:wordWrap w:val="0"/>
        <w:spacing w:before="0" w:beforeAutospacing="0" w:after="0" w:afterAutospacing="0" w:line="420" w:lineRule="exact"/>
        <w:ind w:firstLine="480"/>
        <w:jc w:val="both"/>
        <w:rPr>
          <w:rFonts w:ascii="Times New Roman" w:hAnsi="Times New Roman" w:cs="Times New Roman"/>
        </w:rPr>
      </w:pPr>
      <w:r>
        <w:rPr>
          <w:rFonts w:hint="eastAsia" w:ascii="Times New Roman" w:hAnsi="Times New Roman" w:cs="Times New Roman"/>
        </w:rPr>
        <w:t>施工用水</w:t>
      </w:r>
    </w:p>
    <w:p>
      <w:pPr>
        <w:pStyle w:val="29"/>
        <w:wordWrap w:val="0"/>
        <w:spacing w:before="0" w:beforeAutospacing="0" w:after="0" w:afterAutospacing="0" w:line="420" w:lineRule="exact"/>
        <w:ind w:left="480" w:firstLine="480"/>
        <w:jc w:val="both"/>
        <w:rPr>
          <w:rFonts w:ascii="Times New Roman" w:hAnsi="Times New Roman" w:cs="Times New Roman"/>
        </w:rPr>
      </w:pPr>
      <w:r>
        <w:rPr>
          <w:rFonts w:ascii="Times New Roman" w:hAnsi="Times New Roman" w:cs="Times New Roman"/>
        </w:rPr>
        <w:t>现场施工用水和生活用水取水方式采取水罐车或水箱运输。</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8、本项目风力发电机组选型、集电线路方案合理性分析</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太原重工股份有限公司岢岚6MW分散式风电项目采用WTG2-2000型风力发电机3台，轮毂高90m。集电线路由1回线路组成，连接风力发电机3台，合计容量为6MW。风电场内风力发电机组升压箱变的高压侧为35kV，风力发电机组箱变高压侧出口采用电缆上塔接至架空线路。</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根据场区内的高程和资源分布情况来看，风资源集中在风电场内山梁顶部资源较好区域进行布置。</w:t>
      </w:r>
      <w:r>
        <w:rPr>
          <w:rFonts w:ascii="Times New Roman" w:hAnsi="Times New Roman" w:cs="Times New Roman"/>
        </w:rPr>
        <w:t>根据目前风电机组的制造水平、技术成熟程度，并结合风电场的可利用风资源较少的实际情况，确定风电场的单机容量为2000kW</w:t>
      </w:r>
      <w:r>
        <w:rPr>
          <w:rFonts w:hint="eastAsia" w:ascii="Times New Roman" w:hAnsi="Times New Roman" w:cs="Times New Roman"/>
        </w:rPr>
        <w:t>。采用WTG2-2000机型，轮毂高度90m，其优化点位排布方案度电建设成本最低，经济型最佳。</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本项目采用WTG2-2000型风力发电机3台及其配套集电线路占地相对较大，生态影响相对较大，本次评价针对占地和生态影响提出了相应的补偿措施，详见生态环境影响评价专题部分，在采取了环评提出的措施后，本项目建设对评价区生态环境的影响是可以接受的。</w:t>
      </w:r>
    </w:p>
    <w:p>
      <w:pPr>
        <w:pStyle w:val="29"/>
        <w:wordWrap w:val="0"/>
        <w:spacing w:before="0" w:beforeAutospacing="0" w:after="0" w:afterAutospacing="0" w:line="420" w:lineRule="exact"/>
        <w:ind w:firstLine="480" w:firstLineChars="200"/>
        <w:jc w:val="both"/>
        <w:rPr>
          <w:rFonts w:ascii="Times New Roman" w:hAnsi="Times New Roman" w:cs="Times New Roman"/>
        </w:rPr>
      </w:pPr>
    </w:p>
    <w:p>
      <w:pPr>
        <w:pStyle w:val="29"/>
        <w:wordWrap w:val="0"/>
        <w:spacing w:before="0" w:beforeAutospacing="0" w:after="0" w:afterAutospacing="0" w:line="420" w:lineRule="exact"/>
        <w:ind w:firstLine="480" w:firstLineChars="200"/>
        <w:jc w:val="both"/>
        <w:rPr>
          <w:rFonts w:ascii="Times New Roman" w:hAnsi="Times New Roman" w:cs="Times New Roman"/>
        </w:rPr>
      </w:pPr>
    </w:p>
    <w:p>
      <w:pPr>
        <w:pStyle w:val="29"/>
        <w:wordWrap w:val="0"/>
        <w:spacing w:before="0" w:beforeAutospacing="0" w:after="0" w:afterAutospacing="0" w:line="420" w:lineRule="exact"/>
        <w:ind w:firstLine="480" w:firstLineChars="200"/>
        <w:jc w:val="both"/>
        <w:rPr>
          <w:rFonts w:ascii="Times New Roman" w:hAnsi="Times New Roman" w:cs="Times New Roman"/>
        </w:rPr>
      </w:pPr>
    </w:p>
    <w:p>
      <w:pPr>
        <w:pStyle w:val="29"/>
        <w:wordWrap w:val="0"/>
        <w:spacing w:before="0" w:beforeAutospacing="0" w:after="0" w:afterAutospacing="0" w:line="420" w:lineRule="exact"/>
        <w:ind w:firstLine="480" w:firstLineChars="200"/>
        <w:jc w:val="both"/>
        <w:rPr>
          <w:rFonts w:ascii="Times New Roman" w:hAnsi="Times New Roman" w:cs="Times New Roman"/>
        </w:rPr>
      </w:pPr>
    </w:p>
    <w:p>
      <w:pPr>
        <w:pStyle w:val="29"/>
        <w:wordWrap w:val="0"/>
        <w:spacing w:before="0" w:beforeAutospacing="0" w:after="0" w:afterAutospacing="0" w:line="420" w:lineRule="exact"/>
        <w:ind w:firstLine="480" w:firstLineChars="200"/>
        <w:jc w:val="both"/>
        <w:rPr>
          <w:rFonts w:ascii="Times New Roman" w:hAnsi="Times New Roman" w:cs="Times New Roman"/>
        </w:rPr>
      </w:pPr>
    </w:p>
    <w:p>
      <w:pPr>
        <w:pStyle w:val="29"/>
        <w:wordWrap w:val="0"/>
        <w:spacing w:before="0" w:beforeAutospacing="0" w:after="0" w:afterAutospacing="0" w:line="420" w:lineRule="exact"/>
        <w:jc w:val="both"/>
        <w:rPr>
          <w:rFonts w:ascii="Times New Roman" w:hAnsi="Times New Roman" w:cs="Times New Roman"/>
        </w:rPr>
      </w:pPr>
    </w:p>
    <w:p>
      <w:pPr>
        <w:pStyle w:val="15"/>
        <w:wordWrap w:val="0"/>
        <w:snapToGrid w:val="0"/>
        <w:spacing w:beforeLines="25" w:afterLines="25" w:line="440" w:lineRule="exact"/>
        <w:outlineLvl w:val="0"/>
        <w:rPr>
          <w:rFonts w:ascii="Times New Roman" w:hAnsi="Times New Roman" w:cs="Times New Roman"/>
          <w:b/>
          <w:bCs/>
          <w:sz w:val="28"/>
          <w:szCs w:val="28"/>
        </w:rPr>
        <w:sectPr>
          <w:pgSz w:w="11906" w:h="16838"/>
          <w:pgMar w:top="1418" w:right="1418" w:bottom="1418" w:left="1418" w:header="1021" w:footer="1134" w:gutter="0"/>
          <w:cols w:space="720" w:num="1"/>
          <w:docGrid w:type="lines" w:linePitch="312"/>
        </w:sectPr>
      </w:pPr>
    </w:p>
    <w:p>
      <w:pPr>
        <w:pStyle w:val="15"/>
        <w:wordWrap w:val="0"/>
        <w:snapToGrid w:val="0"/>
        <w:spacing w:beforeLines="25" w:afterLines="25" w:line="440" w:lineRule="exact"/>
        <w:outlineLvl w:val="0"/>
        <w:rPr>
          <w:rFonts w:ascii="Times New Roman" w:hAnsi="Times New Roman" w:cs="Times New Roman"/>
          <w:b/>
          <w:bCs/>
          <w:sz w:val="28"/>
          <w:szCs w:val="28"/>
        </w:rPr>
      </w:pPr>
      <w:bookmarkStart w:id="38" w:name="_Toc528854943"/>
      <w:r>
        <w:rPr>
          <w:rFonts w:hint="eastAsia" w:ascii="Times New Roman" w:hAnsi="Times New Roman" w:cs="Times New Roman"/>
          <w:b/>
          <w:bCs/>
          <w:sz w:val="28"/>
          <w:szCs w:val="28"/>
        </w:rPr>
        <w:t>三、</w:t>
      </w:r>
      <w:r>
        <w:rPr>
          <w:rFonts w:ascii="Times New Roman" w:hAnsi="Times New Roman" w:cs="Times New Roman"/>
          <w:b/>
          <w:bCs/>
          <w:sz w:val="28"/>
          <w:szCs w:val="28"/>
        </w:rPr>
        <w:t>建设项目所在地</w:t>
      </w:r>
      <w:r>
        <w:rPr>
          <w:rFonts w:hint="eastAsia" w:ascii="Times New Roman" w:hAnsi="Times New Roman" w:cs="Times New Roman"/>
          <w:b/>
          <w:bCs/>
          <w:sz w:val="28"/>
          <w:szCs w:val="28"/>
        </w:rPr>
        <w:t>自然</w:t>
      </w:r>
      <w:r>
        <w:rPr>
          <w:rFonts w:ascii="Times New Roman" w:hAnsi="Times New Roman" w:cs="Times New Roman"/>
          <w:b/>
          <w:bCs/>
          <w:sz w:val="28"/>
          <w:szCs w:val="28"/>
        </w:rPr>
        <w:t>环境简况</w:t>
      </w:r>
      <w:bookmarkEnd w:id="38"/>
    </w:p>
    <w:p>
      <w:pPr>
        <w:wordWrap w:val="0"/>
        <w:autoSpaceDE w:val="0"/>
        <w:autoSpaceDN w:val="0"/>
        <w:adjustRightInd w:val="0"/>
        <w:spacing w:line="420" w:lineRule="exact"/>
        <w:ind w:firstLine="482" w:firstLineChars="200"/>
        <w:rPr>
          <w:rFonts w:hint="eastAsia" w:cs="宋?"/>
          <w:b/>
          <w:bCs/>
          <w:kern w:val="0"/>
          <w:sz w:val="24"/>
        </w:rPr>
      </w:pPr>
      <w:r>
        <w:rPr>
          <w:rFonts w:hint="eastAsia" w:cs="宋?"/>
          <w:b/>
          <w:bCs/>
          <w:kern w:val="0"/>
          <w:sz w:val="24"/>
        </w:rPr>
        <w:t>略</w:t>
      </w: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hint="eastAsia"/>
          <w:b/>
          <w:bCs/>
          <w:kern w:val="0"/>
          <w:sz w:val="24"/>
        </w:rPr>
      </w:pPr>
    </w:p>
    <w:p>
      <w:pPr>
        <w:wordWrap w:val="0"/>
        <w:autoSpaceDE w:val="0"/>
        <w:autoSpaceDN w:val="0"/>
        <w:adjustRightInd w:val="0"/>
        <w:spacing w:line="420" w:lineRule="exact"/>
        <w:ind w:firstLine="482" w:firstLineChars="200"/>
        <w:rPr>
          <w:rFonts w:cs="宋?"/>
          <w:kern w:val="0"/>
          <w:sz w:val="24"/>
        </w:rPr>
      </w:pPr>
      <w:r>
        <w:rPr>
          <w:b/>
          <w:bCs/>
          <w:kern w:val="0"/>
          <w:sz w:val="24"/>
        </w:rPr>
        <w:t>2</w:t>
      </w:r>
      <w:r>
        <w:rPr>
          <w:rFonts w:cs="宋?"/>
          <w:kern w:val="0"/>
          <w:sz w:val="24"/>
        </w:rPr>
        <w:t>、主要环境保护目标</w:t>
      </w:r>
    </w:p>
    <w:p>
      <w:pPr>
        <w:wordWrap w:val="0"/>
        <w:autoSpaceDE w:val="0"/>
        <w:autoSpaceDN w:val="0"/>
        <w:adjustRightInd w:val="0"/>
        <w:spacing w:line="420" w:lineRule="exact"/>
        <w:ind w:firstLine="480" w:firstLineChars="200"/>
        <w:rPr>
          <w:rFonts w:cs="宋?"/>
          <w:kern w:val="0"/>
          <w:sz w:val="24"/>
        </w:rPr>
      </w:pPr>
      <w:r>
        <w:rPr>
          <w:rFonts w:cs="宋?"/>
          <w:kern w:val="0"/>
          <w:sz w:val="24"/>
        </w:rPr>
        <w:t>本项目各风电机组周边</w:t>
      </w:r>
      <w:r>
        <w:rPr>
          <w:rFonts w:hint="eastAsia"/>
          <w:kern w:val="0"/>
          <w:sz w:val="24"/>
        </w:rPr>
        <w:t>3</w:t>
      </w:r>
      <w:r>
        <w:rPr>
          <w:kern w:val="0"/>
          <w:sz w:val="24"/>
        </w:rPr>
        <w:t>00m</w:t>
      </w:r>
      <w:r>
        <w:rPr>
          <w:rFonts w:cs="宋?"/>
          <w:kern w:val="0"/>
          <w:sz w:val="24"/>
        </w:rPr>
        <w:t>范围内无村庄分布，项目主要的环境影响为风电场建设对生态环境的影响，表</w:t>
      </w:r>
      <w:r>
        <w:rPr>
          <w:kern w:val="0"/>
          <w:sz w:val="24"/>
        </w:rPr>
        <w:t>1</w:t>
      </w:r>
      <w:r>
        <w:rPr>
          <w:rFonts w:hint="eastAsia"/>
          <w:kern w:val="0"/>
          <w:sz w:val="24"/>
        </w:rPr>
        <w:t>3</w:t>
      </w:r>
      <w:r>
        <w:rPr>
          <w:rFonts w:cs="宋?"/>
          <w:kern w:val="0"/>
          <w:sz w:val="24"/>
        </w:rPr>
        <w:t>列出了本项目主要环境保护目标</w:t>
      </w:r>
      <w:r>
        <w:rPr>
          <w:rFonts w:hint="eastAsia" w:cs="宋?"/>
          <w:kern w:val="0"/>
          <w:sz w:val="24"/>
        </w:rPr>
        <w:t>，</w:t>
      </w:r>
      <w:r>
        <w:rPr>
          <w:rFonts w:hint="eastAsia"/>
          <w:kern w:val="0"/>
          <w:sz w:val="24"/>
        </w:rPr>
        <w:t>项目四邻关系及环境保护目标分布图见附图11。</w:t>
      </w:r>
    </w:p>
    <w:p>
      <w:pPr>
        <w:autoSpaceDE w:val="0"/>
        <w:autoSpaceDN w:val="0"/>
        <w:adjustRightInd w:val="0"/>
        <w:spacing w:line="420" w:lineRule="exact"/>
        <w:jc w:val="center"/>
        <w:rPr>
          <w:bCs/>
          <w:kern w:val="0"/>
          <w:sz w:val="24"/>
        </w:rPr>
      </w:pPr>
      <w:r>
        <w:rPr>
          <w:rFonts w:hint="eastAsia"/>
          <w:bCs/>
          <w:kern w:val="0"/>
          <w:sz w:val="24"/>
        </w:rPr>
        <w:t>表13  项目主要环境保护目标</w:t>
      </w:r>
    </w:p>
    <w:tbl>
      <w:tblPr>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101"/>
        <w:gridCol w:w="1842"/>
        <w:gridCol w:w="1985"/>
        <w:gridCol w:w="1701"/>
        <w:gridCol w:w="2657"/>
      </w:tblGrid>
      <w:tr>
        <w:trPr>
          <w:jc w:val="center"/>
        </w:trPr>
        <w:tc>
          <w:tcPr>
            <w:tcW w:w="1101" w:type="dxa"/>
            <w:vMerge w:val="restart"/>
            <w:vAlign w:val="center"/>
          </w:tcPr>
          <w:p>
            <w:pPr>
              <w:autoSpaceDE w:val="0"/>
              <w:autoSpaceDN w:val="0"/>
              <w:adjustRightInd w:val="0"/>
              <w:spacing w:line="360" w:lineRule="exact"/>
              <w:jc w:val="center"/>
              <w:rPr>
                <w:bCs/>
                <w:kern w:val="0"/>
                <w:szCs w:val="21"/>
              </w:rPr>
            </w:pPr>
            <w:r>
              <w:rPr>
                <w:rFonts w:hint="eastAsia"/>
                <w:bCs/>
                <w:kern w:val="0"/>
                <w:szCs w:val="21"/>
              </w:rPr>
              <w:t>环境要素</w:t>
            </w:r>
          </w:p>
        </w:tc>
        <w:tc>
          <w:tcPr>
            <w:tcW w:w="1842" w:type="dxa"/>
            <w:vMerge w:val="restart"/>
            <w:vAlign w:val="center"/>
          </w:tcPr>
          <w:p>
            <w:pPr>
              <w:autoSpaceDE w:val="0"/>
              <w:autoSpaceDN w:val="0"/>
              <w:adjustRightInd w:val="0"/>
              <w:spacing w:line="360" w:lineRule="exact"/>
              <w:jc w:val="center"/>
              <w:rPr>
                <w:bCs/>
                <w:kern w:val="0"/>
                <w:szCs w:val="21"/>
              </w:rPr>
            </w:pPr>
            <w:r>
              <w:rPr>
                <w:rFonts w:hint="eastAsia"/>
                <w:bCs/>
                <w:kern w:val="0"/>
                <w:szCs w:val="21"/>
              </w:rPr>
              <w:t>保护目标</w:t>
            </w:r>
          </w:p>
        </w:tc>
        <w:tc>
          <w:tcPr>
            <w:tcW w:w="3686" w:type="dxa"/>
            <w:gridSpan w:val="2"/>
            <w:vAlign w:val="center"/>
          </w:tcPr>
          <w:p>
            <w:pPr>
              <w:autoSpaceDE w:val="0"/>
              <w:autoSpaceDN w:val="0"/>
              <w:adjustRightInd w:val="0"/>
              <w:spacing w:line="360" w:lineRule="exact"/>
              <w:jc w:val="center"/>
              <w:rPr>
                <w:bCs/>
                <w:kern w:val="0"/>
                <w:szCs w:val="21"/>
              </w:rPr>
            </w:pPr>
            <w:r>
              <w:rPr>
                <w:rFonts w:hint="eastAsia"/>
                <w:bCs/>
                <w:kern w:val="0"/>
                <w:szCs w:val="21"/>
              </w:rPr>
              <w:t>特征</w:t>
            </w:r>
          </w:p>
        </w:tc>
        <w:tc>
          <w:tcPr>
            <w:tcW w:w="2657" w:type="dxa"/>
            <w:vMerge w:val="restart"/>
            <w:vAlign w:val="center"/>
          </w:tcPr>
          <w:p>
            <w:pPr>
              <w:autoSpaceDE w:val="0"/>
              <w:autoSpaceDN w:val="0"/>
              <w:adjustRightInd w:val="0"/>
              <w:spacing w:line="360" w:lineRule="exact"/>
              <w:jc w:val="center"/>
              <w:rPr>
                <w:bCs/>
                <w:kern w:val="0"/>
                <w:szCs w:val="21"/>
              </w:rPr>
            </w:pPr>
            <w:r>
              <w:rPr>
                <w:rFonts w:hint="eastAsia"/>
                <w:bCs/>
                <w:kern w:val="0"/>
                <w:szCs w:val="21"/>
              </w:rPr>
              <w:t>保护要求</w:t>
            </w:r>
          </w:p>
        </w:tc>
      </w:tr>
      <w:tr>
        <w:trPr>
          <w:jc w:val="center"/>
        </w:trPr>
        <w:tc>
          <w:tcPr>
            <w:tcW w:w="1101" w:type="dxa"/>
            <w:vMerge w:val="continue"/>
            <w:vAlign w:val="center"/>
          </w:tcPr>
          <w:p>
            <w:pPr>
              <w:autoSpaceDE w:val="0"/>
              <w:autoSpaceDN w:val="0"/>
              <w:adjustRightInd w:val="0"/>
              <w:spacing w:line="360" w:lineRule="exact"/>
              <w:jc w:val="center"/>
              <w:rPr>
                <w:bCs/>
                <w:kern w:val="0"/>
                <w:szCs w:val="21"/>
              </w:rPr>
            </w:pPr>
          </w:p>
        </w:tc>
        <w:tc>
          <w:tcPr>
            <w:tcW w:w="1842" w:type="dxa"/>
            <w:vMerge w:val="continue"/>
            <w:vAlign w:val="center"/>
          </w:tcPr>
          <w:p>
            <w:pPr>
              <w:autoSpaceDE w:val="0"/>
              <w:autoSpaceDN w:val="0"/>
              <w:adjustRightInd w:val="0"/>
              <w:spacing w:line="360" w:lineRule="exact"/>
              <w:jc w:val="center"/>
              <w:rPr>
                <w:bCs/>
                <w:kern w:val="0"/>
                <w:szCs w:val="21"/>
              </w:rPr>
            </w:pPr>
          </w:p>
        </w:tc>
        <w:tc>
          <w:tcPr>
            <w:tcW w:w="1985" w:type="dxa"/>
            <w:vAlign w:val="center"/>
          </w:tcPr>
          <w:p>
            <w:pPr>
              <w:autoSpaceDE w:val="0"/>
              <w:autoSpaceDN w:val="0"/>
              <w:adjustRightInd w:val="0"/>
              <w:spacing w:line="360" w:lineRule="exact"/>
              <w:jc w:val="center"/>
              <w:rPr>
                <w:bCs/>
                <w:kern w:val="0"/>
                <w:szCs w:val="21"/>
              </w:rPr>
            </w:pPr>
            <w:r>
              <w:rPr>
                <w:rFonts w:hint="eastAsia"/>
                <w:bCs/>
                <w:kern w:val="0"/>
                <w:szCs w:val="21"/>
              </w:rPr>
              <w:t>方位</w:t>
            </w:r>
          </w:p>
        </w:tc>
        <w:tc>
          <w:tcPr>
            <w:tcW w:w="1701" w:type="dxa"/>
            <w:vAlign w:val="center"/>
          </w:tcPr>
          <w:p>
            <w:pPr>
              <w:autoSpaceDE w:val="0"/>
              <w:autoSpaceDN w:val="0"/>
              <w:adjustRightInd w:val="0"/>
              <w:spacing w:line="360" w:lineRule="exact"/>
              <w:jc w:val="center"/>
              <w:rPr>
                <w:bCs/>
                <w:kern w:val="0"/>
                <w:szCs w:val="21"/>
              </w:rPr>
            </w:pPr>
            <w:r>
              <w:rPr>
                <w:rFonts w:hint="eastAsia"/>
                <w:bCs/>
                <w:kern w:val="0"/>
                <w:szCs w:val="21"/>
              </w:rPr>
              <w:t>距离</w:t>
            </w:r>
          </w:p>
        </w:tc>
        <w:tc>
          <w:tcPr>
            <w:tcW w:w="2657" w:type="dxa"/>
            <w:vMerge w:val="continue"/>
            <w:vAlign w:val="center"/>
          </w:tcPr>
          <w:p>
            <w:pPr>
              <w:autoSpaceDE w:val="0"/>
              <w:autoSpaceDN w:val="0"/>
              <w:adjustRightInd w:val="0"/>
              <w:spacing w:line="360" w:lineRule="exact"/>
              <w:jc w:val="center"/>
              <w:rPr>
                <w:bCs/>
                <w:kern w:val="0"/>
                <w:szCs w:val="21"/>
              </w:rPr>
            </w:pPr>
          </w:p>
        </w:tc>
      </w:tr>
      <w:tr>
        <w:trPr>
          <w:jc w:val="center"/>
        </w:trPr>
        <w:tc>
          <w:tcPr>
            <w:tcW w:w="1101" w:type="dxa"/>
            <w:vAlign w:val="center"/>
          </w:tcPr>
          <w:p>
            <w:pPr>
              <w:autoSpaceDE w:val="0"/>
              <w:autoSpaceDN w:val="0"/>
              <w:adjustRightInd w:val="0"/>
              <w:spacing w:line="360" w:lineRule="exact"/>
              <w:jc w:val="center"/>
              <w:rPr>
                <w:bCs/>
                <w:kern w:val="0"/>
                <w:szCs w:val="21"/>
              </w:rPr>
            </w:pPr>
            <w:r>
              <w:rPr>
                <w:rFonts w:hint="eastAsia"/>
                <w:bCs/>
                <w:kern w:val="0"/>
                <w:szCs w:val="21"/>
              </w:rPr>
              <w:t>环境空气</w:t>
            </w:r>
          </w:p>
        </w:tc>
        <w:tc>
          <w:tcPr>
            <w:tcW w:w="1842" w:type="dxa"/>
            <w:vAlign w:val="center"/>
          </w:tcPr>
          <w:p>
            <w:pPr>
              <w:autoSpaceDE w:val="0"/>
              <w:autoSpaceDN w:val="0"/>
              <w:adjustRightInd w:val="0"/>
              <w:spacing w:line="360" w:lineRule="exact"/>
              <w:jc w:val="center"/>
              <w:rPr>
                <w:bCs/>
                <w:kern w:val="0"/>
                <w:szCs w:val="21"/>
              </w:rPr>
            </w:pPr>
            <w:r>
              <w:rPr>
                <w:rFonts w:hint="eastAsia"/>
                <w:bCs/>
                <w:kern w:val="0"/>
                <w:szCs w:val="21"/>
              </w:rPr>
              <w:t>后砖窑村</w:t>
            </w:r>
          </w:p>
        </w:tc>
        <w:tc>
          <w:tcPr>
            <w:tcW w:w="1985" w:type="dxa"/>
            <w:vAlign w:val="center"/>
          </w:tcPr>
          <w:p>
            <w:pPr>
              <w:autoSpaceDE w:val="0"/>
              <w:autoSpaceDN w:val="0"/>
              <w:adjustRightInd w:val="0"/>
              <w:spacing w:line="360" w:lineRule="exact"/>
              <w:jc w:val="center"/>
              <w:rPr>
                <w:bCs/>
                <w:kern w:val="0"/>
                <w:szCs w:val="21"/>
              </w:rPr>
            </w:pPr>
            <w:r>
              <w:rPr>
                <w:rFonts w:hint="eastAsia" w:cs="宋?"/>
                <w:kern w:val="0"/>
                <w:szCs w:val="21"/>
              </w:rPr>
              <w:t>F01机位东</w:t>
            </w:r>
          </w:p>
        </w:tc>
        <w:tc>
          <w:tcPr>
            <w:tcW w:w="1701" w:type="dxa"/>
            <w:vAlign w:val="center"/>
          </w:tcPr>
          <w:p>
            <w:pPr>
              <w:autoSpaceDE w:val="0"/>
              <w:autoSpaceDN w:val="0"/>
              <w:adjustRightInd w:val="0"/>
              <w:spacing w:line="360" w:lineRule="exact"/>
              <w:jc w:val="center"/>
              <w:rPr>
                <w:bCs/>
                <w:kern w:val="0"/>
                <w:szCs w:val="21"/>
              </w:rPr>
            </w:pPr>
            <w:r>
              <w:rPr>
                <w:rFonts w:hint="eastAsia" w:cs="宋?"/>
                <w:kern w:val="0"/>
                <w:szCs w:val="21"/>
              </w:rPr>
              <w:t>1.4km</w:t>
            </w:r>
          </w:p>
        </w:tc>
        <w:tc>
          <w:tcPr>
            <w:tcW w:w="2657" w:type="dxa"/>
            <w:vAlign w:val="center"/>
          </w:tcPr>
          <w:p>
            <w:pPr>
              <w:autoSpaceDE w:val="0"/>
              <w:autoSpaceDN w:val="0"/>
              <w:adjustRightInd w:val="0"/>
              <w:spacing w:line="360" w:lineRule="exact"/>
              <w:jc w:val="center"/>
              <w:rPr>
                <w:bCs/>
                <w:kern w:val="0"/>
                <w:szCs w:val="21"/>
              </w:rPr>
            </w:pPr>
            <w:r>
              <w:rPr>
                <w:rFonts w:hint="eastAsia"/>
                <w:bCs/>
                <w:kern w:val="0"/>
                <w:szCs w:val="21"/>
              </w:rPr>
              <w:t>《环境空气质量标准》（Gb3095-2012）中1级标准</w:t>
            </w:r>
          </w:p>
        </w:tc>
      </w:tr>
      <w:tr>
        <w:trPr>
          <w:jc w:val="center"/>
        </w:trPr>
        <w:tc>
          <w:tcPr>
            <w:tcW w:w="1101" w:type="dxa"/>
            <w:vAlign w:val="center"/>
          </w:tcPr>
          <w:p>
            <w:pPr>
              <w:autoSpaceDE w:val="0"/>
              <w:autoSpaceDN w:val="0"/>
              <w:adjustRightInd w:val="0"/>
              <w:spacing w:line="360" w:lineRule="exact"/>
              <w:jc w:val="center"/>
              <w:rPr>
                <w:bCs/>
                <w:kern w:val="0"/>
                <w:szCs w:val="21"/>
              </w:rPr>
            </w:pPr>
            <w:r>
              <w:rPr>
                <w:rFonts w:hint="eastAsia"/>
                <w:bCs/>
                <w:kern w:val="0"/>
                <w:szCs w:val="21"/>
              </w:rPr>
              <w:t>地表水</w:t>
            </w: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南川河</w:t>
            </w:r>
          </w:p>
        </w:tc>
        <w:tc>
          <w:tcPr>
            <w:tcW w:w="1985" w:type="dxa"/>
            <w:vAlign w:val="center"/>
          </w:tcPr>
          <w:p>
            <w:pPr>
              <w:autoSpaceDE w:val="0"/>
              <w:autoSpaceDN w:val="0"/>
              <w:adjustRightInd w:val="0"/>
              <w:spacing w:line="360" w:lineRule="exact"/>
              <w:jc w:val="center"/>
              <w:rPr>
                <w:rFonts w:cs="宋?"/>
                <w:kern w:val="0"/>
                <w:szCs w:val="21"/>
              </w:rPr>
            </w:pPr>
            <w:r>
              <w:rPr>
                <w:rFonts w:hint="eastAsia" w:cs="宋?"/>
                <w:kern w:val="0"/>
                <w:szCs w:val="21"/>
              </w:rPr>
              <w:t>F01机位西</w:t>
            </w:r>
          </w:p>
        </w:tc>
        <w:tc>
          <w:tcPr>
            <w:tcW w:w="1701" w:type="dxa"/>
            <w:vAlign w:val="center"/>
          </w:tcPr>
          <w:p>
            <w:pPr>
              <w:autoSpaceDE w:val="0"/>
              <w:autoSpaceDN w:val="0"/>
              <w:adjustRightInd w:val="0"/>
              <w:spacing w:line="360" w:lineRule="exact"/>
              <w:jc w:val="center"/>
              <w:rPr>
                <w:rFonts w:cs="宋?"/>
                <w:kern w:val="0"/>
                <w:szCs w:val="21"/>
              </w:rPr>
            </w:pPr>
            <w:r>
              <w:rPr>
                <w:rFonts w:hint="eastAsia" w:cs="宋?"/>
                <w:kern w:val="0"/>
                <w:szCs w:val="21"/>
              </w:rPr>
              <w:t>4.2km</w:t>
            </w:r>
          </w:p>
        </w:tc>
        <w:tc>
          <w:tcPr>
            <w:tcW w:w="2657" w:type="dxa"/>
            <w:vAlign w:val="center"/>
          </w:tcPr>
          <w:p>
            <w:pPr>
              <w:autoSpaceDE w:val="0"/>
              <w:autoSpaceDN w:val="0"/>
              <w:adjustRightInd w:val="0"/>
              <w:spacing w:line="360" w:lineRule="exact"/>
              <w:jc w:val="center"/>
              <w:rPr>
                <w:bCs/>
                <w:kern w:val="0"/>
                <w:szCs w:val="21"/>
              </w:rPr>
            </w:pPr>
            <w:r>
              <w:rPr>
                <w:rFonts w:hint="eastAsia"/>
                <w:bCs/>
                <w:kern w:val="0"/>
                <w:szCs w:val="21"/>
              </w:rPr>
              <w:t>《地表水环境质量标准》</w:t>
            </w:r>
          </w:p>
          <w:p>
            <w:pPr>
              <w:autoSpaceDE w:val="0"/>
              <w:autoSpaceDN w:val="0"/>
              <w:adjustRightInd w:val="0"/>
              <w:spacing w:line="360" w:lineRule="exact"/>
              <w:jc w:val="center"/>
              <w:rPr>
                <w:bCs/>
                <w:kern w:val="0"/>
                <w:szCs w:val="21"/>
              </w:rPr>
            </w:pPr>
            <w:r>
              <w:rPr>
                <w:rFonts w:hint="eastAsia"/>
                <w:bCs/>
                <w:kern w:val="0"/>
                <w:szCs w:val="21"/>
              </w:rPr>
              <w:t>（</w:t>
            </w:r>
            <w:r>
              <w:rPr>
                <w:bCs/>
                <w:kern w:val="0"/>
                <w:szCs w:val="21"/>
              </w:rPr>
              <w:t>GB3838-2002</w:t>
            </w:r>
            <w:r>
              <w:rPr>
                <w:rFonts w:hint="eastAsia"/>
                <w:bCs/>
                <w:kern w:val="0"/>
                <w:szCs w:val="21"/>
              </w:rPr>
              <w:t>）Ⅴ类</w:t>
            </w:r>
          </w:p>
        </w:tc>
      </w:tr>
      <w:tr>
        <w:trPr>
          <w:jc w:val="center"/>
        </w:trPr>
        <w:tc>
          <w:tcPr>
            <w:tcW w:w="1101" w:type="dxa"/>
            <w:vAlign w:val="center"/>
          </w:tcPr>
          <w:p>
            <w:pPr>
              <w:autoSpaceDE w:val="0"/>
              <w:autoSpaceDN w:val="0"/>
              <w:adjustRightInd w:val="0"/>
              <w:spacing w:line="360" w:lineRule="exact"/>
              <w:jc w:val="center"/>
              <w:rPr>
                <w:bCs/>
                <w:kern w:val="0"/>
                <w:szCs w:val="21"/>
              </w:rPr>
            </w:pPr>
            <w:r>
              <w:rPr>
                <w:rFonts w:hint="eastAsia"/>
                <w:bCs/>
                <w:kern w:val="0"/>
                <w:szCs w:val="21"/>
              </w:rPr>
              <w:t>地下水</w:t>
            </w: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大涧乡水源地</w:t>
            </w:r>
          </w:p>
        </w:tc>
        <w:tc>
          <w:tcPr>
            <w:tcW w:w="1985" w:type="dxa"/>
            <w:vAlign w:val="center"/>
          </w:tcPr>
          <w:p>
            <w:pPr>
              <w:autoSpaceDE w:val="0"/>
              <w:autoSpaceDN w:val="0"/>
              <w:adjustRightInd w:val="0"/>
              <w:spacing w:line="360" w:lineRule="exact"/>
              <w:jc w:val="center"/>
              <w:rPr>
                <w:rFonts w:cs="宋?"/>
                <w:kern w:val="0"/>
                <w:szCs w:val="21"/>
              </w:rPr>
            </w:pPr>
            <w:r>
              <w:rPr>
                <w:rFonts w:hint="eastAsia" w:cs="宋?"/>
                <w:kern w:val="0"/>
                <w:szCs w:val="21"/>
              </w:rPr>
              <w:t>F03机位南</w:t>
            </w:r>
          </w:p>
        </w:tc>
        <w:tc>
          <w:tcPr>
            <w:tcW w:w="1701" w:type="dxa"/>
            <w:vAlign w:val="center"/>
          </w:tcPr>
          <w:p>
            <w:pPr>
              <w:autoSpaceDE w:val="0"/>
              <w:autoSpaceDN w:val="0"/>
              <w:adjustRightInd w:val="0"/>
              <w:spacing w:line="360" w:lineRule="exact"/>
              <w:jc w:val="center"/>
              <w:rPr>
                <w:rFonts w:cs="宋?"/>
                <w:kern w:val="0"/>
                <w:szCs w:val="21"/>
              </w:rPr>
            </w:pPr>
            <w:r>
              <w:rPr>
                <w:rFonts w:hint="eastAsia" w:cs="宋?"/>
                <w:kern w:val="0"/>
                <w:szCs w:val="21"/>
              </w:rPr>
              <w:t>7.1km</w:t>
            </w:r>
          </w:p>
        </w:tc>
        <w:tc>
          <w:tcPr>
            <w:tcW w:w="2657" w:type="dxa"/>
            <w:vAlign w:val="center"/>
          </w:tcPr>
          <w:p>
            <w:pPr>
              <w:autoSpaceDE w:val="0"/>
              <w:autoSpaceDN w:val="0"/>
              <w:adjustRightInd w:val="0"/>
              <w:spacing w:line="360" w:lineRule="exact"/>
              <w:jc w:val="center"/>
              <w:rPr>
                <w:bCs/>
                <w:kern w:val="0"/>
                <w:szCs w:val="21"/>
              </w:rPr>
            </w:pPr>
            <w:r>
              <w:rPr>
                <w:rFonts w:hint="eastAsia"/>
                <w:bCs/>
                <w:kern w:val="0"/>
                <w:szCs w:val="21"/>
              </w:rPr>
              <w:t>《地下水环境质量标准》</w:t>
            </w:r>
          </w:p>
          <w:p>
            <w:pPr>
              <w:autoSpaceDE w:val="0"/>
              <w:autoSpaceDN w:val="0"/>
              <w:adjustRightInd w:val="0"/>
              <w:spacing w:line="360" w:lineRule="exact"/>
              <w:jc w:val="center"/>
              <w:rPr>
                <w:bCs/>
                <w:kern w:val="0"/>
                <w:szCs w:val="21"/>
              </w:rPr>
            </w:pPr>
            <w:r>
              <w:rPr>
                <w:rFonts w:hint="eastAsia"/>
                <w:bCs/>
                <w:kern w:val="0"/>
                <w:szCs w:val="21"/>
              </w:rPr>
              <w:t>（GB3838-2017）</w:t>
            </w:r>
          </w:p>
        </w:tc>
      </w:tr>
      <w:tr>
        <w:trPr>
          <w:jc w:val="center"/>
        </w:trPr>
        <w:tc>
          <w:tcPr>
            <w:tcW w:w="1101" w:type="dxa"/>
            <w:vMerge w:val="restart"/>
            <w:vAlign w:val="center"/>
          </w:tcPr>
          <w:p>
            <w:pPr>
              <w:autoSpaceDE w:val="0"/>
              <w:autoSpaceDN w:val="0"/>
              <w:adjustRightInd w:val="0"/>
              <w:spacing w:line="360" w:lineRule="exact"/>
              <w:jc w:val="center"/>
              <w:rPr>
                <w:bCs/>
                <w:kern w:val="0"/>
                <w:szCs w:val="21"/>
              </w:rPr>
            </w:pPr>
            <w:r>
              <w:rPr>
                <w:rFonts w:hint="eastAsia"/>
                <w:bCs/>
                <w:kern w:val="0"/>
                <w:szCs w:val="21"/>
              </w:rPr>
              <w:t>声环境</w:t>
            </w: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铺上村</w:t>
            </w:r>
          </w:p>
        </w:tc>
        <w:tc>
          <w:tcPr>
            <w:tcW w:w="1985" w:type="dxa"/>
            <w:vAlign w:val="center"/>
          </w:tcPr>
          <w:p>
            <w:pPr>
              <w:autoSpaceDE w:val="0"/>
              <w:autoSpaceDN w:val="0"/>
              <w:adjustRightInd w:val="0"/>
              <w:spacing w:line="360" w:lineRule="exact"/>
              <w:jc w:val="center"/>
              <w:rPr>
                <w:rFonts w:cs="宋?"/>
                <w:kern w:val="0"/>
                <w:szCs w:val="21"/>
              </w:rPr>
            </w:pPr>
            <w:r>
              <w:rPr>
                <w:rFonts w:hint="eastAsia" w:cs="宋?"/>
                <w:kern w:val="0"/>
                <w:szCs w:val="21"/>
              </w:rPr>
              <w:t>F03机位东</w:t>
            </w:r>
          </w:p>
        </w:tc>
        <w:tc>
          <w:tcPr>
            <w:tcW w:w="1701" w:type="dxa"/>
            <w:vAlign w:val="center"/>
          </w:tcPr>
          <w:p>
            <w:pPr>
              <w:autoSpaceDE w:val="0"/>
              <w:autoSpaceDN w:val="0"/>
              <w:adjustRightInd w:val="0"/>
              <w:spacing w:line="360" w:lineRule="exact"/>
              <w:jc w:val="center"/>
              <w:rPr>
                <w:bCs/>
                <w:kern w:val="0"/>
                <w:szCs w:val="21"/>
              </w:rPr>
            </w:pPr>
            <w:r>
              <w:rPr>
                <w:rFonts w:hint="eastAsia" w:cs="宋?"/>
                <w:kern w:val="0"/>
                <w:szCs w:val="21"/>
              </w:rPr>
              <w:t>5.7km</w:t>
            </w:r>
          </w:p>
        </w:tc>
        <w:tc>
          <w:tcPr>
            <w:tcW w:w="2657" w:type="dxa"/>
            <w:vMerge w:val="restart"/>
            <w:vAlign w:val="center"/>
          </w:tcPr>
          <w:p>
            <w:pPr>
              <w:pStyle w:val="65"/>
              <w:spacing w:line="360" w:lineRule="exact"/>
              <w:jc w:val="center"/>
              <w:rPr>
                <w:rFonts w:ascii="Times New Roman" w:hAnsi="Times New Roman" w:cs="宋体"/>
                <w:sz w:val="21"/>
                <w:szCs w:val="21"/>
                <w:lang w:eastAsia="zh-CN"/>
              </w:rPr>
            </w:pPr>
            <w:r>
              <w:rPr>
                <w:rFonts w:ascii="Times New Roman" w:hAnsi="Times New Roman" w:cs="宋?"/>
                <w:sz w:val="21"/>
                <w:szCs w:val="21"/>
                <w:lang w:eastAsia="zh-CN"/>
              </w:rPr>
              <w:t>《声环境质量标准》</w:t>
            </w:r>
            <w:r>
              <w:rPr>
                <w:rFonts w:ascii="Times New Roman" w:hAnsi="Times New Roman"/>
                <w:sz w:val="21"/>
                <w:szCs w:val="21"/>
                <w:lang w:eastAsia="zh-CN"/>
              </w:rPr>
              <w:t>(GB3096-2008)</w:t>
            </w:r>
            <w:r>
              <w:rPr>
                <w:rFonts w:hint="eastAsia" w:ascii="Times New Roman" w:hAnsi="Times New Roman"/>
                <w:sz w:val="21"/>
                <w:szCs w:val="21"/>
                <w:lang w:eastAsia="zh-CN"/>
              </w:rPr>
              <w:t>2</w:t>
            </w:r>
            <w:r>
              <w:rPr>
                <w:rFonts w:ascii="Times New Roman" w:hAnsi="Times New Roman" w:cs="宋?"/>
                <w:sz w:val="21"/>
                <w:szCs w:val="21"/>
                <w:lang w:eastAsia="zh-CN"/>
              </w:rPr>
              <w:t>类标准</w:t>
            </w:r>
          </w:p>
        </w:tc>
      </w:tr>
      <w:tr>
        <w:trPr>
          <w:jc w:val="center"/>
        </w:trPr>
        <w:tc>
          <w:tcPr>
            <w:tcW w:w="1101" w:type="dxa"/>
            <w:vMerge w:val="continue"/>
            <w:vAlign w:val="center"/>
          </w:tcPr>
          <w:p>
            <w:pPr>
              <w:autoSpaceDE w:val="0"/>
              <w:autoSpaceDN w:val="0"/>
              <w:adjustRightInd w:val="0"/>
              <w:spacing w:line="360" w:lineRule="exact"/>
              <w:jc w:val="center"/>
              <w:rPr>
                <w:bCs/>
                <w:kern w:val="0"/>
                <w:szCs w:val="21"/>
              </w:rPr>
            </w:pP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后砖窑沟村</w:t>
            </w:r>
          </w:p>
        </w:tc>
        <w:tc>
          <w:tcPr>
            <w:tcW w:w="1985" w:type="dxa"/>
            <w:vAlign w:val="center"/>
          </w:tcPr>
          <w:p>
            <w:pPr>
              <w:autoSpaceDE w:val="0"/>
              <w:autoSpaceDN w:val="0"/>
              <w:adjustRightInd w:val="0"/>
              <w:spacing w:line="360" w:lineRule="exact"/>
              <w:jc w:val="center"/>
              <w:rPr>
                <w:bCs/>
                <w:kern w:val="0"/>
                <w:szCs w:val="21"/>
              </w:rPr>
            </w:pPr>
            <w:r>
              <w:rPr>
                <w:rFonts w:hint="eastAsia" w:cs="宋?"/>
                <w:kern w:val="0"/>
                <w:szCs w:val="21"/>
              </w:rPr>
              <w:t>F01机位东</w:t>
            </w:r>
          </w:p>
        </w:tc>
        <w:tc>
          <w:tcPr>
            <w:tcW w:w="1701" w:type="dxa"/>
            <w:vAlign w:val="center"/>
          </w:tcPr>
          <w:p>
            <w:pPr>
              <w:autoSpaceDE w:val="0"/>
              <w:autoSpaceDN w:val="0"/>
              <w:adjustRightInd w:val="0"/>
              <w:spacing w:line="360" w:lineRule="exact"/>
              <w:jc w:val="center"/>
              <w:rPr>
                <w:bCs/>
                <w:kern w:val="0"/>
                <w:szCs w:val="21"/>
              </w:rPr>
            </w:pPr>
            <w:r>
              <w:rPr>
                <w:rFonts w:hint="eastAsia" w:cs="宋?"/>
                <w:kern w:val="0"/>
                <w:szCs w:val="21"/>
              </w:rPr>
              <w:t>1.4km</w:t>
            </w:r>
          </w:p>
        </w:tc>
        <w:tc>
          <w:tcPr>
            <w:tcW w:w="2657" w:type="dxa"/>
            <w:vMerge w:val="continue"/>
            <w:vAlign w:val="center"/>
          </w:tcPr>
          <w:p>
            <w:pPr>
              <w:autoSpaceDE w:val="0"/>
              <w:autoSpaceDN w:val="0"/>
              <w:adjustRightInd w:val="0"/>
              <w:spacing w:line="360" w:lineRule="exact"/>
              <w:jc w:val="center"/>
              <w:rPr>
                <w:bCs/>
                <w:kern w:val="0"/>
                <w:szCs w:val="21"/>
              </w:rPr>
            </w:pPr>
          </w:p>
        </w:tc>
      </w:tr>
      <w:tr>
        <w:trPr>
          <w:jc w:val="center"/>
        </w:trPr>
        <w:tc>
          <w:tcPr>
            <w:tcW w:w="1101" w:type="dxa"/>
            <w:vMerge w:val="restart"/>
            <w:vAlign w:val="center"/>
          </w:tcPr>
          <w:p>
            <w:pPr>
              <w:autoSpaceDE w:val="0"/>
              <w:autoSpaceDN w:val="0"/>
              <w:adjustRightInd w:val="0"/>
              <w:spacing w:line="360" w:lineRule="exact"/>
              <w:jc w:val="center"/>
              <w:rPr>
                <w:bCs/>
                <w:kern w:val="0"/>
                <w:szCs w:val="21"/>
              </w:rPr>
            </w:pPr>
            <w:r>
              <w:rPr>
                <w:rFonts w:hint="eastAsia"/>
                <w:bCs/>
                <w:kern w:val="0"/>
                <w:szCs w:val="21"/>
              </w:rPr>
              <w:t>生态环境</w:t>
            </w: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风电机组及箱变植被和土壤</w:t>
            </w:r>
          </w:p>
        </w:tc>
        <w:tc>
          <w:tcPr>
            <w:tcW w:w="3686" w:type="dxa"/>
            <w:gridSpan w:val="2"/>
            <w:vAlign w:val="center"/>
          </w:tcPr>
          <w:p>
            <w:pPr>
              <w:autoSpaceDE w:val="0"/>
              <w:autoSpaceDN w:val="0"/>
              <w:adjustRightInd w:val="0"/>
              <w:spacing w:line="360" w:lineRule="exact"/>
              <w:jc w:val="center"/>
              <w:rPr>
                <w:rFonts w:cs="宋?"/>
                <w:kern w:val="0"/>
                <w:szCs w:val="21"/>
              </w:rPr>
            </w:pPr>
            <w:r>
              <w:rPr>
                <w:rFonts w:hint="eastAsia" w:cs="宋?"/>
                <w:kern w:val="0"/>
                <w:szCs w:val="21"/>
              </w:rPr>
              <w:t>风机及箱变周围扰动区</w:t>
            </w:r>
          </w:p>
        </w:tc>
        <w:tc>
          <w:tcPr>
            <w:tcW w:w="2657" w:type="dxa"/>
            <w:vMerge w:val="restart"/>
            <w:vAlign w:val="center"/>
          </w:tcPr>
          <w:p>
            <w:pPr>
              <w:autoSpaceDE w:val="0"/>
              <w:autoSpaceDN w:val="0"/>
              <w:adjustRightInd w:val="0"/>
              <w:spacing w:line="360" w:lineRule="exact"/>
              <w:jc w:val="center"/>
              <w:rPr>
                <w:bCs/>
                <w:kern w:val="0"/>
                <w:szCs w:val="21"/>
              </w:rPr>
            </w:pPr>
            <w:r>
              <w:rPr>
                <w:rFonts w:hint="eastAsia"/>
                <w:bCs/>
                <w:kern w:val="0"/>
                <w:szCs w:val="21"/>
              </w:rPr>
              <w:t>施工过程中预防、减轻生态破坏，施工结束后恢复生态功能，防止水土流失</w:t>
            </w:r>
          </w:p>
        </w:tc>
      </w:tr>
      <w:tr>
        <w:trPr>
          <w:jc w:val="center"/>
        </w:trPr>
        <w:tc>
          <w:tcPr>
            <w:tcW w:w="1101" w:type="dxa"/>
            <w:vMerge w:val="continue"/>
            <w:vAlign w:val="center"/>
          </w:tcPr>
          <w:p>
            <w:pPr>
              <w:autoSpaceDE w:val="0"/>
              <w:autoSpaceDN w:val="0"/>
              <w:adjustRightInd w:val="0"/>
              <w:spacing w:line="360" w:lineRule="exact"/>
              <w:jc w:val="center"/>
              <w:rPr>
                <w:bCs/>
                <w:kern w:val="0"/>
                <w:szCs w:val="21"/>
              </w:rPr>
            </w:pP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施工检修道路区植被和土壤</w:t>
            </w:r>
          </w:p>
        </w:tc>
        <w:tc>
          <w:tcPr>
            <w:tcW w:w="3686" w:type="dxa"/>
            <w:gridSpan w:val="2"/>
            <w:vAlign w:val="center"/>
          </w:tcPr>
          <w:p>
            <w:pPr>
              <w:autoSpaceDE w:val="0"/>
              <w:autoSpaceDN w:val="0"/>
              <w:adjustRightInd w:val="0"/>
              <w:spacing w:line="360" w:lineRule="exact"/>
              <w:jc w:val="center"/>
              <w:rPr>
                <w:rFonts w:cs="宋?"/>
                <w:kern w:val="0"/>
                <w:szCs w:val="21"/>
              </w:rPr>
            </w:pPr>
            <w:r>
              <w:rPr>
                <w:rFonts w:hint="eastAsia" w:cs="宋?"/>
                <w:kern w:val="0"/>
                <w:szCs w:val="21"/>
              </w:rPr>
              <w:t>道路及两侧扰动区</w:t>
            </w:r>
          </w:p>
        </w:tc>
        <w:tc>
          <w:tcPr>
            <w:tcW w:w="2657" w:type="dxa"/>
            <w:vMerge w:val="continue"/>
            <w:vAlign w:val="center"/>
          </w:tcPr>
          <w:p>
            <w:pPr>
              <w:autoSpaceDE w:val="0"/>
              <w:autoSpaceDN w:val="0"/>
              <w:adjustRightInd w:val="0"/>
              <w:spacing w:line="360" w:lineRule="exact"/>
              <w:jc w:val="center"/>
              <w:rPr>
                <w:bCs/>
                <w:kern w:val="0"/>
                <w:szCs w:val="21"/>
              </w:rPr>
            </w:pPr>
          </w:p>
        </w:tc>
      </w:tr>
      <w:tr>
        <w:trPr>
          <w:jc w:val="center"/>
        </w:trPr>
        <w:tc>
          <w:tcPr>
            <w:tcW w:w="1101" w:type="dxa"/>
            <w:vMerge w:val="continue"/>
            <w:vAlign w:val="center"/>
          </w:tcPr>
          <w:p>
            <w:pPr>
              <w:autoSpaceDE w:val="0"/>
              <w:autoSpaceDN w:val="0"/>
              <w:adjustRightInd w:val="0"/>
              <w:spacing w:line="360" w:lineRule="exact"/>
              <w:jc w:val="center"/>
              <w:rPr>
                <w:bCs/>
                <w:kern w:val="0"/>
                <w:szCs w:val="21"/>
              </w:rPr>
            </w:pPr>
          </w:p>
        </w:tc>
        <w:tc>
          <w:tcPr>
            <w:tcW w:w="1842" w:type="dxa"/>
            <w:vAlign w:val="center"/>
          </w:tcPr>
          <w:p>
            <w:pPr>
              <w:autoSpaceDE w:val="0"/>
              <w:autoSpaceDN w:val="0"/>
              <w:adjustRightInd w:val="0"/>
              <w:spacing w:line="360" w:lineRule="exact"/>
              <w:jc w:val="center"/>
              <w:rPr>
                <w:rFonts w:cs="宋?"/>
                <w:kern w:val="0"/>
                <w:szCs w:val="21"/>
              </w:rPr>
            </w:pPr>
            <w:r>
              <w:rPr>
                <w:rFonts w:hint="eastAsia" w:cs="宋?"/>
                <w:kern w:val="0"/>
                <w:szCs w:val="21"/>
              </w:rPr>
              <w:t>施工临时占地</w:t>
            </w:r>
          </w:p>
        </w:tc>
        <w:tc>
          <w:tcPr>
            <w:tcW w:w="3686" w:type="dxa"/>
            <w:gridSpan w:val="2"/>
            <w:vAlign w:val="center"/>
          </w:tcPr>
          <w:p>
            <w:pPr>
              <w:autoSpaceDE w:val="0"/>
              <w:autoSpaceDN w:val="0"/>
              <w:adjustRightInd w:val="0"/>
              <w:spacing w:line="360" w:lineRule="exact"/>
              <w:jc w:val="center"/>
              <w:rPr>
                <w:rFonts w:cs="宋?"/>
                <w:kern w:val="0"/>
                <w:szCs w:val="21"/>
              </w:rPr>
            </w:pPr>
            <w:r>
              <w:rPr>
                <w:rFonts w:hint="eastAsia" w:cs="宋?"/>
                <w:kern w:val="0"/>
                <w:szCs w:val="21"/>
              </w:rPr>
              <w:t>施工临时占地边界外扰动区</w:t>
            </w:r>
          </w:p>
        </w:tc>
        <w:tc>
          <w:tcPr>
            <w:tcW w:w="2657" w:type="dxa"/>
            <w:vMerge w:val="continue"/>
            <w:vAlign w:val="center"/>
          </w:tcPr>
          <w:p>
            <w:pPr>
              <w:autoSpaceDE w:val="0"/>
              <w:autoSpaceDN w:val="0"/>
              <w:adjustRightInd w:val="0"/>
              <w:spacing w:line="360" w:lineRule="exact"/>
              <w:jc w:val="center"/>
              <w:rPr>
                <w:bCs/>
                <w:kern w:val="0"/>
                <w:szCs w:val="21"/>
              </w:rPr>
            </w:pPr>
          </w:p>
        </w:tc>
      </w:tr>
    </w:tbl>
    <w:p>
      <w:pPr>
        <w:pStyle w:val="15"/>
        <w:wordWrap w:val="0"/>
        <w:snapToGrid w:val="0"/>
        <w:spacing w:beforeLines="25" w:afterLines="25" w:line="440" w:lineRule="exact"/>
        <w:outlineLvl w:val="0"/>
        <w:rPr>
          <w:rFonts w:ascii="Times New Roman" w:hAnsi="Times New Roman" w:cs="Times New Roman"/>
          <w:b/>
          <w:bCs/>
          <w:sz w:val="28"/>
          <w:szCs w:val="28"/>
        </w:rPr>
        <w:sectPr>
          <w:pgSz w:w="11906" w:h="16838"/>
          <w:pgMar w:top="1418" w:right="1418" w:bottom="1418" w:left="1418" w:header="1021" w:footer="1134" w:gutter="0"/>
          <w:cols w:space="720" w:num="1"/>
          <w:docGrid w:type="lines" w:linePitch="312"/>
        </w:sectPr>
      </w:pPr>
    </w:p>
    <w:p>
      <w:pPr>
        <w:pStyle w:val="15"/>
        <w:wordWrap w:val="0"/>
        <w:snapToGrid w:val="0"/>
        <w:spacing w:beforeLines="25" w:afterLines="25" w:line="440" w:lineRule="exact"/>
        <w:outlineLvl w:val="0"/>
        <w:rPr>
          <w:rFonts w:ascii="Times New Roman" w:hAnsi="Times New Roman" w:cs="Times New Roman"/>
          <w:b/>
          <w:bCs/>
          <w:sz w:val="28"/>
          <w:szCs w:val="28"/>
        </w:rPr>
      </w:pPr>
      <w:bookmarkStart w:id="39" w:name="_Toc396141977"/>
      <w:bookmarkStart w:id="40" w:name="_Toc396142792"/>
      <w:bookmarkStart w:id="41" w:name="_Toc401731086"/>
      <w:bookmarkStart w:id="42" w:name="_Toc406057608"/>
      <w:bookmarkStart w:id="43" w:name="_Toc406057716"/>
      <w:bookmarkStart w:id="44" w:name="_Toc406057913"/>
      <w:bookmarkStart w:id="45" w:name="_Toc409679588"/>
      <w:bookmarkStart w:id="46" w:name="_Toc409679715"/>
      <w:bookmarkStart w:id="47" w:name="_Toc436993061"/>
      <w:bookmarkStart w:id="48" w:name="_Toc479326655"/>
      <w:bookmarkStart w:id="49" w:name="_Toc528854944"/>
      <w:r>
        <w:rPr>
          <w:rFonts w:ascii="Times New Roman" w:hAnsi="Times New Roman" w:cs="Times New Roman"/>
          <w:b/>
          <w:bCs/>
          <w:sz w:val="28"/>
          <w:szCs w:val="28"/>
        </w:rPr>
        <w:t>四、评价适用标准</w:t>
      </w:r>
      <w:bookmarkEnd w:id="39"/>
      <w:bookmarkEnd w:id="40"/>
      <w:bookmarkEnd w:id="41"/>
      <w:bookmarkEnd w:id="42"/>
      <w:bookmarkEnd w:id="43"/>
      <w:bookmarkEnd w:id="44"/>
      <w:bookmarkEnd w:id="45"/>
      <w:bookmarkEnd w:id="46"/>
      <w:bookmarkEnd w:id="47"/>
      <w:bookmarkEnd w:id="48"/>
      <w:bookmarkEnd w:id="49"/>
    </w:p>
    <w:p>
      <w:pPr>
        <w:wordWrap w:val="0"/>
        <w:autoSpaceDE w:val="0"/>
        <w:autoSpaceDN w:val="0"/>
        <w:adjustRightInd w:val="0"/>
        <w:spacing w:line="420" w:lineRule="exact"/>
        <w:ind w:firstLine="480" w:firstLineChars="200"/>
        <w:rPr>
          <w:kern w:val="0"/>
          <w:sz w:val="24"/>
        </w:rPr>
      </w:pPr>
      <w:bookmarkStart w:id="50" w:name="_Toc396141978"/>
      <w:bookmarkStart w:id="51" w:name="_Toc396142793"/>
      <w:bookmarkStart w:id="52" w:name="_Toc401731087"/>
      <w:bookmarkStart w:id="53" w:name="_Toc406057609"/>
      <w:bookmarkStart w:id="54" w:name="_Toc406057717"/>
      <w:bookmarkStart w:id="55" w:name="_Toc406057914"/>
      <w:bookmarkStart w:id="56" w:name="_Toc409679589"/>
      <w:bookmarkStart w:id="57" w:name="_Toc409679716"/>
      <w:bookmarkStart w:id="58" w:name="_Toc436993062"/>
      <w:bookmarkStart w:id="59" w:name="_Toc479326656"/>
      <w:bookmarkStart w:id="60" w:name="OLE_LINK11"/>
      <w:r>
        <w:rPr>
          <w:kern w:val="0"/>
          <w:sz w:val="24"/>
        </w:rPr>
        <w:t>本项目风电场环境影响评价中拟采用的标准如下：</w:t>
      </w:r>
      <w:bookmarkEnd w:id="50"/>
      <w:bookmarkEnd w:id="51"/>
      <w:bookmarkEnd w:id="52"/>
      <w:bookmarkEnd w:id="53"/>
      <w:bookmarkEnd w:id="54"/>
      <w:bookmarkEnd w:id="55"/>
      <w:bookmarkEnd w:id="56"/>
      <w:bookmarkEnd w:id="57"/>
      <w:bookmarkEnd w:id="58"/>
      <w:bookmarkEnd w:id="59"/>
    </w:p>
    <w:bookmarkEnd w:id="60"/>
    <w:p>
      <w:pPr>
        <w:wordWrap w:val="0"/>
        <w:autoSpaceDE w:val="0"/>
        <w:autoSpaceDN w:val="0"/>
        <w:adjustRightInd w:val="0"/>
        <w:spacing w:line="420" w:lineRule="exact"/>
        <w:ind w:firstLine="482" w:firstLineChars="200"/>
        <w:rPr>
          <w:b/>
          <w:kern w:val="0"/>
          <w:sz w:val="24"/>
        </w:rPr>
      </w:pPr>
      <w:bookmarkStart w:id="61" w:name="_Toc396141979"/>
      <w:bookmarkStart w:id="62" w:name="_Toc396142794"/>
      <w:bookmarkStart w:id="63" w:name="_Toc401731088"/>
      <w:bookmarkStart w:id="64" w:name="_Toc406057610"/>
      <w:bookmarkStart w:id="65" w:name="_Toc406057718"/>
      <w:bookmarkStart w:id="66" w:name="_Toc406057915"/>
      <w:bookmarkStart w:id="67" w:name="_Toc409679590"/>
      <w:bookmarkStart w:id="68" w:name="_Toc409679717"/>
      <w:bookmarkStart w:id="69" w:name="_Toc436993063"/>
      <w:bookmarkStart w:id="70" w:name="_Toc479326657"/>
      <w:r>
        <w:rPr>
          <w:b/>
          <w:kern w:val="0"/>
          <w:sz w:val="24"/>
        </w:rPr>
        <w:t>1</w:t>
      </w:r>
      <w:r>
        <w:rPr>
          <w:rFonts w:hint="eastAsia"/>
          <w:b/>
          <w:kern w:val="0"/>
          <w:sz w:val="24"/>
        </w:rPr>
        <w:t>、</w:t>
      </w:r>
      <w:r>
        <w:rPr>
          <w:b/>
          <w:kern w:val="0"/>
          <w:sz w:val="24"/>
        </w:rPr>
        <w:t>环境质量标准</w:t>
      </w:r>
      <w:bookmarkEnd w:id="61"/>
      <w:bookmarkEnd w:id="62"/>
      <w:bookmarkEnd w:id="63"/>
      <w:bookmarkEnd w:id="64"/>
      <w:bookmarkEnd w:id="65"/>
      <w:bookmarkEnd w:id="66"/>
      <w:bookmarkEnd w:id="67"/>
      <w:bookmarkEnd w:id="68"/>
      <w:bookmarkEnd w:id="69"/>
      <w:bookmarkEnd w:id="70"/>
    </w:p>
    <w:p>
      <w:pPr>
        <w:wordWrap w:val="0"/>
        <w:autoSpaceDE w:val="0"/>
        <w:autoSpaceDN w:val="0"/>
        <w:adjustRightInd w:val="0"/>
        <w:spacing w:line="420" w:lineRule="exact"/>
        <w:ind w:firstLine="480" w:firstLineChars="200"/>
        <w:rPr>
          <w:kern w:val="0"/>
          <w:sz w:val="24"/>
        </w:rPr>
      </w:pPr>
      <w:bookmarkStart w:id="71" w:name="_Toc396141982"/>
      <w:bookmarkStart w:id="72" w:name="_Toc396142797"/>
      <w:bookmarkStart w:id="73" w:name="_Toc401731091"/>
      <w:bookmarkStart w:id="74" w:name="_Toc406057613"/>
      <w:bookmarkStart w:id="75" w:name="_Toc406057721"/>
      <w:bookmarkStart w:id="76" w:name="_Toc406057918"/>
      <w:bookmarkStart w:id="77" w:name="_Toc409679593"/>
      <w:bookmarkStart w:id="78" w:name="_Toc409679720"/>
      <w:bookmarkStart w:id="79" w:name="_Toc436993066"/>
      <w:bookmarkStart w:id="80" w:name="_Toc479326660"/>
      <w:r>
        <w:rPr>
          <w:rFonts w:hint="eastAsia"/>
          <w:kern w:val="0"/>
          <w:sz w:val="24"/>
        </w:rPr>
        <w:t>本项目</w:t>
      </w:r>
      <w:r>
        <w:rPr>
          <w:kern w:val="0"/>
          <w:sz w:val="24"/>
        </w:rPr>
        <w:t>风电场及周围</w:t>
      </w:r>
      <w:r>
        <w:rPr>
          <w:rFonts w:hint="eastAsia"/>
          <w:kern w:val="0"/>
          <w:sz w:val="24"/>
        </w:rPr>
        <w:t>村庄声环境</w:t>
      </w:r>
      <w:r>
        <w:rPr>
          <w:kern w:val="0"/>
          <w:sz w:val="24"/>
        </w:rPr>
        <w:t>执行《声环境质量标准》（GB3096－2008）</w:t>
      </w:r>
      <w:r>
        <w:rPr>
          <w:rFonts w:hint="eastAsia"/>
          <w:kern w:val="0"/>
          <w:sz w:val="24"/>
        </w:rPr>
        <w:t>2</w:t>
      </w:r>
      <w:r>
        <w:rPr>
          <w:kern w:val="0"/>
          <w:sz w:val="24"/>
        </w:rPr>
        <w:t>类标准，见表</w:t>
      </w:r>
      <w:r>
        <w:rPr>
          <w:rFonts w:hint="eastAsia"/>
          <w:kern w:val="0"/>
          <w:sz w:val="24"/>
        </w:rPr>
        <w:t>14</w:t>
      </w:r>
      <w:r>
        <w:rPr>
          <w:kern w:val="0"/>
          <w:sz w:val="24"/>
        </w:rPr>
        <w:t>。</w:t>
      </w:r>
      <w:bookmarkEnd w:id="71"/>
      <w:bookmarkEnd w:id="72"/>
      <w:bookmarkEnd w:id="73"/>
      <w:bookmarkEnd w:id="74"/>
      <w:bookmarkEnd w:id="75"/>
      <w:bookmarkEnd w:id="76"/>
      <w:bookmarkEnd w:id="77"/>
      <w:bookmarkEnd w:id="78"/>
      <w:bookmarkEnd w:id="79"/>
      <w:bookmarkEnd w:id="80"/>
    </w:p>
    <w:p>
      <w:pPr>
        <w:autoSpaceDE w:val="0"/>
        <w:autoSpaceDN w:val="0"/>
        <w:adjustRightInd w:val="0"/>
        <w:spacing w:line="420" w:lineRule="exact"/>
        <w:ind w:firstLine="480" w:firstLineChars="200"/>
        <w:jc w:val="center"/>
        <w:rPr>
          <w:kern w:val="0"/>
          <w:sz w:val="24"/>
        </w:rPr>
      </w:pPr>
      <w:r>
        <w:rPr>
          <w:kern w:val="0"/>
          <w:sz w:val="24"/>
        </w:rPr>
        <w:t>表</w:t>
      </w:r>
      <w:r>
        <w:rPr>
          <w:rFonts w:hint="eastAsia"/>
          <w:kern w:val="0"/>
          <w:sz w:val="24"/>
        </w:rPr>
        <w:t>14</w:t>
      </w:r>
      <w:r>
        <w:rPr>
          <w:kern w:val="0"/>
          <w:sz w:val="24"/>
        </w:rPr>
        <w:t xml:space="preserve"> </w:t>
      </w:r>
      <w:r>
        <w:rPr>
          <w:rFonts w:hint="eastAsia"/>
          <w:kern w:val="0"/>
          <w:sz w:val="24"/>
        </w:rPr>
        <w:t xml:space="preserve">  </w:t>
      </w:r>
      <w:r>
        <w:rPr>
          <w:kern w:val="0"/>
          <w:sz w:val="24"/>
        </w:rPr>
        <w:t xml:space="preserve"> 声环境质量标准</w:t>
      </w:r>
    </w:p>
    <w:tbl>
      <w:tblPr>
        <w:tblW w:w="928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3794"/>
        <w:gridCol w:w="2835"/>
        <w:gridCol w:w="2657"/>
      </w:tblGrid>
      <w:tr>
        <w:trPr>
          <w:trHeight w:val="454" w:hRule="atLeast"/>
        </w:trPr>
        <w:tc>
          <w:tcPr>
            <w:tcW w:w="3794" w:type="dxa"/>
            <w:tcBorders>
              <w:top w:val="single" w:color="auto" w:sz="4" w:space="0"/>
              <w:tl2br w:val="nil"/>
              <w:tr2bl w:val="nil"/>
            </w:tcBorders>
            <w:vAlign w:val="center"/>
          </w:tcPr>
          <w:p>
            <w:pPr>
              <w:wordWrap w:val="0"/>
              <w:spacing w:line="360" w:lineRule="exact"/>
              <w:jc w:val="center"/>
              <w:rPr>
                <w:szCs w:val="21"/>
              </w:rPr>
            </w:pPr>
            <w:r>
              <w:rPr>
                <w:rFonts w:hint="eastAsia"/>
                <w:szCs w:val="21"/>
              </w:rPr>
              <w:t>标准</w:t>
            </w:r>
          </w:p>
        </w:tc>
        <w:tc>
          <w:tcPr>
            <w:tcW w:w="2835" w:type="dxa"/>
            <w:tcBorders>
              <w:top w:val="single" w:color="auto" w:sz="4" w:space="0"/>
              <w:tl2br w:val="nil"/>
              <w:tr2bl w:val="nil"/>
            </w:tcBorders>
            <w:vAlign w:val="center"/>
          </w:tcPr>
          <w:p>
            <w:pPr>
              <w:wordWrap w:val="0"/>
              <w:spacing w:line="360" w:lineRule="exact"/>
              <w:jc w:val="center"/>
              <w:rPr>
                <w:szCs w:val="21"/>
              </w:rPr>
            </w:pPr>
            <w:r>
              <w:rPr>
                <w:szCs w:val="21"/>
              </w:rPr>
              <w:t>昼间</w:t>
            </w:r>
          </w:p>
        </w:tc>
        <w:tc>
          <w:tcPr>
            <w:tcW w:w="2657" w:type="dxa"/>
            <w:tcBorders>
              <w:tl2br w:val="nil"/>
              <w:tr2bl w:val="nil"/>
            </w:tcBorders>
            <w:vAlign w:val="center"/>
          </w:tcPr>
          <w:p>
            <w:pPr>
              <w:wordWrap w:val="0"/>
              <w:spacing w:line="360" w:lineRule="exact"/>
              <w:jc w:val="center"/>
              <w:rPr>
                <w:szCs w:val="21"/>
              </w:rPr>
            </w:pPr>
            <w:r>
              <w:rPr>
                <w:szCs w:val="21"/>
              </w:rPr>
              <w:t>夜间</w:t>
            </w:r>
          </w:p>
        </w:tc>
      </w:tr>
      <w:tr>
        <w:trPr>
          <w:trHeight w:val="454" w:hRule="atLeast"/>
        </w:trPr>
        <w:tc>
          <w:tcPr>
            <w:tcW w:w="3794" w:type="dxa"/>
            <w:tcBorders>
              <w:tl2br w:val="nil"/>
              <w:tr2bl w:val="nil"/>
            </w:tcBorders>
            <w:vAlign w:val="center"/>
          </w:tcPr>
          <w:p>
            <w:pPr>
              <w:wordWrap w:val="0"/>
              <w:spacing w:line="360" w:lineRule="exact"/>
              <w:jc w:val="center"/>
              <w:rPr>
                <w:szCs w:val="21"/>
              </w:rPr>
            </w:pPr>
            <w:r>
              <w:rPr>
                <w:kern w:val="0"/>
                <w:sz w:val="24"/>
              </w:rPr>
              <w:t>GB3096－2008</w:t>
            </w:r>
          </w:p>
        </w:tc>
        <w:tc>
          <w:tcPr>
            <w:tcW w:w="2835" w:type="dxa"/>
            <w:tcBorders>
              <w:tl2br w:val="nil"/>
              <w:tr2bl w:val="nil"/>
            </w:tcBorders>
            <w:vAlign w:val="center"/>
          </w:tcPr>
          <w:p>
            <w:pPr>
              <w:wordWrap w:val="0"/>
              <w:spacing w:line="360" w:lineRule="exact"/>
              <w:jc w:val="center"/>
              <w:rPr>
                <w:szCs w:val="21"/>
              </w:rPr>
            </w:pPr>
            <w:r>
              <w:rPr>
                <w:rFonts w:hint="eastAsia"/>
                <w:szCs w:val="21"/>
              </w:rPr>
              <w:t>60</w:t>
            </w:r>
          </w:p>
        </w:tc>
        <w:tc>
          <w:tcPr>
            <w:tcW w:w="2657" w:type="dxa"/>
            <w:tcBorders>
              <w:tl2br w:val="nil"/>
              <w:tr2bl w:val="nil"/>
            </w:tcBorders>
            <w:vAlign w:val="center"/>
          </w:tcPr>
          <w:p>
            <w:pPr>
              <w:wordWrap w:val="0"/>
              <w:spacing w:line="360" w:lineRule="exact"/>
              <w:jc w:val="center"/>
              <w:rPr>
                <w:szCs w:val="21"/>
              </w:rPr>
            </w:pPr>
            <w:r>
              <w:rPr>
                <w:rFonts w:hint="eastAsia"/>
                <w:szCs w:val="21"/>
              </w:rPr>
              <w:t>50</w:t>
            </w:r>
          </w:p>
        </w:tc>
      </w:tr>
    </w:tbl>
    <w:p>
      <w:pPr>
        <w:wordWrap w:val="0"/>
        <w:autoSpaceDE w:val="0"/>
        <w:autoSpaceDN w:val="0"/>
        <w:adjustRightInd w:val="0"/>
        <w:spacing w:line="420" w:lineRule="exact"/>
        <w:ind w:firstLine="482" w:firstLineChars="200"/>
        <w:rPr>
          <w:b/>
          <w:kern w:val="0"/>
          <w:sz w:val="24"/>
        </w:rPr>
      </w:pPr>
      <w:bookmarkStart w:id="81" w:name="_Toc396141983"/>
      <w:bookmarkStart w:id="82" w:name="_Toc396142798"/>
      <w:bookmarkStart w:id="83" w:name="_Toc401731092"/>
      <w:bookmarkStart w:id="84" w:name="_Toc406057614"/>
      <w:bookmarkStart w:id="85" w:name="_Toc406057722"/>
      <w:bookmarkStart w:id="86" w:name="_Toc406057919"/>
      <w:bookmarkStart w:id="87" w:name="_Toc409679594"/>
      <w:bookmarkStart w:id="88" w:name="_Toc409679721"/>
      <w:bookmarkStart w:id="89" w:name="_Toc436993067"/>
      <w:bookmarkStart w:id="90" w:name="_Toc479326661"/>
      <w:r>
        <w:rPr>
          <w:rFonts w:hint="eastAsia"/>
          <w:b/>
          <w:kern w:val="0"/>
          <w:sz w:val="24"/>
        </w:rPr>
        <w:t>2、污染物排放标准</w:t>
      </w:r>
      <w:bookmarkEnd w:id="81"/>
      <w:bookmarkEnd w:id="82"/>
      <w:bookmarkEnd w:id="83"/>
      <w:bookmarkEnd w:id="84"/>
      <w:bookmarkEnd w:id="85"/>
      <w:bookmarkEnd w:id="86"/>
      <w:bookmarkEnd w:id="87"/>
      <w:bookmarkEnd w:id="88"/>
      <w:bookmarkEnd w:id="89"/>
      <w:bookmarkEnd w:id="90"/>
    </w:p>
    <w:p>
      <w:pPr>
        <w:wordWrap w:val="0"/>
        <w:autoSpaceDE w:val="0"/>
        <w:autoSpaceDN w:val="0"/>
        <w:adjustRightInd w:val="0"/>
        <w:spacing w:line="420" w:lineRule="exact"/>
        <w:ind w:firstLine="480" w:firstLineChars="200"/>
        <w:rPr>
          <w:kern w:val="0"/>
          <w:sz w:val="24"/>
        </w:rPr>
      </w:pPr>
      <w:bookmarkStart w:id="91" w:name="_Toc396141984"/>
      <w:bookmarkStart w:id="92" w:name="_Toc396142799"/>
      <w:bookmarkStart w:id="93" w:name="_Toc401731093"/>
      <w:bookmarkStart w:id="94" w:name="_Toc406057615"/>
      <w:bookmarkStart w:id="95" w:name="_Toc406057723"/>
      <w:bookmarkStart w:id="96" w:name="_Toc406057920"/>
      <w:bookmarkStart w:id="97" w:name="_Toc409679595"/>
      <w:bookmarkStart w:id="98" w:name="_Toc409679722"/>
      <w:bookmarkStart w:id="99" w:name="_Toc436993068"/>
      <w:bookmarkStart w:id="100" w:name="_Toc479326662"/>
      <w:r>
        <w:rPr>
          <w:rFonts w:hint="eastAsia"/>
          <w:kern w:val="0"/>
          <w:sz w:val="24"/>
        </w:rPr>
        <w:t>（1）废气排放标准</w:t>
      </w:r>
    </w:p>
    <w:p>
      <w:pPr>
        <w:wordWrap w:val="0"/>
        <w:autoSpaceDE w:val="0"/>
        <w:autoSpaceDN w:val="0"/>
        <w:adjustRightInd w:val="0"/>
        <w:spacing w:line="420" w:lineRule="exact"/>
        <w:ind w:firstLine="480" w:firstLineChars="200"/>
        <w:rPr>
          <w:kern w:val="0"/>
          <w:sz w:val="24"/>
        </w:rPr>
      </w:pPr>
      <w:r>
        <w:rPr>
          <w:rFonts w:hint="eastAsia"/>
          <w:kern w:val="0"/>
          <w:sz w:val="24"/>
        </w:rPr>
        <w:t>施工期</w:t>
      </w:r>
      <w:r>
        <w:rPr>
          <w:kern w:val="0"/>
          <w:sz w:val="24"/>
        </w:rPr>
        <w:t>柴油发电机</w:t>
      </w:r>
      <w:r>
        <w:rPr>
          <w:rFonts w:hint="eastAsia"/>
          <w:kern w:val="0"/>
          <w:sz w:val="24"/>
        </w:rPr>
        <w:t>废气排放执行《</w:t>
      </w:r>
      <w:r>
        <w:rPr>
          <w:kern w:val="0"/>
          <w:sz w:val="24"/>
        </w:rPr>
        <w:t>非道路移动机械用柴油机排气污染物排放限值及测量方法(中国第三、四阶段）</w:t>
      </w:r>
      <w:r>
        <w:rPr>
          <w:rFonts w:hint="eastAsia"/>
          <w:kern w:val="0"/>
          <w:sz w:val="24"/>
        </w:rPr>
        <w:t>》（</w:t>
      </w:r>
      <w:r>
        <w:rPr>
          <w:kern w:val="0"/>
          <w:sz w:val="24"/>
        </w:rPr>
        <w:t>GB20891</w:t>
      </w:r>
      <w:r>
        <w:rPr>
          <w:rFonts w:hint="eastAsia"/>
          <w:kern w:val="0"/>
          <w:sz w:val="24"/>
        </w:rPr>
        <w:t>-</w:t>
      </w:r>
      <w:r>
        <w:rPr>
          <w:kern w:val="0"/>
          <w:sz w:val="24"/>
        </w:rPr>
        <w:t>2014</w:t>
      </w:r>
      <w:r>
        <w:rPr>
          <w:rFonts w:hint="eastAsia"/>
          <w:kern w:val="0"/>
          <w:sz w:val="24"/>
        </w:rPr>
        <w:t>）中表2标准限值要求。</w:t>
      </w:r>
    </w:p>
    <w:p>
      <w:pPr>
        <w:wordWrap w:val="0"/>
        <w:autoSpaceDE w:val="0"/>
        <w:autoSpaceDN w:val="0"/>
        <w:adjustRightInd w:val="0"/>
        <w:spacing w:line="420" w:lineRule="exact"/>
        <w:ind w:firstLine="480" w:firstLineChars="200"/>
        <w:rPr>
          <w:kern w:val="0"/>
          <w:sz w:val="24"/>
        </w:rPr>
      </w:pPr>
      <w:r>
        <w:rPr>
          <w:kern w:val="0"/>
          <w:sz w:val="24"/>
        </w:rPr>
        <w:t>（</w:t>
      </w:r>
      <w:r>
        <w:rPr>
          <w:rFonts w:hint="eastAsia"/>
          <w:kern w:val="0"/>
          <w:sz w:val="24"/>
        </w:rPr>
        <w:t>2</w:t>
      </w:r>
      <w:r>
        <w:rPr>
          <w:kern w:val="0"/>
          <w:sz w:val="24"/>
        </w:rPr>
        <w:t>）噪声</w:t>
      </w:r>
      <w:bookmarkEnd w:id="91"/>
      <w:bookmarkEnd w:id="92"/>
      <w:bookmarkEnd w:id="93"/>
      <w:bookmarkEnd w:id="94"/>
      <w:bookmarkEnd w:id="95"/>
      <w:bookmarkEnd w:id="96"/>
      <w:bookmarkEnd w:id="97"/>
      <w:bookmarkEnd w:id="98"/>
      <w:bookmarkEnd w:id="99"/>
      <w:bookmarkEnd w:id="100"/>
      <w:r>
        <w:rPr>
          <w:rFonts w:hint="eastAsia"/>
          <w:kern w:val="0"/>
          <w:sz w:val="24"/>
        </w:rPr>
        <w:t>排放标准</w:t>
      </w:r>
    </w:p>
    <w:p>
      <w:pPr>
        <w:wordWrap w:val="0"/>
        <w:autoSpaceDE w:val="0"/>
        <w:autoSpaceDN w:val="0"/>
        <w:adjustRightInd w:val="0"/>
        <w:spacing w:line="420" w:lineRule="exact"/>
        <w:ind w:firstLine="480" w:firstLineChars="200"/>
        <w:rPr>
          <w:kern w:val="0"/>
          <w:sz w:val="24"/>
        </w:rPr>
      </w:pPr>
      <w:bookmarkStart w:id="101" w:name="_Toc396141985"/>
      <w:bookmarkStart w:id="102" w:name="_Toc396142800"/>
      <w:bookmarkStart w:id="103" w:name="_Toc401731094"/>
      <w:bookmarkStart w:id="104" w:name="_Toc406057616"/>
      <w:bookmarkStart w:id="105" w:name="_Toc406057724"/>
      <w:bookmarkStart w:id="106" w:name="_Toc406057921"/>
      <w:bookmarkStart w:id="107" w:name="_Toc409679596"/>
      <w:bookmarkStart w:id="108" w:name="_Toc409679723"/>
      <w:bookmarkStart w:id="109" w:name="_Toc436993069"/>
      <w:bookmarkStart w:id="110" w:name="_Toc479326663"/>
      <w:r>
        <w:rPr>
          <w:rFonts w:hint="eastAsia"/>
          <w:kern w:val="0"/>
          <w:sz w:val="24"/>
        </w:rPr>
        <w:t>①</w:t>
      </w:r>
      <w:r>
        <w:rPr>
          <w:kern w:val="0"/>
          <w:sz w:val="24"/>
        </w:rPr>
        <w:t>施工期噪声执行《建筑施工场界</w:t>
      </w:r>
      <w:r>
        <w:rPr>
          <w:rFonts w:hint="eastAsia"/>
          <w:kern w:val="0"/>
          <w:sz w:val="24"/>
        </w:rPr>
        <w:t>环境噪声排放标准</w:t>
      </w:r>
      <w:r>
        <w:rPr>
          <w:kern w:val="0"/>
          <w:sz w:val="24"/>
        </w:rPr>
        <w:t>》（GB12523－2011）中噪声限值，其标准值见表</w:t>
      </w:r>
      <w:r>
        <w:rPr>
          <w:rFonts w:hint="eastAsia"/>
          <w:kern w:val="0"/>
          <w:sz w:val="24"/>
        </w:rPr>
        <w:t>15</w:t>
      </w:r>
      <w:r>
        <w:rPr>
          <w:kern w:val="0"/>
          <w:sz w:val="24"/>
        </w:rPr>
        <w:t>。</w:t>
      </w:r>
      <w:bookmarkEnd w:id="101"/>
      <w:bookmarkEnd w:id="102"/>
      <w:bookmarkEnd w:id="103"/>
      <w:bookmarkEnd w:id="104"/>
      <w:bookmarkEnd w:id="105"/>
      <w:bookmarkEnd w:id="106"/>
      <w:bookmarkEnd w:id="107"/>
      <w:bookmarkEnd w:id="108"/>
      <w:bookmarkEnd w:id="109"/>
      <w:bookmarkEnd w:id="110"/>
    </w:p>
    <w:p>
      <w:pPr>
        <w:autoSpaceDE w:val="0"/>
        <w:autoSpaceDN w:val="0"/>
        <w:adjustRightInd w:val="0"/>
        <w:spacing w:line="420" w:lineRule="exact"/>
        <w:ind w:firstLine="480" w:firstLineChars="200"/>
        <w:jc w:val="center"/>
        <w:rPr>
          <w:kern w:val="0"/>
          <w:sz w:val="24"/>
        </w:rPr>
      </w:pPr>
      <w:r>
        <w:rPr>
          <w:kern w:val="0"/>
          <w:sz w:val="24"/>
        </w:rPr>
        <w:t>表</w:t>
      </w:r>
      <w:r>
        <w:rPr>
          <w:rFonts w:hint="eastAsia"/>
          <w:kern w:val="0"/>
          <w:sz w:val="24"/>
        </w:rPr>
        <w:t xml:space="preserve">15    </w:t>
      </w:r>
      <w:r>
        <w:rPr>
          <w:kern w:val="0"/>
          <w:sz w:val="24"/>
        </w:rPr>
        <w:t>建筑施工场界环境噪声排放标准</w:t>
      </w:r>
    </w:p>
    <w:tbl>
      <w:tblPr>
        <w:tblW w:w="92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3794"/>
        <w:gridCol w:w="2835"/>
        <w:gridCol w:w="2657"/>
      </w:tblGrid>
      <w:tr>
        <w:trPr>
          <w:trHeight w:val="454" w:hRule="atLeast"/>
          <w:jc w:val="center"/>
        </w:trPr>
        <w:tc>
          <w:tcPr>
            <w:tcW w:w="3794" w:type="dxa"/>
            <w:tcBorders>
              <w:top w:val="single" w:color="auto" w:sz="4" w:space="0"/>
              <w:tl2br w:val="nil"/>
              <w:tr2bl w:val="nil"/>
            </w:tcBorders>
            <w:vAlign w:val="center"/>
          </w:tcPr>
          <w:p>
            <w:pPr>
              <w:spacing w:line="360" w:lineRule="exact"/>
              <w:jc w:val="center"/>
              <w:rPr>
                <w:szCs w:val="21"/>
              </w:rPr>
            </w:pPr>
            <w:r>
              <w:rPr>
                <w:rFonts w:hint="eastAsia"/>
                <w:szCs w:val="21"/>
              </w:rPr>
              <w:t>标准</w:t>
            </w:r>
          </w:p>
        </w:tc>
        <w:tc>
          <w:tcPr>
            <w:tcW w:w="2835" w:type="dxa"/>
            <w:tcBorders>
              <w:top w:val="single" w:color="auto" w:sz="4" w:space="0"/>
              <w:tl2br w:val="nil"/>
              <w:tr2bl w:val="nil"/>
            </w:tcBorders>
            <w:vAlign w:val="center"/>
          </w:tcPr>
          <w:p>
            <w:pPr>
              <w:wordWrap w:val="0"/>
              <w:spacing w:line="360" w:lineRule="exact"/>
              <w:jc w:val="center"/>
              <w:rPr>
                <w:szCs w:val="21"/>
              </w:rPr>
            </w:pPr>
            <w:r>
              <w:rPr>
                <w:szCs w:val="21"/>
              </w:rPr>
              <w:t>昼间</w:t>
            </w:r>
          </w:p>
        </w:tc>
        <w:tc>
          <w:tcPr>
            <w:tcW w:w="2657" w:type="dxa"/>
            <w:tcBorders>
              <w:tl2br w:val="nil"/>
              <w:tr2bl w:val="nil"/>
            </w:tcBorders>
            <w:vAlign w:val="center"/>
          </w:tcPr>
          <w:p>
            <w:pPr>
              <w:wordWrap w:val="0"/>
              <w:spacing w:line="360" w:lineRule="exact"/>
              <w:jc w:val="center"/>
              <w:rPr>
                <w:szCs w:val="21"/>
              </w:rPr>
            </w:pPr>
            <w:r>
              <w:rPr>
                <w:szCs w:val="21"/>
              </w:rPr>
              <w:t>夜间</w:t>
            </w:r>
          </w:p>
        </w:tc>
      </w:tr>
      <w:tr>
        <w:trPr>
          <w:trHeight w:val="454" w:hRule="atLeast"/>
          <w:jc w:val="center"/>
        </w:trPr>
        <w:tc>
          <w:tcPr>
            <w:tcW w:w="3794" w:type="dxa"/>
            <w:tcBorders>
              <w:tl2br w:val="nil"/>
              <w:tr2bl w:val="nil"/>
            </w:tcBorders>
            <w:vAlign w:val="center"/>
          </w:tcPr>
          <w:p>
            <w:pPr>
              <w:wordWrap w:val="0"/>
              <w:spacing w:line="360" w:lineRule="exact"/>
              <w:jc w:val="center"/>
              <w:rPr>
                <w:szCs w:val="21"/>
              </w:rPr>
            </w:pPr>
            <w:r>
              <w:rPr>
                <w:kern w:val="0"/>
                <w:sz w:val="24"/>
              </w:rPr>
              <w:t>GB12523－2011</w:t>
            </w:r>
          </w:p>
        </w:tc>
        <w:tc>
          <w:tcPr>
            <w:tcW w:w="2835" w:type="dxa"/>
            <w:tcBorders>
              <w:tl2br w:val="nil"/>
              <w:tr2bl w:val="nil"/>
            </w:tcBorders>
            <w:vAlign w:val="center"/>
          </w:tcPr>
          <w:p>
            <w:pPr>
              <w:wordWrap w:val="0"/>
              <w:spacing w:line="360" w:lineRule="exact"/>
              <w:jc w:val="center"/>
              <w:rPr>
                <w:szCs w:val="21"/>
              </w:rPr>
            </w:pPr>
            <w:r>
              <w:rPr>
                <w:rFonts w:hint="eastAsia"/>
                <w:szCs w:val="21"/>
              </w:rPr>
              <w:t>70</w:t>
            </w:r>
          </w:p>
        </w:tc>
        <w:tc>
          <w:tcPr>
            <w:tcW w:w="2657" w:type="dxa"/>
            <w:tcBorders>
              <w:tl2br w:val="nil"/>
              <w:tr2bl w:val="nil"/>
            </w:tcBorders>
            <w:vAlign w:val="center"/>
          </w:tcPr>
          <w:p>
            <w:pPr>
              <w:wordWrap w:val="0"/>
              <w:spacing w:line="360" w:lineRule="exact"/>
              <w:jc w:val="center"/>
              <w:rPr>
                <w:szCs w:val="21"/>
              </w:rPr>
            </w:pPr>
            <w:r>
              <w:rPr>
                <w:rFonts w:hint="eastAsia"/>
                <w:szCs w:val="21"/>
              </w:rPr>
              <w:t>55</w:t>
            </w:r>
          </w:p>
        </w:tc>
      </w:tr>
    </w:tbl>
    <w:p>
      <w:pPr>
        <w:wordWrap w:val="0"/>
        <w:autoSpaceDE w:val="0"/>
        <w:autoSpaceDN w:val="0"/>
        <w:adjustRightInd w:val="0"/>
        <w:spacing w:line="420" w:lineRule="exact"/>
        <w:ind w:firstLine="480" w:firstLineChars="200"/>
        <w:rPr>
          <w:kern w:val="0"/>
          <w:sz w:val="24"/>
        </w:rPr>
      </w:pPr>
      <w:bookmarkStart w:id="111" w:name="_Toc396141986"/>
      <w:bookmarkStart w:id="112" w:name="_Toc396142801"/>
      <w:bookmarkStart w:id="113" w:name="_Toc401731095"/>
      <w:bookmarkStart w:id="114" w:name="_Toc406057617"/>
      <w:bookmarkStart w:id="115" w:name="_Toc406057725"/>
      <w:bookmarkStart w:id="116" w:name="_Toc406057922"/>
      <w:bookmarkStart w:id="117" w:name="_Toc409679597"/>
      <w:bookmarkStart w:id="118" w:name="_Toc409679724"/>
      <w:bookmarkStart w:id="119" w:name="_Toc436993070"/>
      <w:bookmarkStart w:id="120" w:name="_Toc479326664"/>
      <w:r>
        <w:rPr>
          <w:rFonts w:hint="eastAsia"/>
          <w:kern w:val="0"/>
          <w:sz w:val="24"/>
        </w:rPr>
        <w:t>②风电场运营期执行《声环境质量标准》(GB3096-2008)中2类声功能区限值。即昼间：60dB(A)、夜间：50dB(A)的限值作为控制风电机运行期噪声排放标准。</w:t>
      </w:r>
      <w:bookmarkEnd w:id="111"/>
      <w:bookmarkEnd w:id="112"/>
      <w:bookmarkEnd w:id="113"/>
      <w:bookmarkEnd w:id="114"/>
      <w:bookmarkEnd w:id="115"/>
      <w:bookmarkEnd w:id="116"/>
      <w:bookmarkEnd w:id="117"/>
      <w:bookmarkEnd w:id="118"/>
      <w:bookmarkEnd w:id="119"/>
      <w:bookmarkEnd w:id="120"/>
    </w:p>
    <w:p>
      <w:pPr>
        <w:wordWrap w:val="0"/>
        <w:autoSpaceDE w:val="0"/>
        <w:autoSpaceDN w:val="0"/>
        <w:adjustRightInd w:val="0"/>
        <w:spacing w:line="420" w:lineRule="exact"/>
        <w:ind w:firstLine="480" w:firstLineChars="200"/>
        <w:rPr>
          <w:kern w:val="0"/>
          <w:sz w:val="24"/>
        </w:rPr>
      </w:pPr>
      <w:bookmarkStart w:id="121" w:name="_Toc479326666"/>
      <w:bookmarkStart w:id="122" w:name="_Toc406057728"/>
      <w:bookmarkStart w:id="123" w:name="_Toc406057925"/>
      <w:bookmarkStart w:id="124" w:name="_Toc409679600"/>
      <w:bookmarkStart w:id="125" w:name="_Toc409679727"/>
      <w:bookmarkStart w:id="126" w:name="_Toc396141990"/>
      <w:bookmarkStart w:id="127" w:name="_Toc396142805"/>
      <w:bookmarkStart w:id="128" w:name="_Toc401731098"/>
      <w:bookmarkStart w:id="129" w:name="_Toc406057620"/>
      <w:r>
        <w:rPr>
          <w:rFonts w:hint="eastAsia"/>
          <w:kern w:val="0"/>
          <w:sz w:val="24"/>
        </w:rPr>
        <w:t>（3）固体废物</w:t>
      </w:r>
      <w:bookmarkEnd w:id="121"/>
    </w:p>
    <w:p>
      <w:pPr>
        <w:wordWrap w:val="0"/>
        <w:autoSpaceDE w:val="0"/>
        <w:autoSpaceDN w:val="0"/>
        <w:adjustRightInd w:val="0"/>
        <w:spacing w:line="420" w:lineRule="exact"/>
        <w:ind w:firstLine="480" w:firstLineChars="200"/>
        <w:rPr>
          <w:kern w:val="0"/>
          <w:sz w:val="24"/>
        </w:rPr>
      </w:pPr>
      <w:bookmarkStart w:id="130" w:name="_Toc479326667"/>
      <w:r>
        <w:rPr>
          <w:rFonts w:hint="eastAsia"/>
          <w:kern w:val="0"/>
          <w:sz w:val="24"/>
        </w:rPr>
        <w:t>一般固体废物执行《一般工业固体废物贮存、处置场污染控制标准》（GB18599-2001）有关要求，及环境保护部2013年6月8日第36号文公布的“关于发布《一般工业固体废物贮存、处置场污染控制标准》（GB18599-2001）等3项国家污染物控制标准修改单的公告”。</w:t>
      </w:r>
      <w:bookmarkEnd w:id="122"/>
      <w:bookmarkEnd w:id="123"/>
      <w:bookmarkEnd w:id="124"/>
      <w:bookmarkEnd w:id="125"/>
      <w:bookmarkEnd w:id="126"/>
      <w:bookmarkEnd w:id="127"/>
      <w:bookmarkEnd w:id="128"/>
      <w:bookmarkEnd w:id="129"/>
      <w:bookmarkEnd w:id="130"/>
      <w:bookmarkStart w:id="131" w:name="_Toc396141991"/>
      <w:bookmarkStart w:id="132" w:name="_Toc396142806"/>
      <w:bookmarkStart w:id="133" w:name="_Toc401731099"/>
      <w:bookmarkStart w:id="134" w:name="_Toc406057621"/>
      <w:bookmarkStart w:id="135" w:name="_Toc406057729"/>
      <w:bookmarkStart w:id="136" w:name="_Toc406057926"/>
      <w:bookmarkStart w:id="137" w:name="_Toc409679601"/>
      <w:bookmarkStart w:id="138" w:name="_Toc409679728"/>
      <w:bookmarkStart w:id="139" w:name="_Toc436993075"/>
      <w:bookmarkStart w:id="140" w:name="_Toc479326669"/>
    </w:p>
    <w:p>
      <w:pPr>
        <w:wordWrap w:val="0"/>
        <w:autoSpaceDE w:val="0"/>
        <w:autoSpaceDN w:val="0"/>
        <w:adjustRightInd w:val="0"/>
        <w:spacing w:line="420" w:lineRule="exact"/>
        <w:ind w:firstLine="482" w:firstLineChars="200"/>
        <w:rPr>
          <w:b/>
          <w:kern w:val="0"/>
          <w:sz w:val="24"/>
        </w:rPr>
      </w:pPr>
      <w:r>
        <w:rPr>
          <w:rFonts w:hint="eastAsia"/>
          <w:b/>
          <w:kern w:val="0"/>
          <w:sz w:val="24"/>
        </w:rPr>
        <w:t>3、总量控制</w:t>
      </w:r>
    </w:p>
    <w:p>
      <w:pPr>
        <w:wordWrap w:val="0"/>
        <w:autoSpaceDE w:val="0"/>
        <w:autoSpaceDN w:val="0"/>
        <w:adjustRightInd w:val="0"/>
        <w:spacing w:line="420" w:lineRule="exact"/>
        <w:ind w:firstLine="480" w:firstLineChars="200"/>
        <w:rPr>
          <w:kern w:val="0"/>
          <w:sz w:val="24"/>
        </w:rPr>
        <w:sectPr>
          <w:headerReference r:id="rId6" w:type="default"/>
          <w:footerReference r:id="rId7" w:type="default"/>
          <w:pgSz w:w="11906" w:h="16838"/>
          <w:pgMar w:top="1418" w:right="1418" w:bottom="1418" w:left="1418" w:header="851" w:footer="851" w:gutter="0"/>
          <w:cols w:space="720" w:num="1"/>
          <w:docGrid w:type="lines" w:linePitch="312"/>
        </w:sectPr>
      </w:pPr>
      <w:r>
        <w:rPr>
          <w:rFonts w:hint="eastAsia"/>
          <w:kern w:val="0"/>
          <w:sz w:val="24"/>
        </w:rPr>
        <w:t>岢岚县6MW分散式风电项目为生态影响类项目，运行期无总量控制因子排放，因此，本项目无需申请总量控制指标。</w:t>
      </w:r>
    </w:p>
    <w:p>
      <w:pPr>
        <w:pStyle w:val="15"/>
        <w:wordWrap w:val="0"/>
        <w:snapToGrid w:val="0"/>
        <w:spacing w:beforeLines="25" w:afterLines="25" w:line="440" w:lineRule="exact"/>
        <w:outlineLvl w:val="0"/>
        <w:rPr>
          <w:rFonts w:ascii="Times New Roman" w:hAnsi="Times New Roman" w:cs="Times New Roman"/>
          <w:b/>
          <w:bCs/>
          <w:sz w:val="28"/>
          <w:szCs w:val="28"/>
        </w:rPr>
      </w:pPr>
      <w:bookmarkStart w:id="141" w:name="_Toc528854945"/>
      <w:r>
        <w:rPr>
          <w:rFonts w:ascii="Times New Roman" w:hAnsi="Times New Roman" w:cs="Times New Roman"/>
          <w:b/>
          <w:bCs/>
          <w:sz w:val="28"/>
          <w:szCs w:val="28"/>
        </w:rPr>
        <w:t>五、建设项目工程分析</w:t>
      </w:r>
      <w:bookmarkEnd w:id="131"/>
      <w:bookmarkEnd w:id="132"/>
      <w:bookmarkEnd w:id="133"/>
      <w:bookmarkEnd w:id="134"/>
      <w:bookmarkEnd w:id="135"/>
      <w:bookmarkEnd w:id="136"/>
      <w:bookmarkEnd w:id="137"/>
      <w:bookmarkEnd w:id="138"/>
      <w:bookmarkEnd w:id="139"/>
      <w:bookmarkEnd w:id="140"/>
      <w:bookmarkEnd w:id="141"/>
    </w:p>
    <w:p>
      <w:pPr>
        <w:pStyle w:val="29"/>
        <w:wordWrap w:val="0"/>
        <w:spacing w:beforeLines="25" w:beforeAutospacing="0" w:afterLines="25" w:afterAutospacing="0" w:line="440" w:lineRule="exact"/>
        <w:jc w:val="both"/>
        <w:rPr>
          <w:rFonts w:ascii="Times New Roman" w:hAnsi="Times New Roman" w:cs="Times New Roman"/>
          <w:b/>
          <w:sz w:val="28"/>
          <w:szCs w:val="28"/>
        </w:rPr>
      </w:pPr>
      <w:r>
        <w:rPr>
          <w:rFonts w:ascii="Times New Roman" w:hAnsi="Times New Roman" w:cs="Times New Roman"/>
          <w:b/>
          <w:sz w:val="28"/>
          <w:szCs w:val="28"/>
        </w:rPr>
        <w:t>1.工艺流程简述</w:t>
      </w:r>
    </w:p>
    <w:p>
      <w:pPr>
        <w:wordWrap w:val="0"/>
        <w:adjustRightInd w:val="0"/>
        <w:snapToGrid w:val="0"/>
        <w:spacing w:line="440" w:lineRule="exact"/>
        <w:ind w:firstLine="482" w:firstLineChars="200"/>
        <w:rPr>
          <w:b/>
          <w:kern w:val="0"/>
          <w:sz w:val="24"/>
        </w:rPr>
      </w:pPr>
      <w:bookmarkStart w:id="142" w:name="_Toc396141992"/>
      <w:bookmarkStart w:id="143" w:name="_Toc396142807"/>
      <w:bookmarkStart w:id="144" w:name="_Toc401731100"/>
      <w:bookmarkStart w:id="145" w:name="_Toc406057622"/>
      <w:bookmarkStart w:id="146" w:name="_Toc406057730"/>
      <w:bookmarkStart w:id="147" w:name="_Toc406057927"/>
      <w:bookmarkStart w:id="148" w:name="_Toc409679602"/>
      <w:bookmarkStart w:id="149" w:name="_Toc409679729"/>
      <w:bookmarkStart w:id="150" w:name="_Toc436993076"/>
      <w:bookmarkStart w:id="151" w:name="_Toc479326670"/>
      <w:r>
        <w:rPr>
          <w:rFonts w:hint="eastAsia"/>
          <w:b/>
          <w:kern w:val="0"/>
          <w:sz w:val="24"/>
        </w:rPr>
        <w:t>1）</w:t>
      </w:r>
      <w:r>
        <w:rPr>
          <w:b/>
          <w:kern w:val="0"/>
          <w:sz w:val="24"/>
        </w:rPr>
        <w:t>施工期工程内容</w:t>
      </w:r>
      <w:bookmarkEnd w:id="142"/>
      <w:bookmarkEnd w:id="143"/>
      <w:bookmarkEnd w:id="144"/>
      <w:bookmarkEnd w:id="145"/>
      <w:bookmarkEnd w:id="146"/>
      <w:bookmarkEnd w:id="147"/>
      <w:bookmarkEnd w:id="148"/>
      <w:bookmarkEnd w:id="149"/>
      <w:bookmarkEnd w:id="150"/>
      <w:bookmarkEnd w:id="151"/>
    </w:p>
    <w:p>
      <w:pPr>
        <w:wordWrap w:val="0"/>
        <w:adjustRightInd w:val="0"/>
        <w:snapToGrid w:val="0"/>
        <w:spacing w:line="420" w:lineRule="exact"/>
        <w:ind w:firstLine="480" w:firstLineChars="200"/>
        <w:rPr>
          <w:kern w:val="0"/>
          <w:sz w:val="24"/>
        </w:rPr>
      </w:pPr>
      <w:r>
        <w:rPr>
          <w:kern w:val="0"/>
          <w:sz w:val="24"/>
        </w:rPr>
        <w:t>风电场工程施工主要包括风力发电机组基础、箱变基础的开挖和混凝土浇筑、机组设备的安装以及电气设备的安装、机组箱变的安装、线缆的安装，施工工期为4个月。风力发电机组设备的施工安装顺序为：混凝土基础现场浇注，塔筒运输到机位，吊车依次吊装塔筒、机舱和叶轮，然后安装调试。</w:t>
      </w: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r>
        <w:rPr>
          <w:rFonts w:ascii="Times New Roman" w:hAnsi="Times New Roman" w:eastAsia="宋体" w:cs="Times New Roman"/>
          <w:kern w:val="0"/>
          <w:sz w:val="24"/>
          <w:szCs w:val="24"/>
          <w:lang w:val="en-US" w:eastAsia="zh-CN" w:bidi="ar-SA"/>
        </w:rPr>
        <w:pict>
          <v:group id="组合 1030" o:spid="_x0000_s1031" style="height:324.7pt;width:453.5pt;rotation:0f;" coordorigin="0,0" coordsize="9070,6494">
            <o:lock v:ext="edit" position="f" selection="f" grouping="f" rotation="f" cropping="f" text="f" aspectratio="f"/>
            <v:rect id="矩形 1031" o:spid="_x0000_s1032" style="position:absolute;left:0;top:0;height:6494;width:9070;rotation:0f;" o:ole="f" fillcolor="#FFFFFF" filled="f" o:preferrelative="t" stroked="f" coordsize="21600,21600">
              <v:fill on="f" color2="#FFFFFF" focus="0%"/>
              <v:imagedata gain="65536f" blacklevel="0f" gamma="0"/>
              <o:lock v:ext="edit" position="f" selection="f" grouping="f" rotation="f" cropping="f" text="f" aspectratio="f"/>
            </v:rect>
            <v:rect id="矩形 1032" o:spid="_x0000_s1033" style="position:absolute;left:1807;top:1061;height:435;width:165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风机</w:t>
                    </w:r>
                  </w:p>
                </w:txbxContent>
              </v:textbox>
            </v:rect>
            <v:rect id="矩形 1033" o:spid="_x0000_s1034" style="position:absolute;left:1807;top:3611;height:436;width:165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箱式变压器</w:t>
                    </w:r>
                  </w:p>
                </w:txbxContent>
              </v:textbox>
            </v:rect>
            <v:rect id="矩形 1034" o:spid="_x0000_s1035" style="position:absolute;left:1807;top:4873;height:436;width:165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集电线路敷设</w:t>
                    </w:r>
                  </w:p>
                </w:txbxContent>
              </v:textbox>
            </v:rect>
            <v:rect id="矩形 1035" o:spid="_x0000_s1036" style="position:absolute;left:1807;top:5782;height:436;width:165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道路铺设</w:t>
                    </w:r>
                  </w:p>
                </w:txbxContent>
              </v:textbox>
            </v:rect>
            <v:rect id="矩形 1036" o:spid="_x0000_s1037" style="position:absolute;left:4147;top:398;height:435;width:84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基础</w:t>
                    </w:r>
                  </w:p>
                </w:txbxContent>
              </v:textbox>
            </v:rect>
            <v:rect id="矩形 1037" o:spid="_x0000_s1038" style="position:absolute;left:4147;top:1748;height:435;width:84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安装</w:t>
                    </w:r>
                  </w:p>
                </w:txbxContent>
              </v:textbox>
            </v:rect>
            <v:rect id="矩形 1038" o:spid="_x0000_s1039" style="position:absolute;left:3968;top:3175;height:436;width:839;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基础</w:t>
                    </w:r>
                  </w:p>
                </w:txbxContent>
              </v:textbox>
            </v:rect>
            <v:rect id="矩形 1039" o:spid="_x0000_s1040" style="position:absolute;left:3968;top:4123;height:436;width:839;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安装</w:t>
                    </w:r>
                  </w:p>
                </w:txbxContent>
              </v:textbox>
            </v:rect>
            <v:rect id="矩形 1040" o:spid="_x0000_s1041" style="position:absolute;left:5361;top:98;height:435;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土方工程</w:t>
                    </w:r>
                  </w:p>
                </w:txbxContent>
              </v:textbox>
            </v:rect>
            <v:rect id="矩形 1041" o:spid="_x0000_s1042" style="position:absolute;left:5361;top:743;height:435;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混凝土工程</w:t>
                    </w:r>
                  </w:p>
                </w:txbxContent>
              </v:textbox>
            </v:rect>
            <v:rect id="矩形 1042" o:spid="_x0000_s1043" style="position:absolute;left:5361;top:1253;height:435;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塔筒工程</w:t>
                    </w:r>
                  </w:p>
                </w:txbxContent>
              </v:textbox>
            </v:rect>
            <v:rect id="矩形 1043" o:spid="_x0000_s1044" style="position:absolute;left:5361;top:1749;height:434;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机舱吊装</w:t>
                    </w:r>
                  </w:p>
                </w:txbxContent>
              </v:textbox>
            </v:rect>
            <v:rect id="矩形 1044" o:spid="_x0000_s1045" style="position:absolute;left:5361;top:2259;height:434;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叶轮吊装</w:t>
                    </w:r>
                  </w:p>
                </w:txbxContent>
              </v:textbox>
            </v:rect>
            <v:rect id="矩形 1045" o:spid="_x0000_s1046" style="position:absolute;left:5361;top:2907;height:434;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土方工程</w:t>
                    </w:r>
                  </w:p>
                </w:txbxContent>
              </v:textbox>
            </v:rect>
            <v:rect id="矩形 1046" o:spid="_x0000_s1047" style="position:absolute;left:5361;top:3463;height:433;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混凝土工程</w:t>
                    </w:r>
                  </w:p>
                </w:txbxContent>
              </v:textbox>
            </v:rect>
            <v:shape id="肘形连接符 1047" o:spid="_x0000_s1048" type="#_x0000_t34" style="position:absolute;left:3457;top:616;flip:y;height:663;width:690;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肘形连接符 1048" o:spid="_x0000_s1049" type="#_x0000_t34" style="position:absolute;left:3457;top:1279;height:687;width:690;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肘形连接符 1049" o:spid="_x0000_s1050" type="#_x0000_t34" style="position:absolute;left:4987;top:316;flip:y;height:300;width:374;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肘形连接符 1050" o:spid="_x0000_s1051" type="#_x0000_t34" style="position:absolute;left:4987;top:616;height:345;width:374;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肘形连接符 1051" o:spid="_x0000_s1052" type="#_x0000_t34" style="position:absolute;left:4987;top:1471;flip:y;height:495;width:374;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肘形连接符 1052" o:spid="_x0000_s1053" type="#_x0000_t34" style="position:absolute;left:4987;top:1966;height:510;width:374;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直接连接符 1053" o:spid="_x0000_s1054" type="#_x0000_t32" style="position:absolute;left:4987;top:1966;height:1;width:374;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肘形连接符 1054" o:spid="_x0000_s1055" type="#_x0000_t34" style="position:absolute;left:3457;top:3393;flip:y;height:436;width:511;rotation:0f;" o:ole="f" fillcolor="#FFFFFF" filled="t" o:preferrelative="t" stroked="t" coordorigin="0,0" coordsize="21600,21600" adj="10779">
              <v:stroke color="#000000" color2="#FFFFFF" opacity="100%" miterlimit="2" endarrow="block"/>
              <v:imagedata gain="65536f" blacklevel="0f" gamma="0"/>
              <o:lock v:ext="edit" position="f" selection="f" grouping="f" rotation="f" cropping="f" text="f" aspectratio="f"/>
            </v:shape>
            <v:shape id="肘形连接符 1055" o:spid="_x0000_s1056" type="#_x0000_t34" style="position:absolute;left:3457;top:3829;height:512;width:511;rotation:0f;" o:ole="f" fillcolor="#FFFFFF" filled="t" o:preferrelative="t" stroked="t" coordorigin="0,0" coordsize="21600,21600" adj="10779">
              <v:stroke color="#000000" color2="#FFFFFF" opacity="100%" miterlimit="2" endarrow="block"/>
              <v:imagedata gain="65536f" blacklevel="0f" gamma="0"/>
              <o:lock v:ext="edit" position="f" selection="f" grouping="f" rotation="f" cropping="f" text="f" aspectratio="f"/>
            </v:shape>
            <v:shape id="肘形连接符 1056" o:spid="_x0000_s1057" type="#_x0000_t34" style="position:absolute;left:4807;top:3124;flip:y;height:269;width:554;rotation:0f;" o:ole="f" fillcolor="#FFFFFF" filled="t" o:preferrelative="t" stroked="t" coordorigin="0,0" coordsize="21600,21600" adj="10761">
              <v:stroke color="#000000" color2="#FFFFFF" opacity="100%" miterlimit="2" endarrow="block"/>
              <v:imagedata gain="65536f" blacklevel="0f" gamma="0"/>
              <o:lock v:ext="edit" position="f" selection="f" grouping="f" rotation="f" cropping="f" text="f" aspectratio="f"/>
            </v:shape>
            <v:shape id="肘形连接符 1057" o:spid="_x0000_s1058" type="#_x0000_t34" style="position:absolute;left:4807;top:3393;height:287;width:554;rotation:0f;" o:ole="f" fillcolor="#FFFFFF" filled="t" o:preferrelative="t" stroked="t" coordorigin="0,0" coordsize="21600,21600" adj="10761">
              <v:stroke color="#000000" color2="#FFFFFF" opacity="100%" miterlimit="2" endarrow="block"/>
              <v:imagedata gain="65536f" blacklevel="0f" gamma="0"/>
              <o:lock v:ext="edit" position="f" selection="f" grouping="f" rotation="f" cropping="f" text="f" aspectratio="f"/>
            </v:shape>
            <v:rect id="矩形 1058" o:spid="_x0000_s1059" style="position:absolute;left:5361;top:4680;height:434;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土方工程</w:t>
                    </w:r>
                  </w:p>
                </w:txbxContent>
              </v:textbox>
            </v:rect>
            <v:rect id="矩形 1059" o:spid="_x0000_s1060" style="position:absolute;left:5361;top:5219;height:434;width:1426;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pPr>
                    <w:r>
                      <w:rPr>
                        <w:rFonts w:hint="eastAsia"/>
                      </w:rPr>
                      <w:t>安装工程</w:t>
                    </w:r>
                  </w:p>
                </w:txbxContent>
              </v:textbox>
            </v:rect>
            <v:shape id="肘形连接符 1060" o:spid="_x0000_s1061" type="#_x0000_t34" style="position:absolute;left:3457;top:4897;flip:y;height:194;width:1904;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shape id="肘形连接符 1061" o:spid="_x0000_s1062" type="#_x0000_t34" style="position:absolute;left:3457;top:5091;height:345;width:1904;rotation:0f;" o:ole="f" fillcolor="#FFFFFF" filled="t" o:preferrelative="t" stroked="t" coordorigin="0,0" coordsize="21600,21600" adj="10800">
              <v:stroke color="#000000" color2="#FFFFFF" opacity="100%" miterlimit="2" endarrow="block"/>
              <v:imagedata gain="65536f" blacklevel="0f" gamma="0"/>
              <o:lock v:ext="edit" position="f" selection="f" grouping="f" rotation="f" cropping="f" text="f" aspectratio="f"/>
            </v:shape>
            <v:rect id="矩形 1062" o:spid="_x0000_s1063" style="position:absolute;left:7506;top:421;height:434;width:1276;rotation:0f;" o:ole="f" fillcolor="#FFFFFF" filled="f" o:preferrelative="t" stroked="f" coordsize="21600,21600">
              <v:fill on="f" color2="#FFFFFF" focus="0%"/>
              <v:imagedata gain="65536f" blacklevel="0f" gamma="0"/>
              <o:lock v:ext="edit" position="f" selection="f" grouping="f" rotation="f" cropping="f" text="f" aspectratio="f"/>
              <v:textbox>
                <w:txbxContent>
                  <w:p>
                    <w:pPr>
                      <w:jc w:val="center"/>
                    </w:pPr>
                    <w:r>
                      <w:rPr>
                        <w:rFonts w:hint="eastAsia"/>
                      </w:rPr>
                      <w:t>扬尘、噪声</w:t>
                    </w:r>
                  </w:p>
                </w:txbxContent>
              </v:textbox>
            </v:rect>
            <v:shape id="肘形连接符 1063" o:spid="_x0000_s1064" type="#_x0000_t34" style="position:absolute;left:6787;top:316;height:322;width:719;rotation:0f;" o:ole="f" fillcolor="#FFFFFF" filled="t" o:preferrelative="t" stroked="t" coordorigin="0,0" coordsize="21600,21600" adj="10785">
              <v:stroke color="#000000" color2="#FFFFFF" opacity="100%" miterlimit="2" dashstyle="dash" endarrow="block"/>
              <v:imagedata gain="65536f" blacklevel="0f" gamma="0"/>
              <o:lock v:ext="edit" position="f" selection="f" grouping="f" rotation="f" cropping="f" text="f" aspectratio="f"/>
            </v:shape>
            <v:shape id="肘形连接符 1064" o:spid="_x0000_s1065" type="#_x0000_t34" style="position:absolute;left:6787;top:638;flip:y;height:323;width:719;rotation:0f;" o:ole="f" fillcolor="#FFFFFF" filled="t" o:preferrelative="t" stroked="t" coordorigin="0,0" coordsize="21600,21600" adj="10785">
              <v:stroke color="#000000" color2="#FFFFFF" opacity="100%" miterlimit="2" dashstyle="dash" endarrow="block"/>
              <v:imagedata gain="65536f" blacklevel="0f" gamma="0"/>
              <o:lock v:ext="edit" position="f" selection="f" grouping="f" rotation="f" cropping="f" text="f" aspectratio="f"/>
            </v:shape>
            <v:rect id="矩形 1065" o:spid="_x0000_s1066" style="position:absolute;left:7581;top:1748;height:434;width:1276;rotation:0f;" o:ole="f" fillcolor="#FFFFFF" filled="f" o:preferrelative="t" stroked="f" coordsize="21600,21600">
              <v:fill on="f" color2="#FFFFFF" focus="0%"/>
              <v:imagedata gain="65536f" blacklevel="0f" gamma="0"/>
              <o:lock v:ext="edit" position="f" selection="f" grouping="f" rotation="f" cropping="f" text="f" aspectratio="f"/>
              <v:textbox>
                <w:txbxContent>
                  <w:p>
                    <w:pPr>
                      <w:jc w:val="left"/>
                    </w:pPr>
                    <w:r>
                      <w:rPr>
                        <w:rFonts w:hint="eastAsia"/>
                      </w:rPr>
                      <w:t>噪声</w:t>
                    </w:r>
                  </w:p>
                </w:txbxContent>
              </v:textbox>
            </v:rect>
            <v:shape id="肘形连接符 1066" o:spid="_x0000_s1067" type="#_x0000_t34" style="position:absolute;left:6787;top:1471;height:494;width:794;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67" o:spid="_x0000_s1068" type="#_x0000_t34" style="position:absolute;left:6787;top:1965;flip:y;height:1;width:794;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68" o:spid="_x0000_s1069" type="#_x0000_t34" style="position:absolute;left:6787;top:1965;flip:y;height:511;width:794;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rect id="矩形 1069" o:spid="_x0000_s1070" style="position:absolute;left:7677;top:3175;height:434;width:1276;rotation:0f;" o:ole="f" fillcolor="#FFFFFF" filled="f" o:preferrelative="t" stroked="f" coordsize="21600,21600">
              <v:fill on="f" color2="#FFFFFF" focus="0%"/>
              <v:imagedata gain="65536f" blacklevel="0f" gamma="0"/>
              <o:lock v:ext="edit" position="f" selection="f" grouping="f" rotation="f" cropping="f" text="f" aspectratio="f"/>
              <v:textbox>
                <w:txbxContent>
                  <w:p>
                    <w:pPr>
                      <w:jc w:val="center"/>
                    </w:pPr>
                    <w:r>
                      <w:rPr>
                        <w:rFonts w:hint="eastAsia"/>
                      </w:rPr>
                      <w:t>扬尘、噪声</w:t>
                    </w:r>
                  </w:p>
                </w:txbxContent>
              </v:textbox>
            </v:rect>
            <v:shape id="肘形连接符 1070" o:spid="_x0000_s1071" type="#_x0000_t34" style="position:absolute;left:6787;top:3124;height:268;width:890;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71" o:spid="_x0000_s1072" type="#_x0000_t34" style="position:absolute;left:6787;top:3392;flip:y;height:288;width:890;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rect id="矩形 1072" o:spid="_x0000_s1073" style="position:absolute;left:7722;top:4125;height:434;width:1276;rotation:0f;" o:ole="f" fillcolor="#FFFFFF" filled="f" o:preferrelative="t" stroked="f" coordsize="21600,21600">
              <v:fill on="f" color2="#FFFFFF" focus="0%"/>
              <v:imagedata gain="65536f" blacklevel="0f" gamma="0"/>
              <o:lock v:ext="edit" position="f" selection="f" grouping="f" rotation="f" cropping="f" text="f" aspectratio="f"/>
              <v:textbox>
                <w:txbxContent>
                  <w:p>
                    <w:pPr>
                      <w:jc w:val="left"/>
                    </w:pPr>
                    <w:r>
                      <w:rPr>
                        <w:rFonts w:hint="eastAsia"/>
                      </w:rPr>
                      <w:t>噪声</w:t>
                    </w:r>
                  </w:p>
                </w:txbxContent>
              </v:textbox>
            </v:rect>
            <v:shape id="肘形连接符 1073" o:spid="_x0000_s1074" type="#_x0000_t34" style="position:absolute;left:4807;top:4341;height:1;width:2915;rotation:0f;" o:ole="f" fillcolor="#FFFFFF" filled="t" o:preferrelative="t" stroked="t" coordorigin="0,0" coordsize="21600,21600" adj="10796">
              <v:stroke color="#000000" color2="#FFFFFF" opacity="100%" miterlimit="2" dashstyle="dash" endarrow="block"/>
              <v:imagedata gain="65536f" blacklevel="0f" gamma="0"/>
              <o:lock v:ext="edit" position="f" selection="f" grouping="f" rotation="f" cropping="f" text="f" aspectratio="f"/>
            </v:shape>
            <v:rect id="矩形 1074" o:spid="_x0000_s1075" style="position:absolute;left:7581;top:5774;height:434;width:1276;rotation:0f;" o:ole="f" fillcolor="#FFFFFF" filled="f" o:preferrelative="t" stroked="f" coordsize="21600,21600">
              <v:fill on="f" color2="#FFFFFF" focus="0%"/>
              <v:imagedata gain="65536f" blacklevel="0f" gamma="0"/>
              <o:lock v:ext="edit" position="f" selection="f" grouping="f" rotation="f" cropping="f" text="f" aspectratio="f"/>
              <v:textbox>
                <w:txbxContent>
                  <w:p>
                    <w:pPr>
                      <w:jc w:val="center"/>
                    </w:pPr>
                    <w:r>
                      <w:rPr>
                        <w:rFonts w:hint="eastAsia"/>
                      </w:rPr>
                      <w:t>扬尘、噪声</w:t>
                    </w:r>
                  </w:p>
                </w:txbxContent>
              </v:textbox>
            </v:rect>
            <v:shape id="肘形连接符 1075" o:spid="_x0000_s1076" type="#_x0000_t34" style="position:absolute;left:6787;top:4897;height:1094;width:794;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76" o:spid="_x0000_s1077" type="#_x0000_t34" style="position:absolute;left:6787;top:5436;height:555;width:794;rotation: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77" o:spid="_x0000_s1078" type="#_x0000_t34" style="position:absolute;left:3457;top:5991;flip:y;height:9;width:4124;rotation:0f;" o:ole="f" fillcolor="#FFFFFF" filled="t" o:preferrelative="t" stroked="t" coordorigin="0,0" coordsize="21600,21600" adj="10800">
              <v:stroke color="#000000" color2="#FFFFFF" opacity="100%" miterlimit="2" dashstyle="dashDot" endarrow="block"/>
              <v:imagedata gain="65536f" blacklevel="0f" gamma="0"/>
              <o:lock v:ext="edit" position="f" selection="f" grouping="f" rotation="f" cropping="f" text="f" aspectratio="f"/>
            </v:shape>
            <v:rect id="矩形 1078" o:spid="_x0000_s1079" style="position:absolute;left:0;top:2887;height:1912;width:1207;rotation:0f;" o:ole="f" fillcolor="#FFFFFF" filled="t" o:preferrelative="t" stroked="f" coordsize="21600,21600">
              <v:imagedata gain="65536f" blacklevel="0f" gamma="0"/>
              <o:lock v:ext="edit" position="f" selection="f" grouping="f" rotation="f" cropping="f" text="f" aspectratio="f"/>
              <v:textbox>
                <w:txbxContent>
                  <w:p>
                    <w:pPr>
                      <w:spacing w:line="480" w:lineRule="auto"/>
                      <w:jc w:val="center"/>
                    </w:pPr>
                    <w:r>
                      <w:rPr>
                        <w:rFonts w:hint="eastAsia"/>
                      </w:rPr>
                      <w:t>施工废水</w:t>
                    </w:r>
                  </w:p>
                  <w:p>
                    <w:pPr>
                      <w:spacing w:line="480" w:lineRule="auto"/>
                      <w:jc w:val="center"/>
                    </w:pPr>
                    <w:r>
                      <w:rPr>
                        <w:rFonts w:hint="eastAsia"/>
                      </w:rPr>
                      <w:t>生活污水</w:t>
                    </w:r>
                  </w:p>
                  <w:p>
                    <w:pPr>
                      <w:spacing w:line="480" w:lineRule="auto"/>
                      <w:jc w:val="center"/>
                    </w:pPr>
                    <w:r>
                      <w:rPr>
                        <w:rFonts w:hint="eastAsia"/>
                      </w:rPr>
                      <w:t>生活垃圾</w:t>
                    </w:r>
                  </w:p>
                </w:txbxContent>
              </v:textbox>
            </v:rect>
            <v:shape id="肘形连接符 1079" o:spid="_x0000_s1080" type="#_x0000_t34" style="position:absolute;left:1207;top:1279;flip:y;height:2564;width:600;rotation:1179648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80" o:spid="_x0000_s1081" type="#_x0000_t34" style="position:absolute;left:1207;top:3843;height:2157;width:600;rotation:1179648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肘形连接符 1081" o:spid="_x0000_s1082" type="#_x0000_t34" style="position:absolute;left:1207;top:3829;flip:y;height:14;width:600;rotation:11796480f;" o:ole="f" fillcolor="#FFFFFF" filled="t" o:preferrelative="t" stroked="t" coordorigin="0,0" coordsize="21600,21600" adj="10800">
              <v:stroke color="#000000" color2="#FFFFFF" opacity="100%" miterlimit="2" dashstyle="dash" endarrow="block"/>
              <v:imagedata gain="65536f" blacklevel="0f" gamma="0"/>
              <o:lock v:ext="edit" position="f" selection="f" grouping="f" rotation="f" cropping="f" text="f" aspectratio="f"/>
            </v:shape>
            <v:shape id="直接连接符 1082" o:spid="_x0000_s1083" type="#_x0000_t32" style="position:absolute;left:1507;top:5091;flip:x;height:0;width:300;rotation:0f;" o:ole="f" fillcolor="#FFFFFF" filled="t" o:preferrelative="t" stroked="t" coordorigin="0,0" coordsize="21600,21600">
              <v:stroke color="#000000" color2="#FFFFFF" opacity="100%" joinstyle="round" dashstyle="dash"/>
              <v:imagedata gain="65536f" blacklevel="0f" gamma="0"/>
              <o:lock v:ext="edit" position="f" selection="f" grouping="f" rotation="f" cropping="f" text="f" aspectratio="f"/>
            </v:shape>
            <w10:wrap type="none"/>
            <w10:anchorlock/>
          </v:group>
        </w:pict>
      </w:r>
    </w:p>
    <w:p>
      <w:pPr>
        <w:adjustRightInd w:val="0"/>
        <w:snapToGrid w:val="0"/>
        <w:spacing w:line="440" w:lineRule="exact"/>
        <w:ind w:firstLine="480" w:firstLineChars="200"/>
        <w:jc w:val="center"/>
        <w:rPr>
          <w:sz w:val="24"/>
        </w:rPr>
      </w:pPr>
      <w:r>
        <w:rPr>
          <w:rFonts w:hint="eastAsia"/>
          <w:sz w:val="24"/>
        </w:rPr>
        <w:t>图4    风电场施工期主要工程内容</w:t>
      </w:r>
    </w:p>
    <w:p>
      <w:pPr>
        <w:adjustRightInd w:val="0"/>
        <w:snapToGrid w:val="0"/>
        <w:spacing w:line="440" w:lineRule="exact"/>
        <w:ind w:firstLine="480" w:firstLineChars="200"/>
        <w:jc w:val="center"/>
        <w:rPr>
          <w:sz w:val="24"/>
        </w:rPr>
      </w:pPr>
      <w:r>
        <w:rPr>
          <w:sz w:val="24"/>
        </w:rPr>
        <w:t>表</w:t>
      </w:r>
      <w:r>
        <w:rPr>
          <w:rFonts w:hint="eastAsia"/>
          <w:sz w:val="24"/>
        </w:rPr>
        <w:t>16</w:t>
      </w:r>
      <w:r>
        <w:rPr>
          <w:sz w:val="24"/>
        </w:rPr>
        <w:t xml:space="preserve">　 </w:t>
      </w:r>
      <w:r>
        <w:rPr>
          <w:rFonts w:hint="eastAsia"/>
          <w:sz w:val="24"/>
        </w:rPr>
        <w:t xml:space="preserve">  </w:t>
      </w:r>
      <w:r>
        <w:rPr>
          <w:sz w:val="24"/>
        </w:rPr>
        <w:t>主要施工机械汇总表</w:t>
      </w:r>
    </w:p>
    <w:tbl>
      <w:tblP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36"/>
        <w:gridCol w:w="4026"/>
        <w:gridCol w:w="2139"/>
        <w:gridCol w:w="1302"/>
        <w:gridCol w:w="1039"/>
      </w:tblGrid>
      <w:tr>
        <w:trPr>
          <w:trHeight w:val="354" w:hRule="exact"/>
          <w:jc w:val="center"/>
        </w:trPr>
        <w:tc>
          <w:tcPr>
            <w:tcW w:w="836" w:type="dxa"/>
            <w:vAlign w:val="center"/>
          </w:tcPr>
          <w:p>
            <w:pPr>
              <w:widowControl/>
              <w:snapToGrid w:val="0"/>
              <w:spacing w:line="360" w:lineRule="exact"/>
              <w:jc w:val="center"/>
              <w:rPr>
                <w:kern w:val="0"/>
                <w:szCs w:val="21"/>
              </w:rPr>
            </w:pPr>
            <w:r>
              <w:rPr>
                <w:kern w:val="0"/>
                <w:szCs w:val="21"/>
              </w:rPr>
              <w:t>序号</w:t>
            </w:r>
          </w:p>
        </w:tc>
        <w:tc>
          <w:tcPr>
            <w:tcW w:w="4026" w:type="dxa"/>
            <w:vAlign w:val="center"/>
          </w:tcPr>
          <w:p>
            <w:pPr>
              <w:widowControl/>
              <w:snapToGrid w:val="0"/>
              <w:spacing w:line="360" w:lineRule="exact"/>
              <w:jc w:val="center"/>
              <w:rPr>
                <w:kern w:val="0"/>
                <w:szCs w:val="21"/>
              </w:rPr>
            </w:pPr>
            <w:r>
              <w:rPr>
                <w:kern w:val="0"/>
                <w:szCs w:val="21"/>
              </w:rPr>
              <w:t>设备名称</w:t>
            </w:r>
          </w:p>
        </w:tc>
        <w:tc>
          <w:tcPr>
            <w:tcW w:w="2139" w:type="dxa"/>
            <w:vAlign w:val="center"/>
          </w:tcPr>
          <w:p>
            <w:pPr>
              <w:widowControl/>
              <w:snapToGrid w:val="0"/>
              <w:spacing w:line="360" w:lineRule="exact"/>
              <w:jc w:val="center"/>
              <w:rPr>
                <w:kern w:val="0"/>
                <w:szCs w:val="21"/>
              </w:rPr>
            </w:pPr>
            <w:r>
              <w:rPr>
                <w:kern w:val="0"/>
                <w:szCs w:val="21"/>
              </w:rPr>
              <w:t>型号</w:t>
            </w:r>
          </w:p>
        </w:tc>
        <w:tc>
          <w:tcPr>
            <w:tcW w:w="1302" w:type="dxa"/>
            <w:vAlign w:val="center"/>
          </w:tcPr>
          <w:p>
            <w:pPr>
              <w:widowControl/>
              <w:snapToGrid w:val="0"/>
              <w:spacing w:line="360" w:lineRule="exact"/>
              <w:jc w:val="center"/>
              <w:rPr>
                <w:kern w:val="0"/>
                <w:szCs w:val="21"/>
              </w:rPr>
            </w:pPr>
            <w:r>
              <w:rPr>
                <w:kern w:val="0"/>
                <w:szCs w:val="21"/>
              </w:rPr>
              <w:t>单位</w:t>
            </w:r>
          </w:p>
        </w:tc>
        <w:tc>
          <w:tcPr>
            <w:tcW w:w="1039" w:type="dxa"/>
            <w:vAlign w:val="center"/>
          </w:tcPr>
          <w:p>
            <w:pPr>
              <w:widowControl/>
              <w:snapToGrid w:val="0"/>
              <w:spacing w:line="360" w:lineRule="exact"/>
              <w:jc w:val="center"/>
              <w:rPr>
                <w:kern w:val="0"/>
                <w:szCs w:val="21"/>
              </w:rPr>
            </w:pPr>
            <w:r>
              <w:rPr>
                <w:kern w:val="0"/>
                <w:szCs w:val="21"/>
              </w:rPr>
              <w:t>数量</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汽车式起重机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1000t</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汽车式起重机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260t</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3</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挖掘机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1m³</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4</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装载机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2m³</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5</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推土机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122kW</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6</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自卸汽车</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10t</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4</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7</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手扶式振动碾压机</w:t>
            </w:r>
          </w:p>
        </w:tc>
        <w:tc>
          <w:tcPr>
            <w:tcW w:w="2139" w:type="dxa"/>
            <w:vAlign w:val="center"/>
          </w:tcPr>
          <w:p>
            <w:pPr>
              <w:snapToGrid w:val="0"/>
              <w:spacing w:line="360" w:lineRule="exact"/>
              <w:jc w:val="center"/>
              <w:rPr>
                <w:szCs w:val="21"/>
              </w:rPr>
            </w:pP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8</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吊 罐</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6m³</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个</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9</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光轮压路机</w:t>
            </w:r>
          </w:p>
        </w:tc>
        <w:tc>
          <w:tcPr>
            <w:tcW w:w="2139" w:type="dxa"/>
            <w:vAlign w:val="center"/>
          </w:tcPr>
          <w:p>
            <w:pPr>
              <w:pStyle w:val="65"/>
              <w:tabs>
                <w:tab w:val="left" w:pos="702"/>
              </w:tabs>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25t</w:t>
            </w:r>
            <w:r>
              <w:rPr>
                <w:rFonts w:hint="eastAsia" w:ascii="Times New Roman" w:hAnsi="Times New Roman" w:cs="宋体"/>
                <w:sz w:val="21"/>
                <w:szCs w:val="21"/>
                <w:lang w:eastAsia="zh-CN"/>
              </w:rPr>
              <w:t>，</w:t>
            </w:r>
            <w:r>
              <w:rPr>
                <w:rFonts w:ascii="Times New Roman" w:hAnsi="Times New Roman" w:cs="宋体"/>
                <w:sz w:val="21"/>
                <w:szCs w:val="21"/>
              </w:rPr>
              <w:t>YZ25</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10</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混凝土搅拌站</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75m³/h</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座</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11</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插入式振捣器</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1.1～1.5kW</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9</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12</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混凝土搅拌运输车</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8m³</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10</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12</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空压机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9m³/min</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14</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水车</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8m³</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15</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移动式柴油发电机</w:t>
            </w:r>
          </w:p>
        </w:tc>
        <w:tc>
          <w:tcPr>
            <w:tcW w:w="21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75kW</w:t>
            </w: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r>
        <w:trPr>
          <w:trHeight w:val="354" w:hRule="exact"/>
          <w:jc w:val="center"/>
        </w:trPr>
        <w:tc>
          <w:tcPr>
            <w:tcW w:w="83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16</w:t>
            </w:r>
          </w:p>
        </w:tc>
        <w:tc>
          <w:tcPr>
            <w:tcW w:w="4026"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平板拖车</w:t>
            </w:r>
          </w:p>
        </w:tc>
        <w:tc>
          <w:tcPr>
            <w:tcW w:w="2139" w:type="dxa"/>
            <w:vAlign w:val="center"/>
          </w:tcPr>
          <w:p>
            <w:pPr>
              <w:snapToGrid w:val="0"/>
              <w:spacing w:line="360" w:lineRule="exact"/>
              <w:jc w:val="center"/>
              <w:rPr>
                <w:szCs w:val="21"/>
              </w:rPr>
            </w:pPr>
          </w:p>
        </w:tc>
        <w:tc>
          <w:tcPr>
            <w:tcW w:w="1302" w:type="dxa"/>
            <w:vAlign w:val="center"/>
          </w:tcPr>
          <w:p>
            <w:pPr>
              <w:pStyle w:val="65"/>
              <w:snapToGrid w:val="0"/>
              <w:spacing w:line="360" w:lineRule="exact"/>
              <w:ind w:left="99"/>
              <w:jc w:val="center"/>
              <w:rPr>
                <w:rFonts w:ascii="Times New Roman" w:hAnsi="Times New Roman" w:cs="宋体"/>
                <w:sz w:val="21"/>
                <w:szCs w:val="21"/>
              </w:rPr>
            </w:pPr>
            <w:r>
              <w:rPr>
                <w:rFonts w:ascii="Times New Roman" w:hAnsi="Times New Roman" w:cs="宋体"/>
                <w:sz w:val="21"/>
                <w:szCs w:val="21"/>
              </w:rPr>
              <w:t>台</w:t>
            </w:r>
          </w:p>
        </w:tc>
        <w:tc>
          <w:tcPr>
            <w:tcW w:w="1039" w:type="dxa"/>
            <w:vAlign w:val="center"/>
          </w:tcPr>
          <w:p>
            <w:pPr>
              <w:pStyle w:val="65"/>
              <w:snapToGrid w:val="0"/>
              <w:spacing w:line="360" w:lineRule="exact"/>
              <w:ind w:left="102"/>
              <w:jc w:val="center"/>
              <w:rPr>
                <w:rFonts w:ascii="Times New Roman" w:hAnsi="Times New Roman" w:cs="宋体"/>
                <w:sz w:val="21"/>
                <w:szCs w:val="21"/>
              </w:rPr>
            </w:pPr>
            <w:r>
              <w:rPr>
                <w:rFonts w:ascii="Times New Roman" w:hAnsi="Times New Roman" w:cs="宋体"/>
                <w:sz w:val="21"/>
                <w:szCs w:val="21"/>
              </w:rPr>
              <w:t>2</w:t>
            </w:r>
          </w:p>
        </w:tc>
      </w:tr>
    </w:tbl>
    <w:p>
      <w:pPr>
        <w:wordWrap w:val="0"/>
        <w:adjustRightInd w:val="0"/>
        <w:snapToGrid w:val="0"/>
        <w:spacing w:line="440" w:lineRule="exact"/>
        <w:ind w:firstLine="482" w:firstLineChars="200"/>
        <w:rPr>
          <w:b/>
          <w:kern w:val="0"/>
          <w:sz w:val="24"/>
        </w:rPr>
      </w:pPr>
      <w:bookmarkStart w:id="152" w:name="_Toc396141993"/>
      <w:bookmarkStart w:id="153" w:name="_Toc396142808"/>
      <w:bookmarkStart w:id="154" w:name="_Toc401731101"/>
      <w:bookmarkStart w:id="155" w:name="_Toc406057623"/>
      <w:bookmarkStart w:id="156" w:name="_Toc406057731"/>
      <w:bookmarkStart w:id="157" w:name="_Toc406057928"/>
      <w:bookmarkStart w:id="158" w:name="_Toc409679603"/>
      <w:bookmarkStart w:id="159" w:name="_Toc409679730"/>
      <w:bookmarkStart w:id="160" w:name="_Toc436993077"/>
      <w:bookmarkStart w:id="161" w:name="_Toc479326671"/>
      <w:r>
        <w:rPr>
          <w:rFonts w:hint="eastAsia"/>
          <w:b/>
          <w:kern w:val="0"/>
          <w:sz w:val="24"/>
        </w:rPr>
        <w:t>2) 施工流程</w:t>
      </w:r>
    </w:p>
    <w:p>
      <w:pPr>
        <w:wordWrap w:val="0"/>
        <w:adjustRightInd w:val="0"/>
        <w:snapToGrid w:val="0"/>
        <w:spacing w:line="440" w:lineRule="exact"/>
        <w:ind w:firstLine="482" w:firstLineChars="200"/>
        <w:rPr>
          <w:b/>
          <w:kern w:val="0"/>
          <w:sz w:val="24"/>
        </w:rPr>
      </w:pPr>
      <w:r>
        <w:rPr>
          <w:rFonts w:hint="eastAsia"/>
          <w:b/>
          <w:kern w:val="0"/>
          <w:sz w:val="24"/>
        </w:rPr>
        <w:t>（1）风电机组基础</w:t>
      </w:r>
      <w:bookmarkEnd w:id="152"/>
      <w:bookmarkEnd w:id="153"/>
      <w:bookmarkEnd w:id="154"/>
      <w:bookmarkEnd w:id="155"/>
      <w:bookmarkEnd w:id="156"/>
      <w:bookmarkEnd w:id="157"/>
      <w:bookmarkEnd w:id="158"/>
      <w:bookmarkEnd w:id="159"/>
      <w:bookmarkEnd w:id="160"/>
      <w:bookmarkEnd w:id="161"/>
      <w:r>
        <w:rPr>
          <w:rFonts w:hint="eastAsia"/>
          <w:b/>
          <w:kern w:val="0"/>
          <w:sz w:val="24"/>
        </w:rPr>
        <w:t>建设工程</w:t>
      </w:r>
    </w:p>
    <w:p>
      <w:pPr>
        <w:wordWrap w:val="0"/>
        <w:adjustRightInd w:val="0"/>
        <w:snapToGrid w:val="0"/>
        <w:spacing w:line="420" w:lineRule="exact"/>
        <w:ind w:firstLine="480" w:firstLineChars="200"/>
        <w:rPr>
          <w:b/>
          <w:bCs/>
          <w:kern w:val="0"/>
          <w:sz w:val="24"/>
        </w:rPr>
      </w:pPr>
      <w:r>
        <w:rPr>
          <w:kern w:val="0"/>
          <w:sz w:val="24"/>
        </w:rPr>
        <w:t>基础土石方开挖边坡按1:1控制，采用推土机或反铲剥离集料，一次开挖到位，为减少土料高含水量对施工造成的影响，尽量避免基底土方扰动，场区底部留30cm保护层，采用人工开挖；对于岩石基础开挖，应根据岩石特性，现场协调开挖方式，需要爆破要控制好爆破面，同时要做好拦截滚落石方工作。开挖的土方运往施工临时堆渣区堆放，用于土方回填。</w:t>
      </w:r>
    </w:p>
    <w:p>
      <w:pPr>
        <w:wordWrap w:val="0"/>
        <w:adjustRightInd w:val="0"/>
        <w:snapToGrid w:val="0"/>
        <w:spacing w:line="420" w:lineRule="exact"/>
        <w:ind w:firstLine="480" w:firstLineChars="200"/>
        <w:rPr>
          <w:kern w:val="0"/>
          <w:sz w:val="24"/>
        </w:rPr>
      </w:pPr>
      <w:r>
        <w:rPr>
          <w:kern w:val="0"/>
          <w:sz w:val="24"/>
        </w:rPr>
        <w:t>风电机组承台混凝土采用薄层连续浇筑形式，层厚200mm～250mm。混凝土熟料采用搅拌车运至浇筑点，泵送混凝土入仓，人工振捣浇筑。</w:t>
      </w:r>
    </w:p>
    <w:p>
      <w:pPr>
        <w:wordWrap w:val="0"/>
        <w:adjustRightInd w:val="0"/>
        <w:snapToGrid w:val="0"/>
        <w:spacing w:line="440" w:lineRule="exact"/>
        <w:ind w:firstLine="480" w:firstLineChars="200"/>
        <w:rPr>
          <w:kern w:val="0"/>
          <w:sz w:val="24"/>
        </w:rPr>
      </w:pPr>
      <w:r>
        <w:rPr>
          <w:kern w:val="0"/>
          <w:sz w:val="24"/>
        </w:rPr>
        <w:t>风电机组承台混凝土施工工艺流程如下：</w:t>
      </w: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ind w:firstLine="480" w:firstLineChars="200"/>
        <w:rPr>
          <w:kern w:val="0"/>
          <w:sz w:val="24"/>
        </w:rPr>
      </w:pPr>
    </w:p>
    <w:p>
      <w:pPr>
        <w:wordWrap w:val="0"/>
        <w:adjustRightInd w:val="0"/>
        <w:snapToGrid w:val="0"/>
        <w:spacing w:line="440" w:lineRule="exact"/>
        <w:rPr>
          <w:kern w:val="0"/>
          <w:sz w:val="24"/>
        </w:rPr>
      </w:pPr>
    </w:p>
    <w:p>
      <w:pPr>
        <w:wordWrap w:val="0"/>
        <w:adjustRightInd w:val="0"/>
        <w:snapToGrid w:val="0"/>
        <w:spacing w:line="440" w:lineRule="exact"/>
        <w:ind w:firstLine="480" w:firstLineChars="200"/>
        <w:rPr>
          <w:kern w:val="0"/>
          <w:sz w:val="24"/>
        </w:rPr>
      </w:pPr>
      <w:r>
        <w:rPr>
          <w:rFonts w:ascii="Times New Roman" w:hAnsi="Times New Roman" w:eastAsia="宋体" w:cs="Times New Roman"/>
          <w:kern w:val="0"/>
          <w:sz w:val="24"/>
          <w:szCs w:val="24"/>
          <w:lang w:val="en-US" w:eastAsia="zh-CN" w:bidi="ar-SA"/>
        </w:rPr>
        <w:pict>
          <v:group id="组合 1083" o:spid="_x0000_s1084" style="height:141.25pt;width:485pt;rotation:0f;" coordorigin="0,0" coordsize="9700,2825">
            <o:lock v:ext="edit" position="f" selection="f" grouping="f" rotation="f" cropping="f" text="f" aspectratio="f"/>
            <v:rect id="矩形 1084" o:spid="_x0000_s1085" style="position:absolute;left:0;top:0;height:2825;width:9700;rotation:0f;" o:ole="f" fillcolor="#FFFFFF" filled="f" o:preferrelative="t" stroked="f" coordsize="21600,21600">
              <v:fill on="f" color2="#FFFFFF" focus="0%"/>
              <v:imagedata gain="65536f" blacklevel="0f" gamma="0"/>
              <o:lock v:ext="edit" position="f" selection="f" grouping="f" rotation="f" cropping="f" text="f" aspectratio="f"/>
            </v:rect>
            <v:rect id="矩形 1085" o:spid="_x0000_s1086" style="position:absolute;left:0;top:274;height:466;width:4590;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rPr>
                        <w:szCs w:val="21"/>
                      </w:rPr>
                    </w:pPr>
                    <w:r>
                      <w:rPr>
                        <w:color w:val="000000"/>
                        <w:kern w:val="0"/>
                        <w:szCs w:val="21"/>
                      </w:rPr>
                      <w:t>浇筑仓面准备(立模、绑钢筋、基础环安装)</w:t>
                    </w:r>
                  </w:p>
                </w:txbxContent>
              </v:textbox>
            </v:rect>
            <v:rect id="矩形 1086" o:spid="_x0000_s1087" style="position:absolute;left:4987;top:274;height:466;width:211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rPr>
                        <w:szCs w:val="21"/>
                      </w:rPr>
                    </w:pPr>
                    <w:r>
                      <w:rPr>
                        <w:color w:val="000000"/>
                        <w:kern w:val="0"/>
                        <w:szCs w:val="21"/>
                      </w:rPr>
                      <w:t>质检及仓面验收</w:t>
                    </w:r>
                  </w:p>
                </w:txbxContent>
              </v:textbox>
            </v:rect>
            <v:rect id="矩形 1087" o:spid="_x0000_s1088" style="position:absolute;left:7405;top:274;height:466;width:1561;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rPr>
                        <w:szCs w:val="21"/>
                      </w:rPr>
                    </w:pPr>
                    <w:r>
                      <w:rPr>
                        <w:rFonts w:hint="eastAsia"/>
                        <w:color w:val="000000"/>
                        <w:kern w:val="0"/>
                        <w:szCs w:val="21"/>
                      </w:rPr>
                      <w:t>混凝土配料</w:t>
                    </w:r>
                  </w:p>
                </w:txbxContent>
              </v:textbox>
            </v:rect>
            <v:rect id="矩形 1088" o:spid="_x0000_s1089" style="position:absolute;left:7405;top:1110;height:466;width:1561;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rPr>
                        <w:szCs w:val="21"/>
                      </w:rPr>
                    </w:pPr>
                    <w:r>
                      <w:rPr>
                        <w:rFonts w:hint="eastAsia"/>
                        <w:color w:val="000000"/>
                        <w:kern w:val="0"/>
                        <w:szCs w:val="21"/>
                      </w:rPr>
                      <w:t>混凝土搅拌</w:t>
                    </w:r>
                  </w:p>
                </w:txbxContent>
              </v:textbox>
            </v:rect>
            <v:rect id="矩形 1089" o:spid="_x0000_s1090" style="position:absolute;left:5335;top:1110;height:466;width:1662;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rPr>
                        <w:szCs w:val="21"/>
                      </w:rPr>
                    </w:pPr>
                    <w:r>
                      <w:rPr>
                        <w:color w:val="000000"/>
                        <w:kern w:val="0"/>
                        <w:szCs w:val="21"/>
                      </w:rPr>
                      <w:t>搅拌车运输</w:t>
                    </w:r>
                  </w:p>
                </w:txbxContent>
              </v:textbox>
            </v:rect>
            <v:rect id="矩形 1090" o:spid="_x0000_s1091" style="position:absolute;left:2355;top:1110;height:466;width:232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rPr>
                        <w:szCs w:val="21"/>
                      </w:rPr>
                    </w:pPr>
                    <w:r>
                      <w:rPr>
                        <w:color w:val="000000"/>
                        <w:kern w:val="0"/>
                        <w:szCs w:val="21"/>
                      </w:rPr>
                      <w:t>泵送混凝土入仓</w:t>
                    </w:r>
                  </w:p>
                </w:txbxContent>
              </v:textbox>
            </v:rect>
            <v:rect id="矩形 1091" o:spid="_x0000_s1092" style="position:absolute;left:217;top:1110;height:466;width:166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rPr>
                        <w:szCs w:val="21"/>
                      </w:rPr>
                    </w:pPr>
                    <w:r>
                      <w:rPr>
                        <w:color w:val="000000"/>
                        <w:kern w:val="0"/>
                        <w:szCs w:val="21"/>
                      </w:rPr>
                      <w:t>平仓振捣</w:t>
                    </w:r>
                  </w:p>
                </w:txbxContent>
              </v:textbox>
            </v:rect>
            <v:rect id="矩形 1092" o:spid="_x0000_s1093" style="position:absolute;left:217;top:1995;height:466;width:166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rPr>
                        <w:szCs w:val="21"/>
                      </w:rPr>
                    </w:pPr>
                    <w:r>
                      <w:rPr>
                        <w:color w:val="000000"/>
                        <w:kern w:val="0"/>
                        <w:szCs w:val="21"/>
                      </w:rPr>
                      <w:t>洒水养护</w:t>
                    </w:r>
                  </w:p>
                </w:txbxContent>
              </v:textbox>
            </v:rect>
            <v:rect id="矩形 1093" o:spid="_x0000_s1094" style="position:absolute;left:2355;top:1995;height:466;width:166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rPr>
                        <w:szCs w:val="21"/>
                      </w:rPr>
                    </w:pPr>
                    <w:r>
                      <w:rPr>
                        <w:color w:val="000000"/>
                        <w:kern w:val="0"/>
                        <w:szCs w:val="21"/>
                      </w:rPr>
                      <w:t>质量检查</w:t>
                    </w:r>
                  </w:p>
                </w:txbxContent>
              </v:textbox>
            </v:rect>
            <v:rect id="矩形 1094" o:spid="_x0000_s1095" style="position:absolute;left:4485;top:1995;height:466;width:166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jc w:val="center"/>
                      <w:rPr>
                        <w:szCs w:val="21"/>
                      </w:rPr>
                    </w:pPr>
                    <w:r>
                      <w:rPr>
                        <w:color w:val="000000"/>
                        <w:kern w:val="0"/>
                        <w:szCs w:val="21"/>
                      </w:rPr>
                      <w:t>修补缺陷</w:t>
                    </w:r>
                  </w:p>
                </w:txbxContent>
              </v:textbox>
            </v:rect>
            <v:shape id="直接连接符 1095" o:spid="_x0000_s1096" type="#_x0000_t32" style="position:absolute;left:4590;top:507;height:1;width:397;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096" o:spid="_x0000_s1097" type="#_x0000_t32" style="position:absolute;left:7102;top:507;height:1;width:303;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097" o:spid="_x0000_s1098" type="#_x0000_t32" style="position:absolute;left:8186;top:740;height:370;width:1;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098" o:spid="_x0000_s1099" type="#_x0000_t32" style="position:absolute;left:6997;top:1343;flip:x;height:1;width:408;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099" o:spid="_x0000_s1100" type="#_x0000_t32" style="position:absolute;left:4680;top:1343;flip:x;height:1;width:655;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00" o:spid="_x0000_s1101" type="#_x0000_t32" style="position:absolute;left:1882;top:1343;flip:x;height:1;width:473;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01" o:spid="_x0000_s1102" type="#_x0000_t32" style="position:absolute;left:1050;top:1576;height:419;width:1;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02" o:spid="_x0000_s1103" type="#_x0000_t32" style="position:absolute;left:1882;top:2228;height:1;width:473;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03" o:spid="_x0000_s1104" type="#_x0000_t32" style="position:absolute;left:4020;top:2228;height:1;width:465;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w10:wrap type="none"/>
            <w10:anchorlock/>
          </v:group>
        </w:pict>
      </w:r>
    </w:p>
    <w:p>
      <w:pPr>
        <w:adjustRightInd w:val="0"/>
        <w:snapToGrid w:val="0"/>
        <w:spacing w:line="440" w:lineRule="exact"/>
        <w:ind w:firstLine="480" w:firstLineChars="200"/>
        <w:jc w:val="center"/>
        <w:rPr>
          <w:kern w:val="0"/>
          <w:sz w:val="24"/>
        </w:rPr>
      </w:pPr>
      <w:r>
        <w:rPr>
          <w:rFonts w:hint="eastAsia"/>
          <w:kern w:val="0"/>
          <w:sz w:val="24"/>
        </w:rPr>
        <w:t>图5  风电机组基础混凝土施工工艺流程图</w:t>
      </w:r>
    </w:p>
    <w:p>
      <w:pPr>
        <w:wordWrap w:val="0"/>
        <w:adjustRightInd w:val="0"/>
        <w:snapToGrid w:val="0"/>
        <w:spacing w:line="420" w:lineRule="exact"/>
        <w:ind w:firstLine="480" w:firstLineChars="200"/>
        <w:rPr>
          <w:kern w:val="0"/>
          <w:sz w:val="24"/>
        </w:rPr>
      </w:pPr>
      <w:r>
        <w:rPr>
          <w:kern w:val="0"/>
          <w:sz w:val="24"/>
        </w:rPr>
        <w:t>箱变基础混凝土由混凝土拌和站供料，用6m</w:t>
      </w:r>
      <w:r>
        <w:rPr>
          <w:kern w:val="0"/>
          <w:sz w:val="24"/>
          <w:vertAlign w:val="superscript"/>
        </w:rPr>
        <w:t>3</w:t>
      </w:r>
      <w:r>
        <w:rPr>
          <w:kern w:val="0"/>
          <w:sz w:val="24"/>
        </w:rPr>
        <w:t>自卸汽车运至浇筑点转卧罐，在箱变基础旁设一汽车吊进行垂直运输，在混凝土浇筑范围内，铺设平面脚手架仓面，直接将混凝土利用溜筒倒入仓面，人工平仓，振捣器振捣。</w:t>
      </w:r>
    </w:p>
    <w:p>
      <w:pPr>
        <w:wordWrap w:val="0"/>
        <w:adjustRightInd w:val="0"/>
        <w:snapToGrid w:val="0"/>
        <w:spacing w:line="420" w:lineRule="exact"/>
        <w:ind w:firstLine="480" w:firstLineChars="200"/>
        <w:rPr>
          <w:kern w:val="0"/>
          <w:sz w:val="24"/>
        </w:rPr>
      </w:pPr>
      <w:r>
        <w:rPr>
          <w:kern w:val="0"/>
          <w:sz w:val="24"/>
        </w:rPr>
        <w:t>风电机组安装平台施工主要为土方填筑及碾压，由于安装平台在风机吊装施工过程中需要承受1.18kg/cm</w:t>
      </w:r>
      <w:r>
        <w:rPr>
          <w:kern w:val="0"/>
          <w:sz w:val="24"/>
          <w:vertAlign w:val="superscript"/>
        </w:rPr>
        <w:t>2</w:t>
      </w:r>
      <w:r>
        <w:rPr>
          <w:kern w:val="0"/>
          <w:sz w:val="24"/>
        </w:rPr>
        <w:t>接地压力，填筑区土料要碾压密实。采用20t自卸汽车从风机附近土料场运送土料至填筑区，160kW推土机推平后，16t振动碾碾压，边角部位用1.0t手扶式振动碾碾压，斜坡采用10t牵引式斜坡振动碾碾压，再铺碎石。碾压的施工参数，由现场根据碾压试验后填土料的密实度确定。</w:t>
      </w:r>
    </w:p>
    <w:p>
      <w:pPr>
        <w:wordWrap w:val="0"/>
        <w:adjustRightInd w:val="0"/>
        <w:snapToGrid w:val="0"/>
        <w:spacing w:line="440" w:lineRule="exact"/>
        <w:ind w:firstLine="482" w:firstLineChars="200"/>
        <w:rPr>
          <w:b/>
          <w:kern w:val="0"/>
          <w:sz w:val="24"/>
        </w:rPr>
      </w:pPr>
      <w:r>
        <w:rPr>
          <w:rFonts w:hint="eastAsia"/>
          <w:b/>
          <w:kern w:val="0"/>
          <w:sz w:val="24"/>
        </w:rPr>
        <w:t>（2）</w:t>
      </w:r>
      <w:r>
        <w:rPr>
          <w:b/>
          <w:kern w:val="0"/>
          <w:sz w:val="24"/>
        </w:rPr>
        <w:t>风电机组安装</w:t>
      </w:r>
    </w:p>
    <w:p>
      <w:pPr>
        <w:wordWrap w:val="0"/>
        <w:adjustRightInd w:val="0"/>
        <w:snapToGrid w:val="0"/>
        <w:spacing w:line="420" w:lineRule="exact"/>
        <w:ind w:firstLine="480" w:firstLineChars="200"/>
        <w:rPr>
          <w:kern w:val="0"/>
          <w:sz w:val="24"/>
        </w:rPr>
      </w:pPr>
      <w:r>
        <w:rPr>
          <w:kern w:val="0"/>
          <w:sz w:val="24"/>
        </w:rPr>
        <w:t>由于施工吊装场地有限，同时考虑到吊装设备的吊装能力和设备吊装的安全性，风力发电机组的塔筒、机舱及叶片的安装应分先后顺序施工。先将塔筒运到每个机组吊装场内，分节吊装就位后，再将机舱及叶片运到吊装场内摆放到位，分步施工。所有风机设备随吊随运，避免二次倒运。</w:t>
      </w:r>
    </w:p>
    <w:p>
      <w:pPr>
        <w:wordWrap w:val="0"/>
        <w:adjustRightInd w:val="0"/>
        <w:snapToGrid w:val="0"/>
        <w:spacing w:line="420" w:lineRule="exact"/>
        <w:ind w:firstLine="480" w:firstLineChars="200"/>
        <w:rPr>
          <w:kern w:val="0"/>
          <w:sz w:val="24"/>
        </w:rPr>
      </w:pPr>
      <w:r>
        <w:rPr>
          <w:kern w:val="0"/>
          <w:sz w:val="24"/>
        </w:rPr>
        <w:t>本风电场共装有3台风电机组，最长件为风机叶片，长度约60m，安装起吊的最大高度约90m。采用一套起吊设备进行安装。主吊设备采用1000t汽车吊起重机(配超起装置)，副吊采用260t汽车起重机。</w:t>
      </w:r>
    </w:p>
    <w:p>
      <w:pPr>
        <w:wordWrap w:val="0"/>
        <w:adjustRightInd w:val="0"/>
        <w:snapToGrid w:val="0"/>
        <w:spacing w:line="440" w:lineRule="exact"/>
        <w:ind w:firstLine="482" w:firstLineChars="200"/>
        <w:rPr>
          <w:b/>
          <w:kern w:val="0"/>
          <w:sz w:val="24"/>
        </w:rPr>
      </w:pPr>
      <w:r>
        <w:rPr>
          <w:rFonts w:hint="eastAsia"/>
          <w:b/>
          <w:kern w:val="0"/>
          <w:sz w:val="24"/>
        </w:rPr>
        <w:t>①</w:t>
      </w:r>
      <w:r>
        <w:rPr>
          <w:b/>
          <w:kern w:val="0"/>
          <w:sz w:val="24"/>
        </w:rPr>
        <w:t>塔筒吊装</w:t>
      </w:r>
    </w:p>
    <w:p>
      <w:pPr>
        <w:wordWrap w:val="0"/>
        <w:adjustRightInd w:val="0"/>
        <w:snapToGrid w:val="0"/>
        <w:spacing w:line="420" w:lineRule="exact"/>
        <w:ind w:firstLine="480" w:firstLineChars="200"/>
        <w:rPr>
          <w:kern w:val="0"/>
          <w:sz w:val="24"/>
        </w:rPr>
      </w:pPr>
      <w:r>
        <w:rPr>
          <w:kern w:val="0"/>
          <w:sz w:val="24"/>
        </w:rPr>
        <w:t>塔筒每两段之间用法兰盘连接。塔筒分段运输到现场，在现场保存时应注意放置于硬木上，并防止其滚动，存放场地应尽可能平整无斜坡。必须在现场检查塔筒及其配件在运输中是否损坏，任何外表的损伤都应立即修补，必须清除所有污物。塔筒吊装前，必须在现场将筒内的所有电缆固定好后，方可进行吊装。</w:t>
      </w:r>
    </w:p>
    <w:p>
      <w:pPr>
        <w:wordWrap w:val="0"/>
        <w:adjustRightInd w:val="0"/>
        <w:snapToGrid w:val="0"/>
        <w:spacing w:line="420" w:lineRule="exact"/>
        <w:ind w:firstLine="480" w:firstLineChars="200"/>
        <w:rPr>
          <w:kern w:val="0"/>
          <w:sz w:val="24"/>
        </w:rPr>
      </w:pPr>
      <w:r>
        <w:rPr>
          <w:kern w:val="0"/>
          <w:sz w:val="24"/>
        </w:rPr>
        <w:t>在塔筒安装前再次检查基座的平整度，必须符合设计要求。另外，塔筒安装前，还应对气象条件和安装时间做出确切了解和安排，以确保在整个安装过程中，吊装风速不得超过6级风速(气象站标准)。</w:t>
      </w:r>
    </w:p>
    <w:p>
      <w:pPr>
        <w:wordWrap w:val="0"/>
        <w:adjustRightInd w:val="0"/>
        <w:snapToGrid w:val="0"/>
        <w:spacing w:line="420" w:lineRule="exact"/>
        <w:ind w:firstLine="482" w:firstLineChars="200"/>
        <w:rPr>
          <w:kern w:val="0"/>
          <w:sz w:val="24"/>
        </w:rPr>
      </w:pPr>
      <w:r>
        <w:rPr>
          <w:b/>
          <w:bCs/>
          <w:kern w:val="0"/>
          <w:sz w:val="24"/>
        </w:rPr>
        <w:t>现场塔筒吊装采用1000t汽车吊为主吊，配260t汽车吊为辅吊。</w:t>
      </w:r>
      <w:r>
        <w:rPr>
          <w:kern w:val="0"/>
          <w:sz w:val="24"/>
        </w:rPr>
        <w:t>塔筒要分段吊装，由下至上逐节安装，调整好后，按设备安装技术要求紧固连接螺栓。</w:t>
      </w:r>
    </w:p>
    <w:p>
      <w:pPr>
        <w:wordWrap w:val="0"/>
        <w:adjustRightInd w:val="0"/>
        <w:snapToGrid w:val="0"/>
        <w:spacing w:line="440" w:lineRule="exact"/>
        <w:ind w:firstLine="472" w:firstLineChars="196"/>
        <w:rPr>
          <w:kern w:val="0"/>
          <w:sz w:val="24"/>
        </w:rPr>
      </w:pPr>
      <w:r>
        <w:rPr>
          <w:rFonts w:hint="eastAsia"/>
          <w:b/>
          <w:kern w:val="0"/>
          <w:sz w:val="24"/>
        </w:rPr>
        <w:t>②</w:t>
      </w:r>
      <w:r>
        <w:rPr>
          <w:b/>
          <w:kern w:val="0"/>
          <w:sz w:val="24"/>
        </w:rPr>
        <w:t>机舱吊装</w:t>
      </w:r>
    </w:p>
    <w:p>
      <w:pPr>
        <w:wordWrap w:val="0"/>
        <w:adjustRightInd w:val="0"/>
        <w:snapToGrid w:val="0"/>
        <w:spacing w:line="420" w:lineRule="exact"/>
        <w:ind w:firstLine="480" w:firstLineChars="200"/>
        <w:rPr>
          <w:kern w:val="0"/>
          <w:sz w:val="24"/>
        </w:rPr>
      </w:pPr>
      <w:r>
        <w:rPr>
          <w:kern w:val="0"/>
          <w:sz w:val="24"/>
        </w:rPr>
        <w:t>风轮组装需要在吊装机舱前完成。在地面上将三个叶片与风轮轮毂连接好，并调好叶片安装角。吊装上机舱前，要将1000t汽车吊车停在旋转起吊允许半径范围内，按照厂家技术文件要求，将机舱的三个吊点用专用工具与吊车的吊钩固定好。并将人拉风绳在机舱两侧固定好后，保持机舱底部的偏航轴承下面处于水平位置，先将机舱吊离地面10～20cm，检查吊车的稳定性、制动器的可靠性和绑扎点的牢固性，待上述工作完成并检查无误后，方可起吊。</w:t>
      </w:r>
    </w:p>
    <w:p>
      <w:pPr>
        <w:wordWrap w:val="0"/>
        <w:adjustRightInd w:val="0"/>
        <w:snapToGrid w:val="0"/>
        <w:spacing w:line="420" w:lineRule="exact"/>
        <w:ind w:firstLine="480" w:firstLineChars="200"/>
        <w:rPr>
          <w:kern w:val="0"/>
          <w:sz w:val="24"/>
        </w:rPr>
      </w:pPr>
      <w:r>
        <w:rPr>
          <w:kern w:val="0"/>
          <w:sz w:val="24"/>
        </w:rPr>
        <w:t>提升过程中，应保持机舱水平，如果产生较大的倾斜，应将机舱重新放下，矫正后再起吊。安装机舱时，需2名装配人员站在塔筒平台上，机舱用大吊车提升，并用绳索牵引，应绝对禁止机舱与吊车及塔筒发生碰撞。机舱慢慢落下时，可用螺栓与垫圈先将后面固定，然后将所有螺栓拧上。完成以上步骤后，继续缓慢落下机舱，但应使吊钩保持一定拉力。</w:t>
      </w:r>
    </w:p>
    <w:p>
      <w:pPr>
        <w:wordWrap w:val="0"/>
        <w:adjustRightInd w:val="0"/>
        <w:snapToGrid w:val="0"/>
        <w:spacing w:line="420" w:lineRule="exact"/>
        <w:ind w:firstLine="480" w:firstLineChars="200"/>
        <w:rPr>
          <w:kern w:val="0"/>
          <w:sz w:val="24"/>
        </w:rPr>
      </w:pPr>
      <w:r>
        <w:rPr>
          <w:kern w:val="0"/>
          <w:sz w:val="24"/>
        </w:rPr>
        <w:t>机舱应完全坐在塔筒法兰盘上，以保证制动垫圈位于塔筒法兰盘的中心。按设备安装技术要求，将连接螺栓拧紧，扭矩达到预定值。螺栓完全固定后，可将吊车和提升装置移走。</w:t>
      </w:r>
    </w:p>
    <w:p>
      <w:pPr>
        <w:wordWrap w:val="0"/>
        <w:adjustRightInd w:val="0"/>
        <w:snapToGrid w:val="0"/>
        <w:spacing w:line="420" w:lineRule="exact"/>
        <w:ind w:firstLine="482" w:firstLineChars="200"/>
        <w:rPr>
          <w:b/>
          <w:kern w:val="0"/>
          <w:sz w:val="24"/>
        </w:rPr>
      </w:pPr>
      <w:r>
        <w:rPr>
          <w:rFonts w:hint="eastAsia"/>
          <w:b/>
          <w:kern w:val="0"/>
          <w:sz w:val="24"/>
        </w:rPr>
        <w:t>③</w:t>
      </w:r>
      <w:r>
        <w:rPr>
          <w:b/>
          <w:kern w:val="0"/>
          <w:sz w:val="24"/>
        </w:rPr>
        <w:t>叶片吊装</w:t>
      </w:r>
    </w:p>
    <w:p>
      <w:pPr>
        <w:wordWrap w:val="0"/>
        <w:adjustRightInd w:val="0"/>
        <w:snapToGrid w:val="0"/>
        <w:spacing w:line="420" w:lineRule="exact"/>
        <w:ind w:firstLine="480" w:firstLineChars="200"/>
        <w:rPr>
          <w:kern w:val="0"/>
          <w:sz w:val="24"/>
        </w:rPr>
      </w:pPr>
      <w:r>
        <w:rPr>
          <w:kern w:val="0"/>
          <w:sz w:val="24"/>
        </w:rPr>
        <w:t>风机叶片由加长的平板拖车运输到安装现场。为了防止叶片与地面的接触，应使用运输支架将其固定。在运输时，每个叶片的排列之间必须保证相隔足够的距离，特别是叶尖与车板面之间至少距离40cm。</w:t>
      </w:r>
    </w:p>
    <w:p>
      <w:pPr>
        <w:wordWrap w:val="0"/>
        <w:adjustRightInd w:val="0"/>
        <w:snapToGrid w:val="0"/>
        <w:spacing w:line="420" w:lineRule="exact"/>
        <w:ind w:firstLine="480" w:firstLineChars="200"/>
        <w:rPr>
          <w:kern w:val="0"/>
          <w:sz w:val="24"/>
        </w:rPr>
      </w:pPr>
      <w:r>
        <w:rPr>
          <w:kern w:val="0"/>
          <w:sz w:val="24"/>
        </w:rPr>
        <w:t>风速是影响风电机组安装的主要因素，当风速超10m/s(气象站标准)时不允许安装叶轮。现场施工管理人员应进行风速测定，并保证安全风速条件下进行风电机组安装。</w:t>
      </w:r>
    </w:p>
    <w:p>
      <w:pPr>
        <w:wordWrap w:val="0"/>
        <w:adjustRightInd w:val="0"/>
        <w:snapToGrid w:val="0"/>
        <w:spacing w:line="420" w:lineRule="exact"/>
        <w:ind w:firstLine="480" w:firstLineChars="200"/>
        <w:rPr>
          <w:kern w:val="0"/>
          <w:sz w:val="24"/>
        </w:rPr>
      </w:pPr>
      <w:r>
        <w:rPr>
          <w:kern w:val="0"/>
          <w:sz w:val="24"/>
        </w:rPr>
        <w:t>叶轮组装前，必须对叶片进行全面的检查，以查明其在运输过程中有否损坏，还应对叶片法兰和轮毂法兰进行清理。禁止不经全面检查的叶片，直接组装叶轮。叶轮在地面组装，用两小吊车配合吊装，将叶片的法兰一一对正于轮毂相应的法兰处，校对法兰安装中心，按设备安装技术要求紧固连接螺栓。叶轮整体吊装时，综合考虑吊车宽度、现场风速、安全，</w:t>
      </w:r>
      <w:r>
        <w:rPr>
          <w:b/>
          <w:bCs/>
          <w:kern w:val="0"/>
          <w:sz w:val="24"/>
        </w:rPr>
        <w:t>采用1000t汽车吊为主吊，配260t汽车吊为辅吊。</w:t>
      </w:r>
      <w:r>
        <w:rPr>
          <w:kern w:val="0"/>
          <w:sz w:val="24"/>
        </w:rPr>
        <w:t>为了避免叶片在提升过程中摆动，用圆环绳索分别套在三片叶片上，每片叶片用3～6名装配人员在地面上拉住。在提升过程中，禁止叶片与吊车、塔筒、机舱发生碰撞，应确保绳索不相互缠绕。通过两台吊车的共同作用，慢慢将转子叶片竖立。随后，与吊装塔筒相似方法将带叶轮起吊并安装到机舱的法兰上，按设备安装技术要求紧固连接螺栓。安装结束后，可将叶轮的吊装附件拆掉、吊车移走，并清理安装现场。</w:t>
      </w:r>
    </w:p>
    <w:p>
      <w:pPr>
        <w:wordWrap w:val="0"/>
        <w:adjustRightInd w:val="0"/>
        <w:snapToGrid w:val="0"/>
        <w:spacing w:line="420" w:lineRule="exact"/>
        <w:ind w:firstLine="482" w:firstLineChars="200"/>
        <w:rPr>
          <w:b/>
          <w:kern w:val="0"/>
          <w:sz w:val="24"/>
        </w:rPr>
      </w:pPr>
      <w:r>
        <w:rPr>
          <w:rFonts w:hint="eastAsia"/>
          <w:b/>
          <w:kern w:val="0"/>
          <w:sz w:val="24"/>
        </w:rPr>
        <w:t>④</w:t>
      </w:r>
      <w:r>
        <w:rPr>
          <w:b/>
          <w:kern w:val="0"/>
          <w:sz w:val="24"/>
        </w:rPr>
        <w:t>风力发电机组电气安装</w:t>
      </w:r>
    </w:p>
    <w:p>
      <w:pPr>
        <w:wordWrap w:val="0"/>
        <w:adjustRightInd w:val="0"/>
        <w:snapToGrid w:val="0"/>
        <w:spacing w:line="420" w:lineRule="exact"/>
        <w:ind w:firstLine="480" w:firstLineChars="200"/>
        <w:rPr>
          <w:kern w:val="0"/>
          <w:sz w:val="24"/>
        </w:rPr>
      </w:pPr>
      <w:r>
        <w:rPr>
          <w:kern w:val="0"/>
          <w:sz w:val="24"/>
        </w:rPr>
        <w:t>电缆安装：所有电缆按设计要求和相关规范分段施工。直埋敷设部分将电力电缆及光缆等直接埋入，人工回填。电缆沟施工及敷设时要求认真清理平电缆沟底；直埋电缆施工要求敷设电缆后先用砂回填，将电缆盖住，铺设混凝土板后再回填碎石土，人工夯实。所有电缆分段分项施工完成后，要按设计要求和相关规范进行施工验收。</w:t>
      </w:r>
    </w:p>
    <w:p>
      <w:pPr>
        <w:wordWrap w:val="0"/>
        <w:adjustRightInd w:val="0"/>
        <w:snapToGrid w:val="0"/>
        <w:spacing w:line="420" w:lineRule="exact"/>
        <w:ind w:firstLine="482" w:firstLineChars="200"/>
        <w:rPr>
          <w:b/>
          <w:kern w:val="0"/>
          <w:sz w:val="24"/>
        </w:rPr>
      </w:pPr>
      <w:r>
        <w:rPr>
          <w:rFonts w:hint="eastAsia"/>
          <w:b/>
          <w:kern w:val="0"/>
          <w:sz w:val="24"/>
        </w:rPr>
        <w:t>（3）施工道路</w:t>
      </w:r>
    </w:p>
    <w:p>
      <w:pPr>
        <w:wordWrap w:val="0"/>
        <w:adjustRightInd w:val="0"/>
        <w:snapToGrid w:val="0"/>
        <w:spacing w:line="420" w:lineRule="exact"/>
        <w:ind w:firstLine="480" w:firstLineChars="200"/>
        <w:rPr>
          <w:kern w:val="0"/>
          <w:sz w:val="24"/>
        </w:rPr>
      </w:pPr>
      <w:r>
        <w:rPr>
          <w:kern w:val="0"/>
          <w:sz w:val="24"/>
        </w:rPr>
        <w:t>本工程道路土方采用挖掘机开挖，石方采用手风钻钻孔爆破，推土机集料，装载机配5t自卸汽车运至道路填方部位或改造道路加宽段，并根据现场开挖后的地质条件，在需要路段砌筑挡墙。对于路段的土石方填筑采用5t自卸汽车卸料，推土机推平，按设计要求采用振动、分层碾压至设计密实度。</w:t>
      </w:r>
    </w:p>
    <w:p>
      <w:pPr>
        <w:wordWrap w:val="0"/>
        <w:adjustRightInd w:val="0"/>
        <w:snapToGrid w:val="0"/>
        <w:spacing w:line="420" w:lineRule="exact"/>
        <w:ind w:firstLine="480" w:firstLineChars="200"/>
        <w:rPr>
          <w:kern w:val="0"/>
          <w:sz w:val="24"/>
        </w:rPr>
      </w:pPr>
      <w:r>
        <w:rPr>
          <w:rFonts w:hint="eastAsia"/>
          <w:kern w:val="0"/>
          <w:sz w:val="24"/>
        </w:rPr>
        <w:t>道路路基宽5.5m，路面宽4.5m，采用3cm磨耗层+20cm泥结碎石路面；道路平曲线最小半径30m，对应的路基加宽值为4.0m；道路设计纵坡不超过15%。本风电场利用既有道路（长4.0km，宽2.0m的土路面）进行扩建，扩建道路长度为4.00km。</w:t>
      </w:r>
    </w:p>
    <w:p>
      <w:pPr>
        <w:wordWrap w:val="0"/>
        <w:adjustRightInd w:val="0"/>
        <w:snapToGrid w:val="0"/>
        <w:spacing w:line="420" w:lineRule="exact"/>
        <w:ind w:firstLine="482" w:firstLineChars="200"/>
        <w:rPr>
          <w:b/>
          <w:kern w:val="0"/>
          <w:sz w:val="24"/>
        </w:rPr>
      </w:pPr>
      <w:r>
        <w:rPr>
          <w:rFonts w:hint="eastAsia"/>
          <w:b/>
          <w:kern w:val="0"/>
          <w:sz w:val="24"/>
        </w:rPr>
        <w:t>（4）集电线路</w:t>
      </w:r>
    </w:p>
    <w:p>
      <w:pPr>
        <w:wordWrap w:val="0"/>
        <w:adjustRightInd w:val="0"/>
        <w:snapToGrid w:val="0"/>
        <w:spacing w:line="420" w:lineRule="exact"/>
        <w:ind w:firstLine="480" w:firstLineChars="200"/>
        <w:rPr>
          <w:kern w:val="0"/>
          <w:sz w:val="24"/>
        </w:rPr>
      </w:pPr>
      <w:r>
        <w:rPr>
          <w:rFonts w:hint="eastAsia"/>
          <w:kern w:val="0"/>
          <w:sz w:val="24"/>
        </w:rPr>
        <w:t>35kV输电线路你采用杆塔架空布置，架设时将开挖线塔基础并回填，同时完成线杆塔的安装组合，安装完毕后进行输电线的架设工作，首先将输电线沿输电线路走向布设于相邻的翔安他之间，然后实现电线上塔，并按照输电架设的有关规范对电线进行张紧、固定，完成整个输点线路的假设工作。</w:t>
      </w:r>
    </w:p>
    <w:p>
      <w:pPr>
        <w:wordWrap w:val="0"/>
        <w:adjustRightInd w:val="0"/>
        <w:snapToGrid w:val="0"/>
        <w:spacing w:line="420" w:lineRule="exact"/>
        <w:ind w:firstLine="480" w:firstLineChars="200"/>
        <w:rPr>
          <w:kern w:val="0"/>
          <w:sz w:val="24"/>
        </w:rPr>
      </w:pPr>
      <w:r>
        <w:rPr>
          <w:kern w:val="0"/>
          <w:sz w:val="24"/>
        </w:rPr>
        <w:t>每台风机配置一台箱式变压器（距风机15米）</w:t>
      </w:r>
      <w:r>
        <w:rPr>
          <w:rFonts w:hint="eastAsia"/>
          <w:kern w:val="0"/>
          <w:sz w:val="24"/>
        </w:rPr>
        <w:t>。</w:t>
      </w:r>
      <w:r>
        <w:rPr>
          <w:kern w:val="0"/>
          <w:sz w:val="24"/>
        </w:rPr>
        <w:t>每台风力发电机出口通过1kV低压电缆接至容量为2200kVA的箱式变压器。风机端电压为0.69kV，通过箱变升压至35kV，并接入35kV线路。箱变高压侧采用防风型跌落开关，集电线路全程采用铁塔</w:t>
      </w:r>
      <w:r>
        <w:rPr>
          <w:rFonts w:hint="eastAsia"/>
          <w:kern w:val="0"/>
          <w:sz w:val="24"/>
        </w:rPr>
        <w:t>（设3座铁塔）</w:t>
      </w:r>
      <w:r>
        <w:rPr>
          <w:kern w:val="0"/>
          <w:sz w:val="24"/>
        </w:rPr>
        <w:t>，风机间集电线路采用架空线路方式，架空段线路全长约为6.0公里</w:t>
      </w:r>
      <w:r>
        <w:rPr>
          <w:rFonts w:hint="eastAsia"/>
          <w:kern w:val="0"/>
          <w:sz w:val="24"/>
        </w:rPr>
        <w:t>，</w:t>
      </w:r>
      <w:r>
        <w:rPr>
          <w:kern w:val="0"/>
          <w:sz w:val="24"/>
        </w:rPr>
        <w:t>均为单回路架设</w:t>
      </w:r>
      <w:r>
        <w:rPr>
          <w:rFonts w:hint="eastAsia"/>
          <w:kern w:val="0"/>
          <w:sz w:val="24"/>
        </w:rPr>
        <w:t>；风力发电机组与箱式变压器之间采用低压电缆地埋敷设。</w:t>
      </w:r>
    </w:p>
    <w:p>
      <w:pPr>
        <w:wordWrap w:val="0"/>
        <w:adjustRightInd w:val="0"/>
        <w:snapToGrid w:val="0"/>
        <w:spacing w:line="420" w:lineRule="exact"/>
        <w:ind w:firstLine="480" w:firstLineChars="200"/>
        <w:rPr>
          <w:bCs/>
          <w:kern w:val="0"/>
          <w:sz w:val="24"/>
        </w:rPr>
      </w:pPr>
      <w:r>
        <w:rPr>
          <w:rFonts w:hint="eastAsia"/>
          <w:kern w:val="0"/>
          <w:sz w:val="24"/>
        </w:rPr>
        <w:t>本</w:t>
      </w:r>
      <w:r>
        <w:rPr>
          <w:kern w:val="0"/>
          <w:sz w:val="24"/>
        </w:rPr>
        <w:t>工程风电场3台风电机组分为1个集电单元</w:t>
      </w:r>
      <w:r>
        <w:rPr>
          <w:rFonts w:hint="eastAsia"/>
          <w:kern w:val="0"/>
          <w:sz w:val="24"/>
        </w:rPr>
        <w:t>，经1回35kV架空集电线路送至</w:t>
      </w:r>
      <w:r>
        <w:rPr>
          <w:kern w:val="0"/>
          <w:sz w:val="24"/>
        </w:rPr>
        <w:t>店坪110kV</w:t>
      </w:r>
      <w:r>
        <w:rPr>
          <w:rFonts w:hint="eastAsia"/>
          <w:kern w:val="0"/>
          <w:sz w:val="24"/>
        </w:rPr>
        <w:t>输电线路的</w:t>
      </w:r>
      <w:r>
        <w:rPr>
          <w:kern w:val="0"/>
          <w:sz w:val="24"/>
        </w:rPr>
        <w:t>35kV</w:t>
      </w:r>
      <w:r>
        <w:rPr>
          <w:rFonts w:hint="eastAsia"/>
          <w:kern w:val="0"/>
          <w:sz w:val="24"/>
        </w:rPr>
        <w:t>低压</w:t>
      </w:r>
      <w:r>
        <w:rPr>
          <w:kern w:val="0"/>
          <w:sz w:val="24"/>
        </w:rPr>
        <w:t>侧母线。</w:t>
      </w:r>
    </w:p>
    <w:p>
      <w:pPr>
        <w:pStyle w:val="29"/>
        <w:wordWrap w:val="0"/>
        <w:adjustRightInd w:val="0"/>
        <w:snapToGrid w:val="0"/>
        <w:spacing w:before="0" w:beforeAutospacing="0" w:after="0" w:afterAutospacing="0" w:line="420" w:lineRule="exact"/>
        <w:jc w:val="both"/>
        <w:rPr>
          <w:rFonts w:ascii="Times New Roman" w:hAnsi="Times New Roman" w:cs="Times New Roman"/>
          <w:b/>
        </w:rPr>
      </w:pPr>
      <w:r>
        <w:rPr>
          <w:rFonts w:hint="eastAsia" w:ascii="Times New Roman" w:hAnsi="Times New Roman" w:cs="Times New Roman"/>
          <w:b/>
        </w:rPr>
        <w:t>2、运行期工程内容</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本风电场的运行过程如下：首先风力驱动风轮转动，风轮带动双馈异步发电机发电，</w:t>
      </w:r>
      <w:r>
        <w:rPr>
          <w:rFonts w:ascii="Times New Roman" w:hAnsi="Times New Roman" w:cs="Times New Roman"/>
        </w:rPr>
        <w:t>风机端电压为0.69kV</w:t>
      </w:r>
      <w:r>
        <w:rPr>
          <w:rFonts w:hint="eastAsia" w:ascii="Times New Roman" w:hAnsi="Times New Roman" w:cs="Times New Roman"/>
        </w:rPr>
        <w:t>，箱式变压器将发电机所产生的0.69kV机端电压升至35kV，然后采用35kV铜芯交联聚乙烯绝缘钢带聚氯乙烯护套电力电缆穿PVC管敷设接至35kV集电线路，35kV线路采用JL/G1A导线接入店坪110kV输变电站的低压侧母线。风力发电的工艺流程如图6所示。风机主要特征见表16。</w:t>
      </w:r>
    </w:p>
    <w:p>
      <w:pPr>
        <w:pStyle w:val="29"/>
        <w:wordWrap w:val="0"/>
        <w:adjustRightInd w:val="0"/>
        <w:snapToGrid w:val="0"/>
        <w:spacing w:before="0" w:beforeAutospacing="0" w:after="0" w:afterAutospacing="0" w:line="440" w:lineRule="exact"/>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0"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Lines="25" w:beforeAutospacing="0" w:after="0" w:afterAutospacing="0" w:line="440" w:lineRule="exact"/>
        <w:ind w:firstLine="480" w:firstLineChars="200"/>
        <w:jc w:val="both"/>
        <w:rPr>
          <w:rFonts w:ascii="Times New Roman" w:hAnsi="Times New Roman" w:cs="Times New Roman"/>
        </w:rPr>
      </w:pPr>
    </w:p>
    <w:p>
      <w:pPr>
        <w:pStyle w:val="29"/>
        <w:wordWrap w:val="0"/>
        <w:adjustRightInd w:val="0"/>
        <w:snapToGrid w:val="0"/>
        <w:spacing w:beforeLines="25" w:beforeAutospacing="0" w:after="0" w:afterAutospacing="0" w:line="440" w:lineRule="exact"/>
        <w:ind w:firstLine="480" w:firstLineChars="200"/>
        <w:jc w:val="both"/>
        <w:rPr>
          <w:rFonts w:ascii="Times New Roman" w:hAnsi="Times New Roman" w:cs="Times New Roman"/>
        </w:rPr>
      </w:pPr>
      <w:r>
        <w:rPr>
          <w:rFonts w:ascii="Times New Roman" w:hAnsi="Times New Roman" w:eastAsia="宋体" w:cs="Times New Roman"/>
          <w:kern w:val="0"/>
          <w:sz w:val="24"/>
          <w:szCs w:val="24"/>
          <w:lang w:val="en-US" w:eastAsia="zh-CN" w:bidi="ar-SA"/>
        </w:rPr>
        <w:pict>
          <v:group id="组合 1104" o:spid="_x0000_s1105" style="height:199.8pt;width:453.5pt;rotation:0f;" coordorigin="0,0" coordsize="9070,3996">
            <o:lock v:ext="edit" position="f" selection="f" grouping="f" rotation="f" cropping="f" text="f" aspectratio="f"/>
            <v:rect id="矩形 1105" o:spid="_x0000_s1106" style="position:absolute;left:0;top:0;height:3996;width:9070;rotation:0f;" o:ole="f" fillcolor="#FFFFFF" filled="f" o:preferrelative="t" stroked="f" coordsize="21600,21600">
              <v:fill on="f" color2="#FFFFFF" focus="0%"/>
              <v:imagedata gain="65536f" blacklevel="0f" gamma="0"/>
              <o:lock v:ext="edit" position="f" selection="f" grouping="f" rotation="f" cropping="f" text="f" aspectratio="f"/>
            </v:rect>
            <v:rect id="矩形 1106" o:spid="_x0000_s1107" style="position:absolute;left:472;top:1286;height:450;width:91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ind w:firstLine="105" w:firstLineChars="50"/>
                    </w:pPr>
                    <w:r>
                      <w:rPr>
                        <w:rFonts w:hint="eastAsia"/>
                      </w:rPr>
                      <w:t>风能</w:t>
                    </w:r>
                  </w:p>
                </w:txbxContent>
              </v:textbox>
            </v:rect>
            <v:rect id="矩形 1107" o:spid="_x0000_s1108" style="position:absolute;left:2077;top:1286;height:450;width:91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ind w:firstLine="105" w:firstLineChars="50"/>
                    </w:pPr>
                    <w:r>
                      <w:rPr>
                        <w:rFonts w:hint="eastAsia"/>
                      </w:rPr>
                      <w:t>风轮</w:t>
                    </w:r>
                  </w:p>
                </w:txbxContent>
              </v:textbox>
            </v:rect>
            <v:rect id="矩形 1108" o:spid="_x0000_s1109" style="position:absolute;left:3547;top:1286;height:450;width:1095;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r>
                      <w:rPr>
                        <w:rFonts w:hint="eastAsia"/>
                      </w:rPr>
                      <w:t>发动机机</w:t>
                    </w:r>
                  </w:p>
                </w:txbxContent>
              </v:textbox>
            </v:rect>
            <v:rect id="矩形 1109" o:spid="_x0000_s1110" style="position:absolute;left:5319;top:1286;height:450;width:1738;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ind w:firstLine="105" w:firstLineChars="50"/>
                    </w:pPr>
                    <w:r>
                      <w:rPr>
                        <w:rFonts w:hint="eastAsia"/>
                      </w:rPr>
                      <w:t>箱式变压器机</w:t>
                    </w:r>
                  </w:p>
                </w:txbxContent>
              </v:textbox>
            </v:rect>
            <v:rect id="矩形 1110" o:spid="_x0000_s1111" style="position:absolute;left:7717;top:1286;height:450;width:1353;rotation:0f;" o:ole="f" fillcolor="#FFFFFF" filled="t" o:preferrelative="t" stroked="t" coordsize="21600,21600">
              <v:stroke color="#000000" color2="#FFFFFF" opacity="100%" miterlimit="2"/>
              <v:imagedata gain="65536f" blacklevel="0f" gamma="0"/>
              <o:lock v:ext="edit" position="f" selection="f" grouping="f" rotation="f" cropping="f" text="f" aspectratio="f"/>
              <v:textbox>
                <w:txbxContent>
                  <w:p>
                    <w:pPr>
                      <w:ind w:firstLine="105" w:firstLineChars="50"/>
                    </w:pPr>
                    <w:r>
                      <w:rPr>
                        <w:rFonts w:hint="eastAsia"/>
                      </w:rPr>
                      <w:t>集电线路</w:t>
                    </w:r>
                  </w:p>
                </w:txbxContent>
              </v:textbox>
            </v:rect>
            <v:shape id="直接连接符 1111" o:spid="_x0000_s1112" type="#_x0000_t32" style="position:absolute;left:1387;top:1511;height:1;width:690;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12" o:spid="_x0000_s1113" type="#_x0000_t32" style="position:absolute;left:2992;top:1511;height:1;width:555;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13" o:spid="_x0000_s1114" type="#_x0000_t32" style="position:absolute;left:4642;top:1511;height:1;width:677;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shape id="直接连接符 1114" o:spid="_x0000_s1115" type="#_x0000_t32" style="position:absolute;left:7057;top:1511;height:1;width:660;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v:rect id="矩形 1115" o:spid="_x0000_s1116" style="position:absolute;left:2077;top:266;height:451;width:915;rotation:0f;" o:ole="f" fillcolor="#FFFFFF" filled="t" o:preferrelative="t" stroked="f" coordsize="21600,21600">
              <v:imagedata gain="65536f" blacklevel="0f" gamma="0"/>
              <o:lock v:ext="edit" position="f" selection="f" grouping="f" rotation="f" cropping="f" text="f" aspectratio="f"/>
              <v:textbox>
                <w:txbxContent>
                  <w:p>
                    <w:pPr>
                      <w:ind w:firstLine="105" w:firstLineChars="50"/>
                    </w:pPr>
                    <w:r>
                      <w:rPr>
                        <w:rFonts w:hint="eastAsia"/>
                      </w:rPr>
                      <w:t>噪声</w:t>
                    </w:r>
                  </w:p>
                </w:txbxContent>
              </v:textbox>
            </v:rect>
            <v:rect id="矩形 1116" o:spid="_x0000_s1117" style="position:absolute;left:3637;top:266;height:451;width:915;rotation:0f;" o:ole="f" fillcolor="#FFFFFF" filled="t" o:preferrelative="t" stroked="f" coordsize="21600,21600">
              <v:imagedata gain="65536f" blacklevel="0f" gamma="0"/>
              <o:lock v:ext="edit" position="f" selection="f" grouping="f" rotation="f" cropping="f" text="f" aspectratio="f"/>
              <v:textbox>
                <w:txbxContent>
                  <w:p>
                    <w:pPr>
                      <w:ind w:firstLine="105" w:firstLineChars="50"/>
                    </w:pPr>
                    <w:r>
                      <w:rPr>
                        <w:rFonts w:hint="eastAsia"/>
                      </w:rPr>
                      <w:t>噪声</w:t>
                    </w:r>
                  </w:p>
                </w:txbxContent>
              </v:textbox>
            </v:rect>
            <v:shape id="直接连接符 1117" o:spid="_x0000_s1118" type="#_x0000_t32" style="position:absolute;left:2535;top:717;flip:y;height:569;width:1;rotation:0f;" o:ole="f" fillcolor="#FFFFFF" filled="t" o:preferrelative="t" stroked="t" coordorigin="0,0" coordsize="21600,21600">
              <v:stroke color="#000000" color2="#FFFFFF" opacity="100%" joinstyle="round" dashstyle="dash" endarrow="block"/>
              <v:imagedata gain="65536f" blacklevel="0f" gamma="0"/>
              <o:lock v:ext="edit" position="f" selection="f" grouping="f" rotation="f" cropping="f" text="f" aspectratio="f"/>
            </v:shape>
            <v:shape id="直接连接符 1118" o:spid="_x0000_s1119" type="#_x0000_t32" style="position:absolute;left:4095;top:717;flip:y;height:569;width:1;rotation:0f;" o:ole="f" fillcolor="#FFFFFF" filled="t" o:preferrelative="t" stroked="t" coordorigin="0,0" coordsize="21600,21600">
              <v:stroke color="#000000" color2="#FFFFFF" opacity="100%" joinstyle="round" dashstyle="dash" endarrow="block"/>
              <v:imagedata gain="65536f" blacklevel="0f" gamma="0"/>
              <o:lock v:ext="edit" position="f" selection="f" grouping="f" rotation="f" cropping="f" text="f" aspectratio="f"/>
            </v:shape>
            <v:rect id="矩形 1119" o:spid="_x0000_s1120" style="position:absolute;left:5647;top:2205;height:451;width:1080;rotation:0f;" o:ole="f" fillcolor="#FFFFFF" filled="t" o:preferrelative="t" stroked="f" coordsize="21600,21600">
              <v:imagedata gain="65536f" blacklevel="0f" gamma="0"/>
              <o:lock v:ext="edit" position="f" selection="f" grouping="f" rotation="f" cropping="f" text="f" aspectratio="f"/>
              <v:textbox>
                <w:txbxContent>
                  <w:p>
                    <w:pPr>
                      <w:ind w:firstLine="105" w:firstLineChars="50"/>
                    </w:pPr>
                    <w:r>
                      <w:rPr>
                        <w:rFonts w:hint="eastAsia"/>
                      </w:rPr>
                      <w:t>废机油</w:t>
                    </w:r>
                  </w:p>
                </w:txbxContent>
              </v:textbox>
            </v:rect>
            <v:shape id="直接连接符 1120" o:spid="_x0000_s1121" type="#_x0000_t32" style="position:absolute;left:6187;top:1736;flip:x;height:469;width:1;rotation:0f;" o:ole="f" fillcolor="#FFFFFF" filled="t" o:preferrelative="t" stroked="t" coordorigin="0,0" coordsize="21600,21600">
              <v:stroke color="#000000" color2="#FFFFFF" opacity="100%" joinstyle="round" dashstyle="dash" endarrow="block"/>
              <v:imagedata gain="65536f" blacklevel="0f" gamma="0"/>
              <o:lock v:ext="edit" position="f" selection="f" grouping="f" rotation="f" cropping="f" text="f" aspectratio="f"/>
            </v:shape>
            <v:rect id="矩形 1121" o:spid="_x0000_s1122" style="position:absolute;left:4507;top:1106;height:495;width:1035;rotation:0f;" o:ole="f" fillcolor="#FFFFFF" filled="f" o:preferrelative="t" stroked="f" coordsize="21600,21600">
              <v:fill on="f" color2="#FFFFFF" focus="0%"/>
              <v:imagedata gain="65536f" blacklevel="0f" gamma="0"/>
              <o:lock v:ext="edit" position="f" selection="f" grouping="f" rotation="f" cropping="f" text="f" aspectratio="f"/>
              <v:textbox>
                <w:txbxContent>
                  <w:p>
                    <w:r>
                      <w:rPr>
                        <w:rFonts w:hint="eastAsia"/>
                      </w:rPr>
                      <w:t>0.69kV</w:t>
                    </w:r>
                  </w:p>
                </w:txbxContent>
              </v:textbox>
            </v:rect>
            <v:rect id="矩形 1122" o:spid="_x0000_s1123" style="position:absolute;left:6982;top:1061;height:495;width:1035;rotation:0f;" o:ole="f" fillcolor="#FFFFFF" filled="f" o:preferrelative="t" stroked="f" coordsize="21600,21600">
              <v:fill on="f" color2="#FFFFFF" focus="0%"/>
              <v:imagedata gain="65536f" blacklevel="0f" gamma="0"/>
              <o:lock v:ext="edit" position="f" selection="f" grouping="f" rotation="f" cropping="f" text="f" aspectratio="f"/>
              <v:textbox>
                <w:txbxContent>
                  <w:p>
                    <w:r>
                      <w:rPr>
                        <w:rFonts w:hint="eastAsia"/>
                      </w:rPr>
                      <w:t>35kV</w:t>
                    </w:r>
                  </w:p>
                </w:txbxContent>
              </v:textbox>
            </v:rect>
            <v:rect id="矩形 1123" o:spid="_x0000_s1124" style="position:absolute;left:7312;top:2656;height:1168;width:1758;rotation:0f;" o:ole="f" fillcolor="#FFFFFF" filled="t" o:preferrelative="t" stroked="f" coordsize="21600,21600">
              <v:imagedata gain="65536f" blacklevel="0f" gamma="0"/>
              <o:lock v:ext="edit" position="f" selection="f" grouping="f" rotation="f" cropping="f" text="f" aspectratio="f"/>
              <v:textbox>
                <w:txbxContent>
                  <w:p>
                    <w:pPr>
                      <w:ind w:firstLine="105" w:firstLineChars="50"/>
                      <w:jc w:val="center"/>
                    </w:pPr>
                    <w:r>
                      <w:rPr>
                        <w:rFonts w:hint="eastAsia"/>
                      </w:rPr>
                      <w:t>接入店坪110KV输电线低压侧母线</w:t>
                    </w:r>
                  </w:p>
                </w:txbxContent>
              </v:textbox>
            </v:rect>
            <v:shape id="直接连接符 1124" o:spid="_x0000_s1125" type="#_x0000_t32" style="position:absolute;left:8394;top:1736;height:920;width:31;rotation:0f;" o:ole="f" fillcolor="#FFFFFF" filled="t" o:preferrelative="t" stroked="t" coordorigin="0,0" coordsize="21600,21600">
              <v:stroke color="#000000" color2="#FFFFFF" opacity="100%" joinstyle="round" endarrow="block"/>
              <v:imagedata gain="65536f" blacklevel="0f" gamma="0"/>
              <o:lock v:ext="edit" position="f" selection="f" grouping="f" rotation="f" cropping="f" text="f" aspectratio="f"/>
            </v:shape>
            <w10:wrap type="none"/>
            <w10:anchorlock/>
          </v:group>
        </w:pict>
      </w:r>
    </w:p>
    <w:p>
      <w:pPr>
        <w:pStyle w:val="29"/>
        <w:adjustRightInd w:val="0"/>
        <w:snapToGrid w:val="0"/>
        <w:spacing w:beforeLines="25" w:beforeAutospacing="0" w:after="0" w:afterAutospacing="0" w:line="440" w:lineRule="exact"/>
        <w:ind w:firstLine="480" w:firstLineChars="200"/>
        <w:jc w:val="center"/>
        <w:rPr>
          <w:rFonts w:ascii="Times New Roman" w:hAnsi="Times New Roman" w:cs="Times New Roman"/>
        </w:rPr>
      </w:pPr>
      <w:r>
        <w:rPr>
          <w:rFonts w:hint="eastAsia" w:ascii="Times New Roman" w:hAnsi="Times New Roman" w:cs="Times New Roman"/>
        </w:rPr>
        <w:t>图6   运营期工艺流程及产污环节图</w:t>
      </w:r>
    </w:p>
    <w:p>
      <w:pPr>
        <w:pStyle w:val="29"/>
        <w:adjustRightInd w:val="0"/>
        <w:snapToGrid w:val="0"/>
        <w:spacing w:beforeLines="25" w:beforeAutospacing="0" w:after="0" w:afterAutospacing="0" w:line="440" w:lineRule="exact"/>
        <w:ind w:firstLine="480" w:firstLineChars="200"/>
        <w:jc w:val="center"/>
        <w:rPr>
          <w:rFonts w:ascii="Times New Roman" w:hAnsi="Times New Roman" w:cs="Times New Roman"/>
        </w:rPr>
      </w:pPr>
      <w:r>
        <w:rPr>
          <w:rFonts w:hint="eastAsia" w:ascii="Times New Roman" w:hAnsi="Times New Roman" w:cs="Times New Roman"/>
        </w:rPr>
        <w:t>表17   WTG2-2000型风电机组基本技术参数</w:t>
      </w:r>
    </w:p>
    <w:tbl>
      <w:tblP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2069"/>
        <w:gridCol w:w="3945"/>
        <w:gridCol w:w="3066"/>
      </w:tblGrid>
      <w:tr>
        <w:trPr>
          <w:jc w:val="center"/>
        </w:trPr>
        <w:tc>
          <w:tcPr>
            <w:tcW w:w="6014" w:type="dxa"/>
            <w:gridSpan w:val="2"/>
            <w:vAlign w:val="center"/>
          </w:tcPr>
          <w:p>
            <w:pPr>
              <w:pStyle w:val="65"/>
              <w:tabs>
                <w:tab w:val="left" w:pos="2146"/>
              </w:tabs>
              <w:wordWrap w:val="0"/>
              <w:spacing w:line="360" w:lineRule="exact"/>
              <w:jc w:val="center"/>
              <w:rPr>
                <w:rFonts w:ascii="Times New Roman" w:hAnsi="Times New Roman" w:cs="宋体"/>
                <w:sz w:val="21"/>
                <w:szCs w:val="21"/>
              </w:rPr>
            </w:pPr>
            <w:r>
              <w:rPr>
                <w:rFonts w:ascii="Times New Roman" w:hAnsi="Times New Roman" w:cs="宋体"/>
                <w:sz w:val="21"/>
                <w:szCs w:val="21"/>
              </w:rPr>
              <w:t>项</w:t>
            </w:r>
            <w:r>
              <w:rPr>
                <w:rFonts w:ascii="Times New Roman" w:hAnsi="Times New Roman" w:cs="宋体"/>
                <w:sz w:val="21"/>
                <w:szCs w:val="21"/>
              </w:rPr>
              <w:tab/>
            </w:r>
            <w:r>
              <w:rPr>
                <w:rFonts w:ascii="Times New Roman" w:hAnsi="Times New Roman" w:cs="宋体"/>
                <w:sz w:val="21"/>
                <w:szCs w:val="21"/>
              </w:rPr>
              <w:t>目</w:t>
            </w:r>
          </w:p>
        </w:tc>
        <w:tc>
          <w:tcPr>
            <w:tcW w:w="3066" w:type="dxa"/>
            <w:vAlign w:val="center"/>
          </w:tcPr>
          <w:p>
            <w:pPr>
              <w:pStyle w:val="65"/>
              <w:tabs>
                <w:tab w:val="left" w:pos="2146"/>
              </w:tabs>
              <w:wordWrap w:val="0"/>
              <w:spacing w:line="360" w:lineRule="exact"/>
              <w:jc w:val="center"/>
              <w:rPr>
                <w:rFonts w:ascii="Times New Roman" w:hAnsi="Times New Roman" w:cs="宋体"/>
                <w:sz w:val="21"/>
                <w:szCs w:val="21"/>
                <w:lang w:eastAsia="zh-CN"/>
              </w:rPr>
            </w:pPr>
            <w:r>
              <w:rPr>
                <w:rFonts w:hint="eastAsia" w:ascii="Times New Roman" w:hAnsi="Times New Roman" w:cs="宋体"/>
                <w:sz w:val="21"/>
                <w:szCs w:val="21"/>
                <w:lang w:eastAsia="zh-CN"/>
              </w:rPr>
              <w:t>基本参数</w:t>
            </w:r>
          </w:p>
        </w:tc>
      </w:tr>
      <w:tr>
        <w:trPr>
          <w:jc w:val="center"/>
        </w:trPr>
        <w:tc>
          <w:tcPr>
            <w:tcW w:w="2069" w:type="dxa"/>
            <w:vMerge w:val="restart"/>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叶</w:t>
            </w:r>
          </w:p>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轮</w:t>
            </w:r>
          </w:p>
        </w:tc>
        <w:tc>
          <w:tcPr>
            <w:tcW w:w="3945" w:type="dxa"/>
            <w:vAlign w:val="center"/>
          </w:tcPr>
          <w:p>
            <w:pPr>
              <w:pStyle w:val="65"/>
              <w:wordWrap w:val="0"/>
              <w:spacing w:line="360" w:lineRule="exact"/>
              <w:jc w:val="center"/>
              <w:rPr>
                <w:rFonts w:ascii="Times New Roman" w:hAnsi="Times New Roman" w:cs="宋体"/>
                <w:sz w:val="21"/>
                <w:szCs w:val="21"/>
                <w:lang w:eastAsia="zh-CN"/>
              </w:rPr>
            </w:pPr>
            <w:r>
              <w:rPr>
                <w:rFonts w:hint="eastAsia" w:ascii="Times New Roman" w:hAnsi="Times New Roman" w:cs="宋体"/>
                <w:sz w:val="21"/>
                <w:szCs w:val="21"/>
                <w:lang w:eastAsia="zh-CN"/>
              </w:rPr>
              <w:t>型号</w:t>
            </w:r>
          </w:p>
        </w:tc>
        <w:tc>
          <w:tcPr>
            <w:tcW w:w="3066" w:type="dxa"/>
            <w:vAlign w:val="center"/>
          </w:tcPr>
          <w:p>
            <w:pPr>
              <w:pStyle w:val="65"/>
              <w:wordWrap w:val="0"/>
              <w:spacing w:line="360" w:lineRule="exact"/>
              <w:jc w:val="center"/>
              <w:rPr>
                <w:rFonts w:ascii="Times New Roman" w:hAnsi="Times New Roman" w:cs="宋体"/>
                <w:sz w:val="21"/>
                <w:szCs w:val="21"/>
              </w:rPr>
            </w:pPr>
            <w:r>
              <w:rPr>
                <w:rFonts w:hint="eastAsia" w:ascii="Times New Roman" w:hAnsi="Times New Roman" w:cs="宋体"/>
                <w:sz w:val="21"/>
                <w:szCs w:val="21"/>
                <w:lang w:eastAsia="zh-CN"/>
              </w:rPr>
              <w:t>WTG2-2000</w:t>
            </w:r>
          </w:p>
        </w:tc>
      </w:tr>
      <w:tr>
        <w:trPr>
          <w:jc w:val="center"/>
        </w:trPr>
        <w:tc>
          <w:tcPr>
            <w:tcW w:w="2069" w:type="dxa"/>
            <w:vMerge w:val="continue"/>
            <w:vAlign w:val="center"/>
          </w:tcPr>
          <w:p>
            <w:pPr>
              <w:pStyle w:val="65"/>
              <w:wordWrap w:val="0"/>
              <w:spacing w:line="360" w:lineRule="exact"/>
              <w:jc w:val="center"/>
              <w:rPr>
                <w:rFonts w:ascii="Times New Roman" w:hAnsi="Times New Roman"/>
                <w:sz w:val="20"/>
                <w:szCs w:val="20"/>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叶轮</w:t>
            </w:r>
            <w:r>
              <w:rPr>
                <w:rFonts w:ascii="Times New Roman" w:hAnsi="Times New Roman" w:cs="宋体"/>
                <w:spacing w:val="-3"/>
                <w:sz w:val="21"/>
                <w:szCs w:val="21"/>
              </w:rPr>
              <w:t>直</w:t>
            </w:r>
            <w:r>
              <w:rPr>
                <w:rFonts w:ascii="Times New Roman" w:hAnsi="Times New Roman" w:cs="宋体"/>
                <w:sz w:val="21"/>
                <w:szCs w:val="21"/>
              </w:rPr>
              <w:t>径</w:t>
            </w:r>
            <w:r>
              <w:rPr>
                <w:rFonts w:ascii="Times New Roman" w:hAnsi="Times New Roman" w:cs="宋体"/>
                <w:spacing w:val="-3"/>
                <w:sz w:val="21"/>
                <w:szCs w:val="21"/>
              </w:rPr>
              <w:t>/</w:t>
            </w:r>
            <w:r>
              <w:rPr>
                <w:rFonts w:ascii="Times New Roman" w:hAnsi="Times New Roman" w:cs="宋体"/>
                <w:sz w:val="21"/>
                <w:szCs w:val="21"/>
              </w:rPr>
              <w:t>单长</w:t>
            </w:r>
            <w:r>
              <w:rPr>
                <w:rFonts w:ascii="Times New Roman" w:hAnsi="Times New Roman" w:cs="宋体"/>
                <w:spacing w:val="-3"/>
                <w:sz w:val="21"/>
                <w:szCs w:val="21"/>
              </w:rPr>
              <w:t>(</w:t>
            </w:r>
            <w:r>
              <w:rPr>
                <w:rFonts w:ascii="Times New Roman" w:hAnsi="Times New Roman" w:cs="宋体"/>
                <w:sz w:val="21"/>
                <w:szCs w:val="21"/>
              </w:rPr>
              <w:t>m)</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121</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扫风</w:t>
            </w:r>
            <w:r>
              <w:rPr>
                <w:rFonts w:ascii="Times New Roman" w:hAnsi="Times New Roman" w:cs="宋体"/>
                <w:spacing w:val="-3"/>
                <w:sz w:val="21"/>
                <w:szCs w:val="21"/>
              </w:rPr>
              <w:t>面</w:t>
            </w:r>
            <w:r>
              <w:rPr>
                <w:rFonts w:ascii="Times New Roman" w:hAnsi="Times New Roman" w:cs="宋体"/>
                <w:sz w:val="21"/>
                <w:szCs w:val="21"/>
              </w:rPr>
              <w:t>积(</w:t>
            </w:r>
            <w:r>
              <w:rPr>
                <w:rFonts w:ascii="Times New Roman" w:hAnsi="Times New Roman" w:cs="宋体"/>
                <w:spacing w:val="-3"/>
                <w:sz w:val="21"/>
                <w:szCs w:val="21"/>
              </w:rPr>
              <w:t>m</w:t>
            </w:r>
            <w:r>
              <w:rPr>
                <w:rFonts w:ascii="Times New Roman" w:hAnsi="Times New Roman" w:cs="宋体"/>
                <w:position w:val="11"/>
                <w:sz w:val="11"/>
                <w:szCs w:val="11"/>
              </w:rPr>
              <w:t>2</w:t>
            </w:r>
            <w:r>
              <w:rPr>
                <w:rFonts w:ascii="Times New Roman" w:hAnsi="Times New Roman" w:cs="宋体"/>
                <w:sz w:val="21"/>
                <w:szCs w:val="21"/>
              </w:rPr>
              <w:t>)</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11547</w:t>
            </w:r>
            <w:r>
              <w:rPr>
                <w:rFonts w:ascii="Times New Roman" w:hAnsi="Times New Roman" w:cs="宋体"/>
                <w:spacing w:val="-3"/>
                <w:sz w:val="21"/>
                <w:szCs w:val="21"/>
              </w:rPr>
              <w:t>.5</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转速(</w:t>
            </w:r>
            <w:r>
              <w:rPr>
                <w:rFonts w:ascii="Times New Roman" w:hAnsi="Times New Roman" w:cs="宋体"/>
                <w:spacing w:val="-3"/>
                <w:sz w:val="21"/>
                <w:szCs w:val="21"/>
              </w:rPr>
              <w:t>r</w:t>
            </w:r>
            <w:r>
              <w:rPr>
                <w:rFonts w:ascii="Times New Roman" w:hAnsi="Times New Roman" w:cs="宋体"/>
                <w:sz w:val="21"/>
                <w:szCs w:val="21"/>
              </w:rPr>
              <w:t>pm)</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5～17</w:t>
            </w:r>
            <w:r>
              <w:rPr>
                <w:rFonts w:ascii="Times New Roman" w:hAnsi="Times New Roman" w:cs="宋体"/>
                <w:spacing w:val="-3"/>
                <w:sz w:val="21"/>
                <w:szCs w:val="21"/>
              </w:rPr>
              <w:t>.9</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功率</w:t>
            </w:r>
            <w:r>
              <w:rPr>
                <w:rFonts w:ascii="Times New Roman" w:hAnsi="Times New Roman" w:cs="宋体"/>
                <w:spacing w:val="-3"/>
                <w:sz w:val="21"/>
                <w:szCs w:val="21"/>
              </w:rPr>
              <w:t>调</w:t>
            </w:r>
            <w:r>
              <w:rPr>
                <w:rFonts w:ascii="Times New Roman" w:hAnsi="Times New Roman" w:cs="宋体"/>
                <w:sz w:val="21"/>
                <w:szCs w:val="21"/>
              </w:rPr>
              <w:t>节</w:t>
            </w:r>
            <w:r>
              <w:rPr>
                <w:rFonts w:ascii="Times New Roman" w:hAnsi="Times New Roman" w:cs="宋体"/>
                <w:spacing w:val="-3"/>
                <w:sz w:val="21"/>
                <w:szCs w:val="21"/>
              </w:rPr>
              <w:t>方</w:t>
            </w:r>
            <w:r>
              <w:rPr>
                <w:rFonts w:ascii="Times New Roman" w:hAnsi="Times New Roman" w:cs="宋体"/>
                <w:sz w:val="21"/>
                <w:szCs w:val="21"/>
              </w:rPr>
              <w:t>式</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变桨</w:t>
            </w:r>
            <w:r>
              <w:rPr>
                <w:rFonts w:ascii="Times New Roman" w:hAnsi="Times New Roman" w:cs="宋体"/>
                <w:spacing w:val="-3"/>
                <w:sz w:val="21"/>
                <w:szCs w:val="21"/>
              </w:rPr>
              <w:t>变速</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切入</w:t>
            </w:r>
            <w:r>
              <w:rPr>
                <w:rFonts w:ascii="Times New Roman" w:hAnsi="Times New Roman" w:cs="宋体"/>
                <w:spacing w:val="-3"/>
                <w:sz w:val="21"/>
                <w:szCs w:val="21"/>
              </w:rPr>
              <w:t>风</w:t>
            </w:r>
            <w:r>
              <w:rPr>
                <w:rFonts w:ascii="Times New Roman" w:hAnsi="Times New Roman" w:cs="宋体"/>
                <w:sz w:val="21"/>
                <w:szCs w:val="21"/>
              </w:rPr>
              <w:t>速(</w:t>
            </w:r>
            <w:r>
              <w:rPr>
                <w:rFonts w:ascii="Times New Roman" w:hAnsi="Times New Roman" w:cs="宋体"/>
                <w:spacing w:val="-3"/>
                <w:sz w:val="21"/>
                <w:szCs w:val="21"/>
              </w:rPr>
              <w:t>m</w:t>
            </w:r>
            <w:r>
              <w:rPr>
                <w:rFonts w:ascii="Times New Roman" w:hAnsi="Times New Roman" w:cs="宋体"/>
                <w:sz w:val="21"/>
                <w:szCs w:val="21"/>
              </w:rPr>
              <w:t>/s)</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2.5</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额定</w:t>
            </w:r>
            <w:r>
              <w:rPr>
                <w:rFonts w:ascii="Times New Roman" w:hAnsi="Times New Roman" w:cs="宋体"/>
                <w:spacing w:val="-3"/>
                <w:sz w:val="21"/>
                <w:szCs w:val="21"/>
              </w:rPr>
              <w:t>风</w:t>
            </w:r>
            <w:r>
              <w:rPr>
                <w:rFonts w:ascii="Times New Roman" w:hAnsi="Times New Roman" w:cs="宋体"/>
                <w:sz w:val="21"/>
                <w:szCs w:val="21"/>
              </w:rPr>
              <w:t>速(</w:t>
            </w:r>
            <w:r>
              <w:rPr>
                <w:rFonts w:ascii="Times New Roman" w:hAnsi="Times New Roman" w:cs="宋体"/>
                <w:spacing w:val="-3"/>
                <w:sz w:val="21"/>
                <w:szCs w:val="21"/>
              </w:rPr>
              <w:t>m</w:t>
            </w:r>
            <w:r>
              <w:rPr>
                <w:rFonts w:ascii="Times New Roman" w:hAnsi="Times New Roman" w:cs="宋体"/>
                <w:sz w:val="21"/>
                <w:szCs w:val="21"/>
              </w:rPr>
              <w:t>/s)</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8.8</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切出</w:t>
            </w:r>
            <w:r>
              <w:rPr>
                <w:rFonts w:ascii="Times New Roman" w:hAnsi="Times New Roman" w:cs="宋体"/>
                <w:spacing w:val="-3"/>
                <w:sz w:val="21"/>
                <w:szCs w:val="21"/>
              </w:rPr>
              <w:t>风</w:t>
            </w:r>
            <w:r>
              <w:rPr>
                <w:rFonts w:ascii="Times New Roman" w:hAnsi="Times New Roman" w:cs="宋体"/>
                <w:sz w:val="21"/>
                <w:szCs w:val="21"/>
              </w:rPr>
              <w:t>速(</w:t>
            </w:r>
            <w:r>
              <w:rPr>
                <w:rFonts w:ascii="Times New Roman" w:hAnsi="Times New Roman" w:cs="宋体"/>
                <w:spacing w:val="-3"/>
                <w:sz w:val="21"/>
                <w:szCs w:val="21"/>
              </w:rPr>
              <w:t>m</w:t>
            </w:r>
            <w:r>
              <w:rPr>
                <w:rFonts w:ascii="Times New Roman" w:hAnsi="Times New Roman" w:cs="宋体"/>
                <w:sz w:val="21"/>
                <w:szCs w:val="21"/>
              </w:rPr>
              <w:t>/s)</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19</w:t>
            </w:r>
          </w:p>
        </w:tc>
      </w:tr>
      <w:tr>
        <w:trPr>
          <w:jc w:val="center"/>
        </w:trPr>
        <w:tc>
          <w:tcPr>
            <w:tcW w:w="2069" w:type="dxa"/>
            <w:vMerge w:val="restart"/>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发 电 机</w:t>
            </w: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型式</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直驱</w:t>
            </w:r>
            <w:r>
              <w:rPr>
                <w:rFonts w:ascii="Times New Roman" w:hAnsi="Times New Roman" w:cs="宋体"/>
                <w:spacing w:val="-3"/>
                <w:sz w:val="21"/>
                <w:szCs w:val="21"/>
              </w:rPr>
              <w:t>永</w:t>
            </w:r>
            <w:r>
              <w:rPr>
                <w:rFonts w:ascii="Times New Roman" w:hAnsi="Times New Roman" w:cs="宋体"/>
                <w:sz w:val="21"/>
                <w:szCs w:val="21"/>
              </w:rPr>
              <w:t>磁</w:t>
            </w:r>
            <w:r>
              <w:rPr>
                <w:rFonts w:ascii="Times New Roman" w:hAnsi="Times New Roman" w:cs="宋体"/>
                <w:spacing w:val="-3"/>
                <w:sz w:val="21"/>
                <w:szCs w:val="21"/>
              </w:rPr>
              <w:t>同</w:t>
            </w:r>
            <w:r>
              <w:rPr>
                <w:rFonts w:ascii="Times New Roman" w:hAnsi="Times New Roman" w:cs="宋体"/>
                <w:sz w:val="21"/>
                <w:szCs w:val="21"/>
              </w:rPr>
              <w:t>步</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额定</w:t>
            </w:r>
            <w:r>
              <w:rPr>
                <w:rFonts w:ascii="Times New Roman" w:hAnsi="Times New Roman" w:cs="宋体"/>
                <w:spacing w:val="-3"/>
                <w:sz w:val="21"/>
                <w:szCs w:val="21"/>
              </w:rPr>
              <w:t>功</w:t>
            </w:r>
            <w:r>
              <w:rPr>
                <w:rFonts w:ascii="Times New Roman" w:hAnsi="Times New Roman" w:cs="宋体"/>
                <w:sz w:val="21"/>
                <w:szCs w:val="21"/>
              </w:rPr>
              <w:t>率(</w:t>
            </w:r>
            <w:r>
              <w:rPr>
                <w:rFonts w:ascii="Times New Roman" w:hAnsi="Times New Roman" w:cs="宋体"/>
                <w:spacing w:val="-3"/>
                <w:sz w:val="21"/>
                <w:szCs w:val="21"/>
              </w:rPr>
              <w:t>k</w:t>
            </w:r>
            <w:r>
              <w:rPr>
                <w:rFonts w:ascii="Times New Roman" w:hAnsi="Times New Roman" w:cs="宋体"/>
                <w:sz w:val="21"/>
                <w:szCs w:val="21"/>
              </w:rPr>
              <w:t>W)</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2000</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电压(</w:t>
            </w:r>
            <w:r>
              <w:rPr>
                <w:rFonts w:ascii="Times New Roman" w:hAnsi="Times New Roman" w:cs="宋体"/>
                <w:spacing w:val="-3"/>
                <w:sz w:val="21"/>
                <w:szCs w:val="21"/>
              </w:rPr>
              <w:t>V)</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690</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频率(</w:t>
            </w:r>
            <w:r>
              <w:rPr>
                <w:rFonts w:ascii="Times New Roman" w:hAnsi="Times New Roman" w:cs="宋体"/>
                <w:spacing w:val="-3"/>
                <w:sz w:val="21"/>
                <w:szCs w:val="21"/>
              </w:rPr>
              <w:t>H</w:t>
            </w:r>
            <w:r>
              <w:rPr>
                <w:rFonts w:ascii="Times New Roman" w:hAnsi="Times New Roman" w:cs="宋体"/>
                <w:sz w:val="21"/>
                <w:szCs w:val="21"/>
              </w:rPr>
              <w:t>z)</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50</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额定</w:t>
            </w:r>
            <w:r>
              <w:rPr>
                <w:rFonts w:ascii="Times New Roman" w:hAnsi="Times New Roman" w:cs="宋体"/>
                <w:spacing w:val="-3"/>
                <w:sz w:val="21"/>
                <w:szCs w:val="21"/>
              </w:rPr>
              <w:t>转</w:t>
            </w:r>
            <w:r>
              <w:rPr>
                <w:rFonts w:ascii="Times New Roman" w:hAnsi="Times New Roman" w:cs="宋体"/>
                <w:sz w:val="21"/>
                <w:szCs w:val="21"/>
              </w:rPr>
              <w:t>速(</w:t>
            </w:r>
            <w:r>
              <w:rPr>
                <w:rFonts w:ascii="Times New Roman" w:hAnsi="Times New Roman" w:cs="宋体"/>
                <w:spacing w:val="-3"/>
                <w:sz w:val="21"/>
                <w:szCs w:val="21"/>
              </w:rPr>
              <w:t>r</w:t>
            </w:r>
            <w:r>
              <w:rPr>
                <w:rFonts w:ascii="Times New Roman" w:hAnsi="Times New Roman" w:cs="宋体"/>
                <w:sz w:val="21"/>
                <w:szCs w:val="21"/>
              </w:rPr>
              <w:t>pm)</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1780</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功率</w:t>
            </w:r>
            <w:r>
              <w:rPr>
                <w:rFonts w:ascii="Times New Roman" w:hAnsi="Times New Roman" w:cs="宋体"/>
                <w:spacing w:val="-3"/>
                <w:sz w:val="21"/>
                <w:szCs w:val="21"/>
              </w:rPr>
              <w:t>因</w:t>
            </w:r>
            <w:r>
              <w:rPr>
                <w:rFonts w:ascii="Times New Roman" w:hAnsi="Times New Roman" w:cs="宋体"/>
                <w:sz w:val="21"/>
                <w:szCs w:val="21"/>
              </w:rPr>
              <w:t>数</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-0.9</w:t>
            </w:r>
            <w:r>
              <w:rPr>
                <w:rFonts w:ascii="Times New Roman" w:hAnsi="Times New Roman" w:cs="宋体"/>
                <w:spacing w:val="-3"/>
                <w:sz w:val="21"/>
                <w:szCs w:val="21"/>
              </w:rPr>
              <w:t>5</w:t>
            </w:r>
            <w:r>
              <w:rPr>
                <w:rFonts w:ascii="Times New Roman" w:hAnsi="Times New Roman" w:cs="宋体"/>
                <w:sz w:val="21"/>
                <w:szCs w:val="21"/>
              </w:rPr>
              <w:t>～+0</w:t>
            </w:r>
            <w:r>
              <w:rPr>
                <w:rFonts w:ascii="Times New Roman" w:hAnsi="Times New Roman" w:cs="宋体"/>
                <w:spacing w:val="-3"/>
                <w:sz w:val="21"/>
                <w:szCs w:val="21"/>
              </w:rPr>
              <w:t>.</w:t>
            </w:r>
            <w:r>
              <w:rPr>
                <w:rFonts w:ascii="Times New Roman" w:hAnsi="Times New Roman" w:cs="宋体"/>
                <w:sz w:val="21"/>
                <w:szCs w:val="21"/>
              </w:rPr>
              <w:t>95</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轮毂</w:t>
            </w:r>
            <w:r>
              <w:rPr>
                <w:rFonts w:ascii="Times New Roman" w:hAnsi="Times New Roman" w:cs="宋体"/>
                <w:spacing w:val="-3"/>
                <w:sz w:val="21"/>
                <w:szCs w:val="21"/>
              </w:rPr>
              <w:t>高</w:t>
            </w:r>
            <w:r>
              <w:rPr>
                <w:rFonts w:ascii="Times New Roman" w:hAnsi="Times New Roman" w:cs="宋体"/>
                <w:sz w:val="21"/>
                <w:szCs w:val="21"/>
              </w:rPr>
              <w:t>度(</w:t>
            </w:r>
            <w:r>
              <w:rPr>
                <w:rFonts w:ascii="Times New Roman" w:hAnsi="Times New Roman" w:cs="宋体"/>
                <w:spacing w:val="-3"/>
                <w:sz w:val="21"/>
                <w:szCs w:val="21"/>
              </w:rPr>
              <w:t>m)</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90</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低电</w:t>
            </w:r>
            <w:r>
              <w:rPr>
                <w:rFonts w:ascii="Times New Roman" w:hAnsi="Times New Roman" w:cs="宋体"/>
                <w:spacing w:val="-3"/>
                <w:sz w:val="21"/>
                <w:szCs w:val="21"/>
              </w:rPr>
              <w:t>压</w:t>
            </w:r>
            <w:r>
              <w:rPr>
                <w:rFonts w:ascii="Times New Roman" w:hAnsi="Times New Roman" w:cs="宋体"/>
                <w:sz w:val="21"/>
                <w:szCs w:val="21"/>
              </w:rPr>
              <w:t>存</w:t>
            </w:r>
            <w:r>
              <w:rPr>
                <w:rFonts w:ascii="Times New Roman" w:hAnsi="Times New Roman" w:cs="宋体"/>
                <w:spacing w:val="-3"/>
                <w:sz w:val="21"/>
                <w:szCs w:val="21"/>
              </w:rPr>
              <w:t>穿</w:t>
            </w:r>
            <w:r>
              <w:rPr>
                <w:rFonts w:ascii="Times New Roman" w:hAnsi="Times New Roman" w:cs="宋体"/>
                <w:sz w:val="21"/>
                <w:szCs w:val="21"/>
              </w:rPr>
              <w:t>越</w:t>
            </w:r>
            <w:r>
              <w:rPr>
                <w:rFonts w:ascii="Times New Roman" w:hAnsi="Times New Roman" w:cs="宋体"/>
                <w:spacing w:val="-3"/>
                <w:sz w:val="21"/>
                <w:szCs w:val="21"/>
              </w:rPr>
              <w:t>能力</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有</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设备</w:t>
            </w:r>
            <w:r>
              <w:rPr>
                <w:rFonts w:ascii="Times New Roman" w:hAnsi="Times New Roman" w:cs="宋体"/>
                <w:spacing w:val="-3"/>
                <w:sz w:val="21"/>
                <w:szCs w:val="21"/>
              </w:rPr>
              <w:t>利</w:t>
            </w:r>
            <w:r>
              <w:rPr>
                <w:rFonts w:ascii="Times New Roman" w:hAnsi="Times New Roman" w:cs="宋体"/>
                <w:sz w:val="21"/>
                <w:szCs w:val="21"/>
              </w:rPr>
              <w:t>用</w:t>
            </w:r>
            <w:r>
              <w:rPr>
                <w:rFonts w:ascii="Times New Roman" w:hAnsi="Times New Roman" w:cs="宋体"/>
                <w:spacing w:val="-3"/>
                <w:sz w:val="21"/>
                <w:szCs w:val="21"/>
              </w:rPr>
              <w:t>率</w:t>
            </w:r>
            <w:r>
              <w:rPr>
                <w:rFonts w:ascii="Times New Roman" w:hAnsi="Times New Roman" w:cs="宋体"/>
                <w:sz w:val="21"/>
                <w:szCs w:val="21"/>
              </w:rPr>
              <w:t>（</w:t>
            </w:r>
            <w:r>
              <w:rPr>
                <w:rFonts w:ascii="Times New Roman" w:hAnsi="Times New Roman" w:cs="宋体"/>
                <w:spacing w:val="-3"/>
                <w:sz w:val="21"/>
                <w:szCs w:val="21"/>
              </w:rPr>
              <w:t>%</w:t>
            </w:r>
            <w:r>
              <w:rPr>
                <w:rFonts w:ascii="Times New Roman" w:hAnsi="Times New Roman" w:cs="宋体"/>
                <w:sz w:val="21"/>
                <w:szCs w:val="21"/>
              </w:rPr>
              <w:t>）</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≥95</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安全</w:t>
            </w:r>
            <w:r>
              <w:rPr>
                <w:rFonts w:ascii="Times New Roman" w:hAnsi="Times New Roman" w:cs="宋体"/>
                <w:spacing w:val="-3"/>
                <w:sz w:val="21"/>
                <w:szCs w:val="21"/>
              </w:rPr>
              <w:t>风</w:t>
            </w:r>
            <w:r>
              <w:rPr>
                <w:rFonts w:ascii="Times New Roman" w:hAnsi="Times New Roman" w:cs="宋体"/>
                <w:sz w:val="21"/>
                <w:szCs w:val="21"/>
              </w:rPr>
              <w:t>速</w:t>
            </w:r>
            <w:r>
              <w:rPr>
                <w:rFonts w:ascii="Times New Roman" w:hAnsi="Times New Roman" w:cs="宋体"/>
                <w:spacing w:val="-3"/>
                <w:sz w:val="21"/>
                <w:szCs w:val="21"/>
              </w:rPr>
              <w:t>（</w:t>
            </w:r>
            <w:r>
              <w:rPr>
                <w:rFonts w:ascii="Times New Roman" w:hAnsi="Times New Roman" w:cs="宋体"/>
                <w:sz w:val="21"/>
                <w:szCs w:val="21"/>
              </w:rPr>
              <w:t>3s,</w:t>
            </w:r>
            <w:r>
              <w:rPr>
                <w:rFonts w:ascii="Times New Roman" w:hAnsi="Times New Roman" w:cs="宋体"/>
                <w:spacing w:val="-3"/>
                <w:sz w:val="21"/>
                <w:szCs w:val="21"/>
              </w:rPr>
              <w:t>m</w:t>
            </w:r>
            <w:r>
              <w:rPr>
                <w:rFonts w:ascii="Times New Roman" w:hAnsi="Times New Roman" w:cs="宋体"/>
                <w:sz w:val="21"/>
                <w:szCs w:val="21"/>
              </w:rPr>
              <w:t>/s）</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52.5</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正常</w:t>
            </w:r>
            <w:r>
              <w:rPr>
                <w:rFonts w:ascii="Times New Roman" w:hAnsi="Times New Roman" w:cs="宋体"/>
                <w:spacing w:val="-3"/>
                <w:sz w:val="21"/>
                <w:szCs w:val="21"/>
              </w:rPr>
              <w:t>安</w:t>
            </w:r>
            <w:r>
              <w:rPr>
                <w:rFonts w:ascii="Times New Roman" w:hAnsi="Times New Roman" w:cs="宋体"/>
                <w:sz w:val="21"/>
                <w:szCs w:val="21"/>
              </w:rPr>
              <w:t>全</w:t>
            </w:r>
            <w:r>
              <w:rPr>
                <w:rFonts w:ascii="Times New Roman" w:hAnsi="Times New Roman" w:cs="宋体"/>
                <w:spacing w:val="-3"/>
                <w:sz w:val="21"/>
                <w:szCs w:val="21"/>
              </w:rPr>
              <w:t>等</w:t>
            </w:r>
            <w:r>
              <w:rPr>
                <w:rFonts w:ascii="Times New Roman" w:hAnsi="Times New Roman" w:cs="宋体"/>
                <w:sz w:val="21"/>
                <w:szCs w:val="21"/>
              </w:rPr>
              <w:t>级</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S</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运行</w:t>
            </w:r>
            <w:r>
              <w:rPr>
                <w:rFonts w:ascii="Times New Roman" w:hAnsi="Times New Roman" w:cs="宋体"/>
                <w:spacing w:val="-3"/>
                <w:sz w:val="21"/>
                <w:szCs w:val="21"/>
              </w:rPr>
              <w:t>环</w:t>
            </w:r>
            <w:r>
              <w:rPr>
                <w:rFonts w:ascii="Times New Roman" w:hAnsi="Times New Roman" w:cs="宋体"/>
                <w:sz w:val="21"/>
                <w:szCs w:val="21"/>
              </w:rPr>
              <w:t>境</w:t>
            </w:r>
            <w:r>
              <w:rPr>
                <w:rFonts w:ascii="Times New Roman" w:hAnsi="Times New Roman" w:cs="宋体"/>
                <w:spacing w:val="-3"/>
                <w:sz w:val="21"/>
                <w:szCs w:val="21"/>
              </w:rPr>
              <w:t>温</w:t>
            </w:r>
            <w:r>
              <w:rPr>
                <w:rFonts w:ascii="Times New Roman" w:hAnsi="Times New Roman" w:cs="宋体"/>
                <w:sz w:val="21"/>
                <w:szCs w:val="21"/>
              </w:rPr>
              <w:t>度</w:t>
            </w:r>
            <w:r>
              <w:rPr>
                <w:rFonts w:ascii="Times New Roman" w:hAnsi="Times New Roman" w:cs="宋体"/>
                <w:spacing w:val="-3"/>
                <w:sz w:val="21"/>
                <w:szCs w:val="21"/>
              </w:rPr>
              <w:t>（</w:t>
            </w:r>
            <w:r>
              <w:rPr>
                <w:rFonts w:hint="eastAsia" w:ascii="宋体" w:hAnsi="宋体" w:cs="宋体"/>
                <w:sz w:val="21"/>
                <w:szCs w:val="21"/>
              </w:rPr>
              <w:t>℃</w:t>
            </w:r>
            <w:r>
              <w:rPr>
                <w:rFonts w:ascii="Times New Roman" w:hAnsi="Times New Roman" w:cs="宋体"/>
                <w:sz w:val="21"/>
                <w:szCs w:val="21"/>
              </w:rPr>
              <w:t>）</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-30～</w:t>
            </w:r>
            <w:r>
              <w:rPr>
                <w:rFonts w:ascii="Times New Roman" w:hAnsi="Times New Roman" w:cs="宋体"/>
                <w:spacing w:val="-3"/>
                <w:sz w:val="21"/>
                <w:szCs w:val="21"/>
              </w:rPr>
              <w:t>+</w:t>
            </w:r>
            <w:r>
              <w:rPr>
                <w:rFonts w:ascii="Times New Roman" w:hAnsi="Times New Roman" w:cs="宋体"/>
                <w:sz w:val="21"/>
                <w:szCs w:val="21"/>
              </w:rPr>
              <w:t>40</w:t>
            </w:r>
          </w:p>
        </w:tc>
      </w:tr>
      <w:tr>
        <w:trPr>
          <w:jc w:val="center"/>
        </w:trPr>
        <w:tc>
          <w:tcPr>
            <w:tcW w:w="6014" w:type="dxa"/>
            <w:gridSpan w:val="2"/>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生存</w:t>
            </w:r>
            <w:r>
              <w:rPr>
                <w:rFonts w:ascii="Times New Roman" w:hAnsi="Times New Roman" w:cs="宋体"/>
                <w:spacing w:val="-3"/>
                <w:sz w:val="21"/>
                <w:szCs w:val="21"/>
              </w:rPr>
              <w:t>环</w:t>
            </w:r>
            <w:r>
              <w:rPr>
                <w:rFonts w:ascii="Times New Roman" w:hAnsi="Times New Roman" w:cs="宋体"/>
                <w:sz w:val="21"/>
                <w:szCs w:val="21"/>
              </w:rPr>
              <w:t>境</w:t>
            </w:r>
            <w:r>
              <w:rPr>
                <w:rFonts w:ascii="Times New Roman" w:hAnsi="Times New Roman" w:cs="宋体"/>
                <w:spacing w:val="-3"/>
                <w:sz w:val="21"/>
                <w:szCs w:val="21"/>
              </w:rPr>
              <w:t>温</w:t>
            </w:r>
            <w:r>
              <w:rPr>
                <w:rFonts w:ascii="Times New Roman" w:hAnsi="Times New Roman" w:cs="宋体"/>
                <w:sz w:val="21"/>
                <w:szCs w:val="21"/>
              </w:rPr>
              <w:t>度</w:t>
            </w:r>
            <w:r>
              <w:rPr>
                <w:rFonts w:ascii="Times New Roman" w:hAnsi="Times New Roman" w:cs="宋体"/>
                <w:spacing w:val="-3"/>
                <w:sz w:val="21"/>
                <w:szCs w:val="21"/>
              </w:rPr>
              <w:t>（</w:t>
            </w:r>
            <w:r>
              <w:rPr>
                <w:rFonts w:hint="eastAsia" w:ascii="宋体" w:hAnsi="宋体" w:cs="宋体"/>
                <w:sz w:val="21"/>
                <w:szCs w:val="21"/>
              </w:rPr>
              <w:t>℃</w:t>
            </w:r>
            <w:r>
              <w:rPr>
                <w:rFonts w:ascii="Times New Roman" w:hAnsi="Times New Roman" w:cs="宋体"/>
                <w:sz w:val="21"/>
                <w:szCs w:val="21"/>
              </w:rPr>
              <w:t>）</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-40～</w:t>
            </w:r>
            <w:r>
              <w:rPr>
                <w:rFonts w:ascii="Times New Roman" w:hAnsi="Times New Roman" w:cs="宋体"/>
                <w:spacing w:val="-3"/>
                <w:sz w:val="21"/>
                <w:szCs w:val="21"/>
              </w:rPr>
              <w:t>+</w:t>
            </w:r>
            <w:r>
              <w:rPr>
                <w:rFonts w:ascii="Times New Roman" w:hAnsi="Times New Roman" w:cs="宋体"/>
                <w:sz w:val="21"/>
                <w:szCs w:val="21"/>
              </w:rPr>
              <w:t>50</w:t>
            </w:r>
          </w:p>
        </w:tc>
      </w:tr>
      <w:tr>
        <w:trPr>
          <w:jc w:val="center"/>
        </w:trPr>
        <w:tc>
          <w:tcPr>
            <w:tcW w:w="2069" w:type="dxa"/>
            <w:vMerge w:val="restart"/>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重</w:t>
            </w:r>
          </w:p>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量</w:t>
            </w: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叶轮</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61.2</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机舱</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71.7</w:t>
            </w:r>
          </w:p>
        </w:tc>
      </w:tr>
      <w:tr>
        <w:trPr>
          <w:jc w:val="center"/>
        </w:trPr>
        <w:tc>
          <w:tcPr>
            <w:tcW w:w="2069" w:type="dxa"/>
            <w:vMerge w:val="continue"/>
            <w:vAlign w:val="center"/>
          </w:tcPr>
          <w:p>
            <w:pPr>
              <w:wordWrap w:val="0"/>
              <w:spacing w:line="360" w:lineRule="exact"/>
              <w:jc w:val="center"/>
              <w:rPr>
                <w:sz w:val="22"/>
              </w:rPr>
            </w:pPr>
          </w:p>
        </w:tc>
        <w:tc>
          <w:tcPr>
            <w:tcW w:w="3945"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塔架</w:t>
            </w:r>
          </w:p>
        </w:tc>
        <w:tc>
          <w:tcPr>
            <w:tcW w:w="3066" w:type="dxa"/>
            <w:vAlign w:val="center"/>
          </w:tcPr>
          <w:p>
            <w:pPr>
              <w:pStyle w:val="65"/>
              <w:wordWrap w:val="0"/>
              <w:spacing w:line="360" w:lineRule="exact"/>
              <w:jc w:val="center"/>
              <w:rPr>
                <w:rFonts w:ascii="Times New Roman" w:hAnsi="Times New Roman" w:cs="宋体"/>
                <w:sz w:val="21"/>
                <w:szCs w:val="21"/>
              </w:rPr>
            </w:pPr>
            <w:r>
              <w:rPr>
                <w:rFonts w:ascii="Times New Roman" w:hAnsi="Times New Roman" w:cs="宋体"/>
                <w:sz w:val="21"/>
                <w:szCs w:val="21"/>
              </w:rPr>
              <w:t>199.4</w:t>
            </w:r>
          </w:p>
        </w:tc>
      </w:tr>
    </w:tbl>
    <w:p>
      <w:pPr>
        <w:pStyle w:val="29"/>
        <w:wordWrap w:val="0"/>
        <w:spacing w:beforeLines="50" w:beforeAutospacing="0" w:afterLines="25" w:afterAutospacing="0" w:line="440" w:lineRule="exact"/>
        <w:jc w:val="both"/>
        <w:rPr>
          <w:rFonts w:ascii="Times New Roman" w:hAnsi="Times New Roman" w:cs="Times New Roman"/>
          <w:b/>
          <w:sz w:val="28"/>
          <w:szCs w:val="28"/>
        </w:rPr>
      </w:pPr>
      <w:r>
        <w:rPr>
          <w:rFonts w:hint="eastAsia" w:ascii="Times New Roman" w:hAnsi="Times New Roman" w:cs="Times New Roman"/>
          <w:b/>
          <w:sz w:val="28"/>
          <w:szCs w:val="28"/>
        </w:rPr>
        <w:t>2.</w:t>
      </w:r>
      <w:r>
        <w:rPr>
          <w:rFonts w:ascii="Times New Roman" w:hAnsi="Times New Roman" w:cs="Times New Roman"/>
          <w:b/>
          <w:sz w:val="28"/>
          <w:szCs w:val="28"/>
        </w:rPr>
        <w:t>主要污染源强</w:t>
      </w:r>
    </w:p>
    <w:p>
      <w:pPr>
        <w:spacing w:line="420" w:lineRule="exact"/>
        <w:ind w:left="480"/>
        <w:rPr>
          <w:b/>
          <w:sz w:val="24"/>
        </w:rPr>
      </w:pPr>
      <w:r>
        <w:rPr>
          <w:rFonts w:hint="eastAsia"/>
          <w:b/>
          <w:sz w:val="24"/>
        </w:rPr>
        <w:t>生活区：</w:t>
      </w:r>
    </w:p>
    <w:p>
      <w:pPr>
        <w:spacing w:line="420" w:lineRule="exact"/>
        <w:ind w:left="480"/>
        <w:rPr>
          <w:b/>
          <w:sz w:val="24"/>
        </w:rPr>
      </w:pPr>
      <w:r>
        <w:rPr>
          <w:rFonts w:hint="eastAsia"/>
          <w:b/>
          <w:sz w:val="24"/>
        </w:rPr>
        <w:t>1）食堂废气</w:t>
      </w:r>
    </w:p>
    <w:p>
      <w:pPr>
        <w:spacing w:line="420" w:lineRule="exact"/>
        <w:rPr>
          <w:sz w:val="24"/>
        </w:rPr>
      </w:pPr>
      <w:r>
        <w:rPr>
          <w:rFonts w:hint="eastAsia"/>
          <w:sz w:val="24"/>
        </w:rPr>
        <w:t xml:space="preserve">   施工营地设1座食堂，采用灌装液化气为燃料，产生的污染物主要为烹饪过程中产生的油烟废气。经类比，每人每日消耗动植物油约0.02kg/d，就餐人数以300人计算，则食堂油耗用量为2kg/d，在炒作时挥发损失按3%计，则一年内油烟产生量为0.06t。环评要求食堂设1套油烟机，食堂废气经抽油烟机抽至室外房顶高空排放，对周围环境影响较小。</w:t>
      </w:r>
    </w:p>
    <w:p>
      <w:pPr>
        <w:spacing w:line="420" w:lineRule="exact"/>
        <w:ind w:left="480"/>
        <w:rPr>
          <w:b/>
          <w:sz w:val="24"/>
        </w:rPr>
      </w:pPr>
      <w:r>
        <w:rPr>
          <w:rFonts w:hint="eastAsia"/>
          <w:b/>
          <w:sz w:val="24"/>
        </w:rPr>
        <w:t>2）生活污水废水</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生活区产生的废水主要为生活污水，按施工高峰期300人</w:t>
      </w:r>
      <w:r>
        <w:rPr>
          <w:rFonts w:cs="宋?"/>
          <w:kern w:val="0"/>
          <w:sz w:val="24"/>
        </w:rPr>
        <w:t>/d</w:t>
      </w:r>
      <w:r>
        <w:rPr>
          <w:rFonts w:hint="eastAsia" w:cs="宋?"/>
          <w:kern w:val="0"/>
          <w:sz w:val="24"/>
        </w:rPr>
        <w:t>，用水量</w:t>
      </w:r>
      <w:r>
        <w:rPr>
          <w:rFonts w:cs="宋?"/>
          <w:kern w:val="0"/>
          <w:sz w:val="24"/>
        </w:rPr>
        <w:t>30L/d</w:t>
      </w:r>
      <w:r>
        <w:rPr>
          <w:rFonts w:hint="eastAsia" w:cs="宋?"/>
          <w:kern w:val="0"/>
          <w:sz w:val="24"/>
        </w:rPr>
        <w:t>人，排水系数取</w:t>
      </w:r>
      <w:r>
        <w:rPr>
          <w:rFonts w:cs="宋?"/>
          <w:kern w:val="0"/>
          <w:sz w:val="24"/>
        </w:rPr>
        <w:t>0.8</w:t>
      </w:r>
      <w:r>
        <w:rPr>
          <w:rFonts w:hint="eastAsia" w:cs="宋?"/>
          <w:kern w:val="0"/>
          <w:sz w:val="24"/>
        </w:rPr>
        <w:t>计，污水最大产生量9.0</w:t>
      </w:r>
      <w:r>
        <w:rPr>
          <w:rFonts w:cs="宋?"/>
          <w:kern w:val="0"/>
          <w:sz w:val="24"/>
        </w:rPr>
        <w:t>m</w:t>
      </w:r>
      <w:r>
        <w:rPr>
          <w:rFonts w:cs="宋?"/>
          <w:kern w:val="0"/>
          <w:sz w:val="24"/>
          <w:vertAlign w:val="superscript"/>
        </w:rPr>
        <w:t>3</w:t>
      </w:r>
      <w:r>
        <w:rPr>
          <w:rFonts w:cs="宋?"/>
          <w:kern w:val="0"/>
          <w:sz w:val="24"/>
        </w:rPr>
        <w:t>/d</w:t>
      </w:r>
      <w:r>
        <w:rPr>
          <w:rFonts w:hint="eastAsia" w:cs="宋?"/>
          <w:kern w:val="0"/>
          <w:sz w:val="24"/>
        </w:rPr>
        <w:t>。排放生活污水的污染物主要有</w:t>
      </w:r>
      <w:r>
        <w:rPr>
          <w:rFonts w:cs="宋?"/>
          <w:kern w:val="0"/>
          <w:sz w:val="24"/>
        </w:rPr>
        <w:t>BOD</w:t>
      </w:r>
      <w:r>
        <w:rPr>
          <w:rFonts w:hint="eastAsia" w:cs="宋?"/>
          <w:kern w:val="0"/>
          <w:sz w:val="24"/>
          <w:vertAlign w:val="subscript"/>
        </w:rPr>
        <w:t>5</w:t>
      </w:r>
      <w:r>
        <w:rPr>
          <w:rFonts w:hint="eastAsia" w:cs="宋?"/>
          <w:kern w:val="0"/>
          <w:sz w:val="24"/>
        </w:rPr>
        <w:t>、</w:t>
      </w:r>
      <w:r>
        <w:rPr>
          <w:rFonts w:cs="宋?"/>
          <w:kern w:val="0"/>
          <w:sz w:val="24"/>
        </w:rPr>
        <w:t>COD</w:t>
      </w:r>
      <w:r>
        <w:rPr>
          <w:rFonts w:hint="eastAsia" w:cs="宋?"/>
          <w:kern w:val="0"/>
          <w:sz w:val="24"/>
        </w:rPr>
        <w:t>、氨氮等。施工期设一座10m</w:t>
      </w:r>
      <w:r>
        <w:rPr>
          <w:rFonts w:hint="eastAsia" w:cs="宋?"/>
          <w:kern w:val="0"/>
          <w:sz w:val="24"/>
          <w:vertAlign w:val="superscript"/>
        </w:rPr>
        <w:t>3</w:t>
      </w:r>
      <w:r>
        <w:rPr>
          <w:rFonts w:hint="eastAsia" w:cs="宋?"/>
          <w:kern w:val="0"/>
          <w:sz w:val="24"/>
        </w:rPr>
        <w:t>的沉淀池产生的生活污水经沉淀池沉淀后用于施工场地洒水抑尘。</w:t>
      </w:r>
    </w:p>
    <w:p>
      <w:pPr>
        <w:spacing w:line="420" w:lineRule="exact"/>
        <w:ind w:left="480"/>
        <w:rPr>
          <w:b/>
          <w:sz w:val="24"/>
        </w:rPr>
      </w:pPr>
      <w:r>
        <w:rPr>
          <w:rFonts w:hint="eastAsia"/>
          <w:b/>
          <w:sz w:val="24"/>
        </w:rPr>
        <w:t>3）固体废物</w:t>
      </w:r>
    </w:p>
    <w:p>
      <w:pPr>
        <w:spacing w:line="420" w:lineRule="exact"/>
        <w:ind w:firstLine="480" w:firstLineChars="200"/>
        <w:rPr>
          <w:sz w:val="24"/>
        </w:rPr>
      </w:pPr>
      <w:r>
        <w:rPr>
          <w:rFonts w:hint="eastAsia"/>
          <w:sz w:val="24"/>
        </w:rPr>
        <w:t>施工人员高峰期施工人数300人，生活垃圾按每人（工日）产生</w:t>
      </w:r>
      <w:r>
        <w:rPr>
          <w:sz w:val="24"/>
        </w:rPr>
        <w:t>0.5kg</w:t>
      </w:r>
      <w:r>
        <w:rPr>
          <w:rFonts w:hint="eastAsia"/>
          <w:sz w:val="24"/>
        </w:rPr>
        <w:t>计，施工期将产生15</w:t>
      </w:r>
      <w:r>
        <w:rPr>
          <w:sz w:val="24"/>
        </w:rPr>
        <w:t>kg/d</w:t>
      </w:r>
      <w:r>
        <w:rPr>
          <w:rFonts w:hint="eastAsia"/>
          <w:sz w:val="24"/>
        </w:rPr>
        <w:t>，集中收集后送岢岚县环卫部门制定地点处理。</w:t>
      </w:r>
    </w:p>
    <w:p>
      <w:pPr>
        <w:spacing w:line="420" w:lineRule="exact"/>
        <w:ind w:firstLine="480" w:firstLineChars="200"/>
        <w:rPr>
          <w:sz w:val="24"/>
        </w:rPr>
      </w:pPr>
      <w:r>
        <w:rPr>
          <w:rFonts w:hint="eastAsia"/>
          <w:sz w:val="24"/>
        </w:rPr>
        <w:t>施工营地工程组成见表18。</w:t>
      </w:r>
    </w:p>
    <w:p>
      <w:pPr>
        <w:spacing w:line="320" w:lineRule="exact"/>
        <w:ind w:firstLine="480" w:firstLineChars="200"/>
        <w:jc w:val="center"/>
        <w:rPr>
          <w:sz w:val="24"/>
        </w:rPr>
      </w:pPr>
      <w:r>
        <w:rPr>
          <w:rFonts w:hint="eastAsia"/>
          <w:sz w:val="24"/>
        </w:rPr>
        <w:t>表18  施工营地工程组成</w:t>
      </w:r>
    </w:p>
    <w:tbl>
      <w:tblPr>
        <w:tblW w:w="8972" w:type="dxa"/>
        <w:tblInd w:w="78"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left w:w="108" w:type="dxa"/>
          <w:right w:w="108" w:type="dxa"/>
        </w:tblCellMar>
      </w:tblPr>
      <w:tblGrid>
        <w:gridCol w:w="725"/>
        <w:gridCol w:w="1134"/>
        <w:gridCol w:w="883"/>
        <w:gridCol w:w="393"/>
        <w:gridCol w:w="708"/>
        <w:gridCol w:w="2551"/>
        <w:gridCol w:w="2578"/>
      </w:tblGrid>
      <w:tr>
        <w:trPr>
          <w:trHeight w:val="340" w:hRule="atLeast"/>
        </w:trPr>
        <w:tc>
          <w:tcPr>
            <w:tcW w:w="725" w:type="dxa"/>
            <w:vAlign w:val="center"/>
          </w:tcPr>
          <w:p>
            <w:pPr>
              <w:widowControl/>
              <w:spacing w:line="360" w:lineRule="exact"/>
              <w:jc w:val="center"/>
              <w:rPr>
                <w:kern w:val="0"/>
                <w:szCs w:val="21"/>
              </w:rPr>
            </w:pPr>
            <w:r>
              <w:rPr>
                <w:rFonts w:hint="eastAsia"/>
                <w:kern w:val="0"/>
                <w:szCs w:val="21"/>
              </w:rPr>
              <w:t>项目</w:t>
            </w:r>
          </w:p>
        </w:tc>
        <w:tc>
          <w:tcPr>
            <w:tcW w:w="2017" w:type="dxa"/>
            <w:gridSpan w:val="2"/>
            <w:vAlign w:val="center"/>
          </w:tcPr>
          <w:p>
            <w:pPr>
              <w:widowControl/>
              <w:spacing w:line="360" w:lineRule="exact"/>
              <w:jc w:val="center"/>
              <w:rPr>
                <w:kern w:val="0"/>
                <w:szCs w:val="21"/>
              </w:rPr>
            </w:pPr>
            <w:r>
              <w:rPr>
                <w:rFonts w:hint="eastAsia"/>
                <w:kern w:val="0"/>
                <w:szCs w:val="21"/>
              </w:rPr>
              <w:t>建筑名称</w:t>
            </w:r>
          </w:p>
        </w:tc>
        <w:tc>
          <w:tcPr>
            <w:tcW w:w="1101" w:type="dxa"/>
            <w:gridSpan w:val="2"/>
            <w:vAlign w:val="center"/>
          </w:tcPr>
          <w:p>
            <w:pPr>
              <w:widowControl/>
              <w:spacing w:line="360" w:lineRule="exact"/>
              <w:jc w:val="center"/>
              <w:rPr>
                <w:kern w:val="0"/>
                <w:szCs w:val="21"/>
              </w:rPr>
            </w:pPr>
            <w:r>
              <w:rPr>
                <w:rFonts w:hint="eastAsia"/>
                <w:kern w:val="0"/>
                <w:szCs w:val="21"/>
              </w:rPr>
              <w:t>个数</w:t>
            </w:r>
          </w:p>
        </w:tc>
        <w:tc>
          <w:tcPr>
            <w:tcW w:w="2551" w:type="dxa"/>
            <w:vAlign w:val="center"/>
          </w:tcPr>
          <w:p>
            <w:pPr>
              <w:widowControl/>
              <w:spacing w:line="360" w:lineRule="exact"/>
              <w:jc w:val="center"/>
              <w:rPr>
                <w:kern w:val="0"/>
                <w:szCs w:val="21"/>
              </w:rPr>
            </w:pPr>
            <w:r>
              <w:rPr>
                <w:kern w:val="0"/>
                <w:szCs w:val="21"/>
              </w:rPr>
              <w:t>建筑面积（m</w:t>
            </w:r>
            <w:r>
              <w:rPr>
                <w:kern w:val="0"/>
                <w:szCs w:val="21"/>
                <w:vertAlign w:val="superscript"/>
              </w:rPr>
              <w:t>2</w:t>
            </w:r>
            <w:r>
              <w:rPr>
                <w:kern w:val="0"/>
                <w:szCs w:val="21"/>
              </w:rPr>
              <w:t>）</w:t>
            </w:r>
          </w:p>
        </w:tc>
        <w:tc>
          <w:tcPr>
            <w:tcW w:w="2578" w:type="dxa"/>
            <w:vAlign w:val="center"/>
          </w:tcPr>
          <w:p>
            <w:pPr>
              <w:widowControl/>
              <w:spacing w:line="360" w:lineRule="exact"/>
              <w:jc w:val="center"/>
              <w:rPr>
                <w:kern w:val="0"/>
                <w:szCs w:val="21"/>
              </w:rPr>
            </w:pPr>
            <w:r>
              <w:rPr>
                <w:kern w:val="0"/>
                <w:szCs w:val="21"/>
              </w:rPr>
              <w:t>主要功能</w:t>
            </w:r>
          </w:p>
        </w:tc>
      </w:tr>
      <w:tr>
        <w:trPr>
          <w:trHeight w:val="340" w:hRule="atLeast"/>
        </w:trPr>
        <w:tc>
          <w:tcPr>
            <w:tcW w:w="725" w:type="dxa"/>
            <w:vMerge w:val="restart"/>
            <w:vAlign w:val="center"/>
          </w:tcPr>
          <w:p>
            <w:pPr>
              <w:widowControl/>
              <w:spacing w:line="360" w:lineRule="exact"/>
              <w:jc w:val="center"/>
              <w:rPr>
                <w:kern w:val="0"/>
                <w:szCs w:val="21"/>
              </w:rPr>
            </w:pPr>
            <w:r>
              <w:rPr>
                <w:rFonts w:hint="eastAsia"/>
                <w:kern w:val="0"/>
                <w:szCs w:val="21"/>
              </w:rPr>
              <w:t>主体工程</w:t>
            </w:r>
          </w:p>
        </w:tc>
        <w:tc>
          <w:tcPr>
            <w:tcW w:w="2017" w:type="dxa"/>
            <w:gridSpan w:val="2"/>
            <w:vAlign w:val="center"/>
          </w:tcPr>
          <w:p>
            <w:pPr>
              <w:widowControl/>
              <w:spacing w:line="360" w:lineRule="exact"/>
              <w:jc w:val="center"/>
              <w:rPr>
                <w:kern w:val="0"/>
                <w:szCs w:val="21"/>
              </w:rPr>
            </w:pPr>
            <w:r>
              <w:rPr>
                <w:rFonts w:hint="eastAsia"/>
                <w:kern w:val="0"/>
                <w:szCs w:val="21"/>
              </w:rPr>
              <w:t>临时生活房屋</w:t>
            </w:r>
          </w:p>
        </w:tc>
        <w:tc>
          <w:tcPr>
            <w:tcW w:w="1101" w:type="dxa"/>
            <w:gridSpan w:val="2"/>
            <w:vMerge w:val="restart"/>
            <w:vAlign w:val="center"/>
          </w:tcPr>
          <w:p>
            <w:pPr>
              <w:widowControl/>
              <w:spacing w:line="360" w:lineRule="exact"/>
              <w:jc w:val="center"/>
              <w:rPr>
                <w:kern w:val="0"/>
                <w:szCs w:val="21"/>
              </w:rPr>
            </w:pPr>
            <w:r>
              <w:rPr>
                <w:rFonts w:hint="eastAsia"/>
                <w:kern w:val="0"/>
                <w:szCs w:val="21"/>
              </w:rPr>
              <w:t>1处</w:t>
            </w:r>
          </w:p>
        </w:tc>
        <w:tc>
          <w:tcPr>
            <w:tcW w:w="2551" w:type="dxa"/>
            <w:vMerge w:val="restart"/>
            <w:vAlign w:val="center"/>
          </w:tcPr>
          <w:p>
            <w:pPr>
              <w:widowControl/>
              <w:spacing w:line="360" w:lineRule="exact"/>
              <w:jc w:val="center"/>
              <w:rPr>
                <w:kern w:val="0"/>
                <w:szCs w:val="21"/>
              </w:rPr>
            </w:pPr>
            <w:r>
              <w:rPr>
                <w:rFonts w:hint="eastAsia"/>
                <w:kern w:val="0"/>
                <w:szCs w:val="21"/>
              </w:rPr>
              <w:t>500</w:t>
            </w:r>
          </w:p>
        </w:tc>
        <w:tc>
          <w:tcPr>
            <w:tcW w:w="2578" w:type="dxa"/>
            <w:vAlign w:val="center"/>
          </w:tcPr>
          <w:p>
            <w:pPr>
              <w:widowControl/>
              <w:spacing w:line="360" w:lineRule="exact"/>
              <w:jc w:val="center"/>
              <w:rPr>
                <w:kern w:val="0"/>
                <w:szCs w:val="21"/>
              </w:rPr>
            </w:pPr>
            <w:r>
              <w:rPr>
                <w:rFonts w:hint="eastAsia"/>
                <w:kern w:val="0"/>
                <w:szCs w:val="21"/>
              </w:rPr>
              <w:t>施工人员住房</w:t>
            </w:r>
          </w:p>
        </w:tc>
      </w:tr>
      <w:tr>
        <w:trPr>
          <w:trHeight w:val="340" w:hRule="atLeast"/>
        </w:trPr>
        <w:tc>
          <w:tcPr>
            <w:tcW w:w="725" w:type="dxa"/>
            <w:vMerge w:val="continue"/>
            <w:vAlign w:val="center"/>
          </w:tcPr>
          <w:p>
            <w:pPr>
              <w:widowControl/>
              <w:spacing w:line="360" w:lineRule="exact"/>
              <w:jc w:val="center"/>
              <w:rPr>
                <w:kern w:val="0"/>
                <w:szCs w:val="21"/>
              </w:rPr>
            </w:pPr>
          </w:p>
        </w:tc>
        <w:tc>
          <w:tcPr>
            <w:tcW w:w="2017" w:type="dxa"/>
            <w:gridSpan w:val="2"/>
            <w:vAlign w:val="center"/>
          </w:tcPr>
          <w:p>
            <w:pPr>
              <w:widowControl/>
              <w:spacing w:line="360" w:lineRule="exact"/>
              <w:jc w:val="center"/>
              <w:rPr>
                <w:kern w:val="0"/>
                <w:szCs w:val="21"/>
              </w:rPr>
            </w:pPr>
            <w:r>
              <w:rPr>
                <w:rFonts w:hint="eastAsia"/>
                <w:kern w:val="0"/>
                <w:szCs w:val="21"/>
              </w:rPr>
              <w:t>临时食堂</w:t>
            </w:r>
          </w:p>
        </w:tc>
        <w:tc>
          <w:tcPr>
            <w:tcW w:w="1101" w:type="dxa"/>
            <w:gridSpan w:val="2"/>
            <w:vMerge w:val="continue"/>
            <w:vAlign w:val="center"/>
          </w:tcPr>
          <w:p>
            <w:pPr>
              <w:widowControl/>
              <w:spacing w:line="360" w:lineRule="exact"/>
              <w:jc w:val="center"/>
              <w:rPr>
                <w:kern w:val="0"/>
                <w:szCs w:val="21"/>
              </w:rPr>
            </w:pPr>
          </w:p>
        </w:tc>
        <w:tc>
          <w:tcPr>
            <w:tcW w:w="2551" w:type="dxa"/>
            <w:vMerge w:val="continue"/>
            <w:vAlign w:val="center"/>
          </w:tcPr>
          <w:p>
            <w:pPr>
              <w:widowControl/>
              <w:spacing w:line="360" w:lineRule="exact"/>
              <w:jc w:val="center"/>
              <w:rPr>
                <w:kern w:val="0"/>
                <w:szCs w:val="21"/>
              </w:rPr>
            </w:pPr>
          </w:p>
        </w:tc>
        <w:tc>
          <w:tcPr>
            <w:tcW w:w="2578" w:type="dxa"/>
            <w:vAlign w:val="center"/>
          </w:tcPr>
          <w:p>
            <w:pPr>
              <w:spacing w:line="360" w:lineRule="exact"/>
              <w:jc w:val="center"/>
              <w:rPr>
                <w:kern w:val="0"/>
                <w:szCs w:val="21"/>
              </w:rPr>
            </w:pPr>
            <w:r>
              <w:rPr>
                <w:rFonts w:hint="eastAsia"/>
                <w:kern w:val="0"/>
                <w:szCs w:val="21"/>
              </w:rPr>
              <w:t>职工餐饮</w:t>
            </w:r>
          </w:p>
        </w:tc>
      </w:tr>
      <w:tr>
        <w:trPr>
          <w:trHeight w:val="340" w:hRule="atLeast"/>
        </w:trPr>
        <w:tc>
          <w:tcPr>
            <w:tcW w:w="725" w:type="dxa"/>
            <w:vAlign w:val="center"/>
          </w:tcPr>
          <w:p>
            <w:pPr>
              <w:widowControl/>
              <w:spacing w:line="360" w:lineRule="exact"/>
              <w:jc w:val="center"/>
              <w:rPr>
                <w:kern w:val="0"/>
                <w:szCs w:val="21"/>
              </w:rPr>
            </w:pPr>
            <w:r>
              <w:rPr>
                <w:rFonts w:hint="eastAsia"/>
                <w:kern w:val="0"/>
                <w:szCs w:val="21"/>
              </w:rPr>
              <w:t>辅助工程</w:t>
            </w:r>
          </w:p>
        </w:tc>
        <w:tc>
          <w:tcPr>
            <w:tcW w:w="2017" w:type="dxa"/>
            <w:gridSpan w:val="2"/>
            <w:vAlign w:val="center"/>
          </w:tcPr>
          <w:p>
            <w:pPr>
              <w:widowControl/>
              <w:spacing w:line="360" w:lineRule="exact"/>
              <w:jc w:val="center"/>
              <w:rPr>
                <w:kern w:val="0"/>
                <w:szCs w:val="21"/>
              </w:rPr>
            </w:pPr>
            <w:r>
              <w:rPr>
                <w:rFonts w:hint="eastAsia"/>
                <w:kern w:val="0"/>
                <w:szCs w:val="21"/>
              </w:rPr>
              <w:t>库房</w:t>
            </w:r>
          </w:p>
        </w:tc>
        <w:tc>
          <w:tcPr>
            <w:tcW w:w="1101" w:type="dxa"/>
            <w:gridSpan w:val="2"/>
            <w:vAlign w:val="center"/>
          </w:tcPr>
          <w:p>
            <w:pPr>
              <w:widowControl/>
              <w:spacing w:line="360" w:lineRule="exact"/>
              <w:jc w:val="center"/>
              <w:rPr>
                <w:kern w:val="0"/>
                <w:szCs w:val="21"/>
              </w:rPr>
            </w:pPr>
            <w:r>
              <w:rPr>
                <w:rFonts w:hint="eastAsia"/>
                <w:kern w:val="0"/>
                <w:szCs w:val="21"/>
              </w:rPr>
              <w:t>1座</w:t>
            </w:r>
          </w:p>
        </w:tc>
        <w:tc>
          <w:tcPr>
            <w:tcW w:w="2551" w:type="dxa"/>
            <w:vAlign w:val="center"/>
          </w:tcPr>
          <w:p>
            <w:pPr>
              <w:widowControl/>
              <w:spacing w:line="360" w:lineRule="exact"/>
              <w:jc w:val="center"/>
              <w:rPr>
                <w:kern w:val="0"/>
                <w:szCs w:val="21"/>
              </w:rPr>
            </w:pPr>
            <w:r>
              <w:rPr>
                <w:rFonts w:hint="eastAsia"/>
                <w:kern w:val="0"/>
                <w:szCs w:val="21"/>
              </w:rPr>
              <w:t>200</w:t>
            </w:r>
          </w:p>
        </w:tc>
        <w:tc>
          <w:tcPr>
            <w:tcW w:w="2578" w:type="dxa"/>
            <w:vAlign w:val="center"/>
          </w:tcPr>
          <w:p>
            <w:pPr>
              <w:spacing w:line="360" w:lineRule="exact"/>
              <w:jc w:val="center"/>
              <w:rPr>
                <w:kern w:val="0"/>
                <w:szCs w:val="21"/>
              </w:rPr>
            </w:pPr>
            <w:r>
              <w:rPr>
                <w:rFonts w:hint="eastAsia"/>
                <w:kern w:val="0"/>
                <w:szCs w:val="21"/>
              </w:rPr>
              <w:t>用于存放维修辅助设备</w:t>
            </w:r>
          </w:p>
        </w:tc>
      </w:tr>
      <w:tr>
        <w:trPr>
          <w:trHeight w:val="340" w:hRule="atLeast"/>
        </w:trPr>
        <w:tc>
          <w:tcPr>
            <w:tcW w:w="725" w:type="dxa"/>
            <w:vAlign w:val="center"/>
          </w:tcPr>
          <w:p>
            <w:pPr>
              <w:widowControl/>
              <w:spacing w:line="360" w:lineRule="exact"/>
              <w:jc w:val="center"/>
              <w:rPr>
                <w:kern w:val="0"/>
                <w:szCs w:val="21"/>
              </w:rPr>
            </w:pPr>
            <w:r>
              <w:rPr>
                <w:rFonts w:hint="eastAsia"/>
                <w:kern w:val="0"/>
                <w:szCs w:val="21"/>
              </w:rPr>
              <w:t>储运工程</w:t>
            </w:r>
          </w:p>
        </w:tc>
        <w:tc>
          <w:tcPr>
            <w:tcW w:w="2017" w:type="dxa"/>
            <w:gridSpan w:val="2"/>
            <w:vAlign w:val="center"/>
          </w:tcPr>
          <w:p>
            <w:pPr>
              <w:widowControl/>
              <w:spacing w:line="360" w:lineRule="exact"/>
              <w:jc w:val="center"/>
              <w:rPr>
                <w:kern w:val="0"/>
                <w:szCs w:val="21"/>
              </w:rPr>
            </w:pPr>
            <w:r>
              <w:rPr>
                <w:rFonts w:hint="eastAsia"/>
                <w:kern w:val="0"/>
                <w:szCs w:val="21"/>
              </w:rPr>
              <w:t>运输路线</w:t>
            </w:r>
          </w:p>
        </w:tc>
        <w:tc>
          <w:tcPr>
            <w:tcW w:w="6230" w:type="dxa"/>
            <w:gridSpan w:val="4"/>
            <w:vAlign w:val="center"/>
          </w:tcPr>
          <w:p>
            <w:pPr>
              <w:spacing w:line="360" w:lineRule="exact"/>
              <w:jc w:val="center"/>
              <w:rPr>
                <w:szCs w:val="21"/>
              </w:rPr>
            </w:pPr>
            <w:r>
              <w:rPr>
                <w:rFonts w:hint="eastAsia"/>
                <w:szCs w:val="21"/>
              </w:rPr>
              <w:t>本项目施工期</w:t>
            </w:r>
            <w:r>
              <w:rPr>
                <w:szCs w:val="21"/>
              </w:rPr>
              <w:t>修建场内</w:t>
            </w:r>
            <w:r>
              <w:rPr>
                <w:rFonts w:hint="eastAsia"/>
                <w:szCs w:val="21"/>
              </w:rPr>
              <w:t>现有长4.0km，宽2.0m的土路与外界道路连接，本项目需对既有道路进行改造，拓宽为4.5m的碎石路面，施工材料由该道路运至施工区内，同时做好防尘管理</w:t>
            </w:r>
          </w:p>
        </w:tc>
      </w:tr>
      <w:tr>
        <w:trPr>
          <w:trHeight w:val="340" w:hRule="atLeast"/>
        </w:trPr>
        <w:tc>
          <w:tcPr>
            <w:tcW w:w="725" w:type="dxa"/>
            <w:vMerge w:val="restart"/>
            <w:vAlign w:val="center"/>
          </w:tcPr>
          <w:p>
            <w:pPr>
              <w:widowControl/>
              <w:spacing w:line="360" w:lineRule="exact"/>
              <w:jc w:val="center"/>
              <w:rPr>
                <w:kern w:val="0"/>
                <w:szCs w:val="21"/>
              </w:rPr>
            </w:pPr>
            <w:r>
              <w:rPr>
                <w:rFonts w:hint="eastAsia"/>
                <w:kern w:val="0"/>
                <w:szCs w:val="21"/>
              </w:rPr>
              <w:t>公用工程</w:t>
            </w:r>
          </w:p>
        </w:tc>
        <w:tc>
          <w:tcPr>
            <w:tcW w:w="1134" w:type="dxa"/>
            <w:vAlign w:val="center"/>
          </w:tcPr>
          <w:p>
            <w:pPr>
              <w:widowControl/>
              <w:spacing w:line="360" w:lineRule="exact"/>
              <w:jc w:val="center"/>
              <w:rPr>
                <w:kern w:val="0"/>
                <w:szCs w:val="21"/>
              </w:rPr>
            </w:pPr>
            <w:r>
              <w:rPr>
                <w:rFonts w:hint="eastAsia"/>
                <w:kern w:val="0"/>
                <w:szCs w:val="21"/>
              </w:rPr>
              <w:t>给水工程</w:t>
            </w:r>
          </w:p>
        </w:tc>
        <w:tc>
          <w:tcPr>
            <w:tcW w:w="7113" w:type="dxa"/>
            <w:gridSpan w:val="5"/>
            <w:vAlign w:val="center"/>
          </w:tcPr>
          <w:p>
            <w:pPr>
              <w:widowControl/>
              <w:spacing w:line="360" w:lineRule="exact"/>
              <w:jc w:val="center"/>
              <w:rPr>
                <w:kern w:val="0"/>
                <w:szCs w:val="21"/>
              </w:rPr>
            </w:pPr>
            <w:r>
              <w:rPr>
                <w:szCs w:val="21"/>
              </w:rPr>
              <w:t>生活用水</w:t>
            </w:r>
            <w:r>
              <w:rPr>
                <w:rFonts w:hint="eastAsia"/>
                <w:szCs w:val="21"/>
              </w:rPr>
              <w:t>由</w:t>
            </w:r>
            <w:r>
              <w:rPr>
                <w:szCs w:val="21"/>
              </w:rPr>
              <w:t>附近村庄购买。</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Align w:val="center"/>
          </w:tcPr>
          <w:p>
            <w:pPr>
              <w:widowControl/>
              <w:spacing w:line="360" w:lineRule="exact"/>
              <w:jc w:val="center"/>
              <w:rPr>
                <w:kern w:val="0"/>
                <w:szCs w:val="21"/>
              </w:rPr>
            </w:pPr>
            <w:r>
              <w:rPr>
                <w:rFonts w:hint="eastAsia"/>
                <w:kern w:val="0"/>
                <w:szCs w:val="21"/>
              </w:rPr>
              <w:t>排水工程</w:t>
            </w:r>
          </w:p>
        </w:tc>
        <w:tc>
          <w:tcPr>
            <w:tcW w:w="7113" w:type="dxa"/>
            <w:gridSpan w:val="5"/>
            <w:vAlign w:val="center"/>
          </w:tcPr>
          <w:p>
            <w:pPr>
              <w:widowControl/>
              <w:spacing w:line="360" w:lineRule="exact"/>
              <w:jc w:val="center"/>
              <w:rPr>
                <w:kern w:val="0"/>
                <w:szCs w:val="21"/>
              </w:rPr>
            </w:pPr>
            <w:r>
              <w:rPr>
                <w:rFonts w:hint="eastAsia"/>
                <w:kern w:val="0"/>
                <w:szCs w:val="21"/>
              </w:rPr>
              <w:t>①生活污水设沉淀池收集，沉淀处理后用于场地洒水；</w:t>
            </w:r>
          </w:p>
          <w:p>
            <w:pPr>
              <w:widowControl/>
              <w:spacing w:line="360" w:lineRule="exact"/>
              <w:jc w:val="center"/>
              <w:rPr>
                <w:kern w:val="0"/>
                <w:szCs w:val="21"/>
              </w:rPr>
            </w:pPr>
            <w:r>
              <w:rPr>
                <w:rFonts w:hint="eastAsia"/>
                <w:kern w:val="0"/>
                <w:szCs w:val="21"/>
              </w:rPr>
              <w:t>②食堂废水排入旱厕，定期清掏可用于农田施肥。</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Align w:val="center"/>
          </w:tcPr>
          <w:p>
            <w:pPr>
              <w:widowControl/>
              <w:spacing w:line="360" w:lineRule="exact"/>
              <w:jc w:val="center"/>
              <w:rPr>
                <w:kern w:val="0"/>
                <w:szCs w:val="21"/>
              </w:rPr>
            </w:pPr>
            <w:r>
              <w:rPr>
                <w:rFonts w:hint="eastAsia"/>
                <w:kern w:val="0"/>
                <w:szCs w:val="21"/>
              </w:rPr>
              <w:t>供热工程</w:t>
            </w:r>
          </w:p>
        </w:tc>
        <w:tc>
          <w:tcPr>
            <w:tcW w:w="7113" w:type="dxa"/>
            <w:gridSpan w:val="5"/>
            <w:vAlign w:val="center"/>
          </w:tcPr>
          <w:p>
            <w:pPr>
              <w:widowControl/>
              <w:spacing w:line="360" w:lineRule="exact"/>
              <w:jc w:val="center"/>
              <w:rPr>
                <w:kern w:val="0"/>
                <w:szCs w:val="21"/>
              </w:rPr>
            </w:pPr>
            <w:r>
              <w:rPr>
                <w:rFonts w:hint="eastAsia"/>
                <w:kern w:val="0"/>
                <w:szCs w:val="21"/>
              </w:rPr>
              <w:t>冬季采暖使用电暖气</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Align w:val="center"/>
          </w:tcPr>
          <w:p>
            <w:pPr>
              <w:widowControl/>
              <w:spacing w:line="360" w:lineRule="exact"/>
              <w:jc w:val="center"/>
              <w:rPr>
                <w:kern w:val="0"/>
                <w:szCs w:val="21"/>
              </w:rPr>
            </w:pPr>
            <w:r>
              <w:rPr>
                <w:rFonts w:hint="eastAsia"/>
                <w:kern w:val="0"/>
                <w:szCs w:val="21"/>
              </w:rPr>
              <w:t>供电工程</w:t>
            </w:r>
          </w:p>
        </w:tc>
        <w:tc>
          <w:tcPr>
            <w:tcW w:w="7113" w:type="dxa"/>
            <w:gridSpan w:val="5"/>
            <w:vAlign w:val="center"/>
          </w:tcPr>
          <w:p>
            <w:pPr>
              <w:widowControl/>
              <w:spacing w:line="360" w:lineRule="exact"/>
              <w:jc w:val="center"/>
              <w:rPr>
                <w:kern w:val="0"/>
                <w:szCs w:val="21"/>
              </w:rPr>
            </w:pPr>
            <w:r>
              <w:rPr>
                <w:rFonts w:hint="eastAsia"/>
                <w:kern w:val="0"/>
                <w:szCs w:val="21"/>
              </w:rPr>
              <w:t>自备柴油发电机</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Align w:val="center"/>
          </w:tcPr>
          <w:p>
            <w:pPr>
              <w:widowControl/>
              <w:spacing w:line="360" w:lineRule="exact"/>
              <w:jc w:val="center"/>
              <w:rPr>
                <w:kern w:val="0"/>
                <w:szCs w:val="21"/>
              </w:rPr>
            </w:pPr>
            <w:r>
              <w:rPr>
                <w:rFonts w:hint="eastAsia"/>
                <w:kern w:val="0"/>
                <w:szCs w:val="21"/>
              </w:rPr>
              <w:t>燃气工程</w:t>
            </w:r>
          </w:p>
        </w:tc>
        <w:tc>
          <w:tcPr>
            <w:tcW w:w="7113" w:type="dxa"/>
            <w:gridSpan w:val="5"/>
            <w:vAlign w:val="center"/>
          </w:tcPr>
          <w:p>
            <w:pPr>
              <w:widowControl/>
              <w:spacing w:line="360" w:lineRule="exact"/>
              <w:jc w:val="center"/>
              <w:rPr>
                <w:kern w:val="0"/>
                <w:szCs w:val="21"/>
              </w:rPr>
            </w:pPr>
            <w:r>
              <w:rPr>
                <w:rFonts w:hint="eastAsia"/>
                <w:kern w:val="0"/>
                <w:szCs w:val="21"/>
              </w:rPr>
              <w:t>食堂燃料使用灌装石油液化气。</w:t>
            </w:r>
          </w:p>
        </w:tc>
      </w:tr>
      <w:tr>
        <w:trPr>
          <w:trHeight w:val="340" w:hRule="atLeast"/>
        </w:trPr>
        <w:tc>
          <w:tcPr>
            <w:tcW w:w="725" w:type="dxa"/>
            <w:vMerge w:val="restart"/>
            <w:vAlign w:val="center"/>
          </w:tcPr>
          <w:p>
            <w:pPr>
              <w:widowControl/>
              <w:spacing w:line="360" w:lineRule="exact"/>
              <w:jc w:val="center"/>
              <w:rPr>
                <w:kern w:val="0"/>
                <w:szCs w:val="21"/>
              </w:rPr>
            </w:pPr>
            <w:r>
              <w:rPr>
                <w:rFonts w:hint="eastAsia"/>
                <w:kern w:val="0"/>
                <w:szCs w:val="21"/>
              </w:rPr>
              <w:t>环保工程</w:t>
            </w:r>
          </w:p>
        </w:tc>
        <w:tc>
          <w:tcPr>
            <w:tcW w:w="1134" w:type="dxa"/>
            <w:vAlign w:val="center"/>
          </w:tcPr>
          <w:p>
            <w:pPr>
              <w:widowControl/>
              <w:spacing w:line="360" w:lineRule="exact"/>
              <w:jc w:val="center"/>
              <w:rPr>
                <w:kern w:val="0"/>
                <w:szCs w:val="21"/>
              </w:rPr>
            </w:pPr>
            <w:r>
              <w:rPr>
                <w:rFonts w:hint="eastAsia"/>
                <w:kern w:val="0"/>
                <w:szCs w:val="21"/>
              </w:rPr>
              <w:t>环境空气</w:t>
            </w:r>
          </w:p>
        </w:tc>
        <w:tc>
          <w:tcPr>
            <w:tcW w:w="1276" w:type="dxa"/>
            <w:gridSpan w:val="2"/>
            <w:vAlign w:val="center"/>
          </w:tcPr>
          <w:p>
            <w:pPr>
              <w:spacing w:line="360" w:lineRule="exact"/>
              <w:jc w:val="center"/>
              <w:rPr>
                <w:szCs w:val="21"/>
              </w:rPr>
            </w:pPr>
            <w:r>
              <w:rPr>
                <w:rFonts w:hint="eastAsia"/>
                <w:szCs w:val="21"/>
              </w:rPr>
              <w:t>食堂废气</w:t>
            </w:r>
          </w:p>
        </w:tc>
        <w:tc>
          <w:tcPr>
            <w:tcW w:w="5837" w:type="dxa"/>
            <w:gridSpan w:val="3"/>
            <w:vAlign w:val="center"/>
          </w:tcPr>
          <w:p>
            <w:pPr>
              <w:spacing w:line="360" w:lineRule="exact"/>
              <w:jc w:val="center"/>
              <w:rPr>
                <w:szCs w:val="21"/>
              </w:rPr>
            </w:pPr>
            <w:r>
              <w:rPr>
                <w:rFonts w:hint="eastAsia"/>
                <w:szCs w:val="21"/>
              </w:rPr>
              <w:t>施工营地食堂采用灌装液化气；食堂废气经油烟机抽至高空后排放</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Merge w:val="restart"/>
            <w:vAlign w:val="center"/>
          </w:tcPr>
          <w:p>
            <w:pPr>
              <w:widowControl/>
              <w:spacing w:line="360" w:lineRule="exact"/>
              <w:jc w:val="center"/>
              <w:rPr>
                <w:kern w:val="0"/>
                <w:szCs w:val="21"/>
              </w:rPr>
            </w:pPr>
            <w:r>
              <w:rPr>
                <w:rFonts w:hint="eastAsia"/>
                <w:kern w:val="0"/>
                <w:szCs w:val="21"/>
              </w:rPr>
              <w:t>水环境</w:t>
            </w:r>
          </w:p>
        </w:tc>
        <w:tc>
          <w:tcPr>
            <w:tcW w:w="1276" w:type="dxa"/>
            <w:gridSpan w:val="2"/>
            <w:vAlign w:val="center"/>
          </w:tcPr>
          <w:p>
            <w:pPr>
              <w:spacing w:line="360" w:lineRule="exact"/>
              <w:jc w:val="center"/>
              <w:rPr>
                <w:szCs w:val="21"/>
              </w:rPr>
            </w:pPr>
            <w:r>
              <w:rPr>
                <w:rFonts w:hint="eastAsia"/>
                <w:szCs w:val="21"/>
              </w:rPr>
              <w:t>生活污水</w:t>
            </w:r>
          </w:p>
        </w:tc>
        <w:tc>
          <w:tcPr>
            <w:tcW w:w="5837" w:type="dxa"/>
            <w:gridSpan w:val="3"/>
            <w:vAlign w:val="center"/>
          </w:tcPr>
          <w:p>
            <w:pPr>
              <w:spacing w:line="360" w:lineRule="exact"/>
              <w:jc w:val="center"/>
              <w:rPr>
                <w:szCs w:val="21"/>
              </w:rPr>
            </w:pPr>
            <w:r>
              <w:rPr>
                <w:rFonts w:hint="eastAsia"/>
                <w:szCs w:val="21"/>
              </w:rPr>
              <w:t>在施工营地设1座10m</w:t>
            </w:r>
            <w:r>
              <w:rPr>
                <w:rFonts w:hint="eastAsia"/>
                <w:szCs w:val="21"/>
                <w:vertAlign w:val="superscript"/>
              </w:rPr>
              <w:t>3</w:t>
            </w:r>
            <w:r>
              <w:rPr>
                <w:rFonts w:hint="eastAsia"/>
                <w:szCs w:val="21"/>
              </w:rPr>
              <w:t>的沉淀池。生活污水经沉淀池沉淀后，用于施工场地洒水，禁止直接向河道排放。施工期结束后，不再利用的沉淀池要及时拆除，坑穴表面要进行消毒，用净土或建筑渣土填平、压实。</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Merge w:val="continue"/>
            <w:vAlign w:val="center"/>
          </w:tcPr>
          <w:p>
            <w:pPr>
              <w:widowControl/>
              <w:spacing w:line="360" w:lineRule="exact"/>
              <w:jc w:val="center"/>
              <w:rPr>
                <w:kern w:val="0"/>
                <w:szCs w:val="21"/>
              </w:rPr>
            </w:pPr>
          </w:p>
        </w:tc>
        <w:tc>
          <w:tcPr>
            <w:tcW w:w="1276" w:type="dxa"/>
            <w:gridSpan w:val="2"/>
            <w:vAlign w:val="center"/>
          </w:tcPr>
          <w:p>
            <w:pPr>
              <w:spacing w:line="360" w:lineRule="exact"/>
              <w:jc w:val="center"/>
              <w:rPr>
                <w:szCs w:val="21"/>
              </w:rPr>
            </w:pPr>
            <w:r>
              <w:rPr>
                <w:rFonts w:hint="eastAsia"/>
                <w:szCs w:val="21"/>
              </w:rPr>
              <w:t>食堂废水</w:t>
            </w:r>
          </w:p>
        </w:tc>
        <w:tc>
          <w:tcPr>
            <w:tcW w:w="5837" w:type="dxa"/>
            <w:gridSpan w:val="3"/>
            <w:vAlign w:val="center"/>
          </w:tcPr>
          <w:p>
            <w:pPr>
              <w:spacing w:line="360" w:lineRule="exact"/>
              <w:jc w:val="center"/>
              <w:rPr>
                <w:szCs w:val="21"/>
              </w:rPr>
            </w:pPr>
            <w:r>
              <w:rPr>
                <w:rFonts w:hint="eastAsia"/>
                <w:szCs w:val="21"/>
              </w:rPr>
              <w:t>施工区设旱厕，食堂废水排入旱厕，</w:t>
            </w:r>
            <w:r>
              <w:rPr>
                <w:rFonts w:hint="eastAsia"/>
                <w:kern w:val="0"/>
                <w:szCs w:val="21"/>
              </w:rPr>
              <w:t>定期清掏可用于农田施肥。</w:t>
            </w:r>
          </w:p>
        </w:tc>
      </w:tr>
      <w:tr>
        <w:trPr>
          <w:trHeight w:val="340" w:hRule="atLeast"/>
        </w:trPr>
        <w:tc>
          <w:tcPr>
            <w:tcW w:w="725" w:type="dxa"/>
            <w:vMerge w:val="continue"/>
            <w:vAlign w:val="center"/>
          </w:tcPr>
          <w:p>
            <w:pPr>
              <w:widowControl/>
              <w:spacing w:line="360" w:lineRule="exact"/>
              <w:jc w:val="center"/>
              <w:rPr>
                <w:kern w:val="0"/>
                <w:szCs w:val="21"/>
              </w:rPr>
            </w:pPr>
          </w:p>
        </w:tc>
        <w:tc>
          <w:tcPr>
            <w:tcW w:w="1134" w:type="dxa"/>
            <w:vAlign w:val="center"/>
          </w:tcPr>
          <w:p>
            <w:pPr>
              <w:widowControl/>
              <w:spacing w:line="360" w:lineRule="exact"/>
              <w:jc w:val="center"/>
              <w:rPr>
                <w:kern w:val="0"/>
                <w:szCs w:val="21"/>
              </w:rPr>
            </w:pPr>
            <w:r>
              <w:rPr>
                <w:rFonts w:hint="eastAsia"/>
                <w:kern w:val="0"/>
                <w:szCs w:val="21"/>
              </w:rPr>
              <w:t>固体废物</w:t>
            </w:r>
          </w:p>
        </w:tc>
        <w:tc>
          <w:tcPr>
            <w:tcW w:w="1276" w:type="dxa"/>
            <w:gridSpan w:val="2"/>
            <w:vAlign w:val="center"/>
          </w:tcPr>
          <w:p>
            <w:pPr>
              <w:spacing w:line="360" w:lineRule="exact"/>
              <w:jc w:val="center"/>
              <w:rPr>
                <w:szCs w:val="21"/>
              </w:rPr>
            </w:pPr>
            <w:r>
              <w:rPr>
                <w:rFonts w:hint="eastAsia"/>
                <w:szCs w:val="21"/>
              </w:rPr>
              <w:t>生活垃圾</w:t>
            </w:r>
          </w:p>
        </w:tc>
        <w:tc>
          <w:tcPr>
            <w:tcW w:w="5837" w:type="dxa"/>
            <w:gridSpan w:val="3"/>
            <w:vAlign w:val="center"/>
          </w:tcPr>
          <w:p>
            <w:pPr>
              <w:spacing w:line="360" w:lineRule="exact"/>
              <w:jc w:val="center"/>
              <w:rPr>
                <w:szCs w:val="21"/>
              </w:rPr>
            </w:pPr>
            <w:r>
              <w:rPr>
                <w:rFonts w:hint="eastAsia"/>
                <w:szCs w:val="21"/>
              </w:rPr>
              <w:t>施工营地设</w:t>
            </w:r>
            <w:r>
              <w:rPr>
                <w:szCs w:val="21"/>
              </w:rPr>
              <w:t>垃圾收集桶生活垃圾</w:t>
            </w:r>
            <w:r>
              <w:rPr>
                <w:rFonts w:hint="eastAsia"/>
                <w:szCs w:val="21"/>
              </w:rPr>
              <w:t>，送当地</w:t>
            </w:r>
            <w:r>
              <w:rPr>
                <w:szCs w:val="21"/>
              </w:rPr>
              <w:t>环卫部门</w:t>
            </w:r>
            <w:r>
              <w:rPr>
                <w:rFonts w:hint="eastAsia"/>
                <w:szCs w:val="21"/>
              </w:rPr>
              <w:t>指定地点</w:t>
            </w:r>
            <w:r>
              <w:rPr>
                <w:szCs w:val="21"/>
              </w:rPr>
              <w:t>统一处理</w:t>
            </w:r>
          </w:p>
        </w:tc>
      </w:tr>
    </w:tbl>
    <w:p>
      <w:pPr>
        <w:pStyle w:val="29"/>
        <w:wordWrap w:val="0"/>
        <w:adjustRightInd w:val="0"/>
        <w:snapToGrid w:val="0"/>
        <w:spacing w:before="0" w:beforeAutospacing="0" w:after="0" w:afterAutospacing="0" w:line="440" w:lineRule="exact"/>
        <w:jc w:val="both"/>
        <w:rPr>
          <w:rFonts w:ascii="Times New Roman" w:hAnsi="Times New Roman" w:cs="Times New Roman"/>
          <w:b/>
          <w:kern w:val="2"/>
        </w:rPr>
      </w:pPr>
      <w:r>
        <w:rPr>
          <w:rFonts w:hint="eastAsia" w:ascii="Times New Roman" w:hAnsi="Times New Roman" w:cs="Times New Roman"/>
          <w:b/>
          <w:kern w:val="2"/>
        </w:rPr>
        <w:t xml:space="preserve">   生产区:</w:t>
      </w:r>
    </w:p>
    <w:p>
      <w:pPr>
        <w:pStyle w:val="29"/>
        <w:wordWrap w:val="0"/>
        <w:adjustRightInd w:val="0"/>
        <w:snapToGrid w:val="0"/>
        <w:spacing w:before="0" w:beforeAutospacing="0" w:after="0" w:afterAutospacing="0" w:line="440" w:lineRule="exact"/>
        <w:ind w:firstLine="482" w:firstLineChars="200"/>
        <w:jc w:val="both"/>
        <w:rPr>
          <w:rFonts w:ascii="Times New Roman" w:hAnsi="Times New Roman" w:cs="Times New Roman"/>
          <w:b/>
          <w:kern w:val="2"/>
        </w:rPr>
      </w:pPr>
      <w:r>
        <w:rPr>
          <w:rFonts w:hint="eastAsia" w:ascii="Times New Roman" w:hAnsi="Times New Roman" w:cs="Times New Roman"/>
          <w:b/>
          <w:kern w:val="2"/>
        </w:rPr>
        <w:t>1）生态影响</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（1）施工期</w:t>
      </w:r>
      <w:r>
        <w:rPr>
          <w:rFonts w:ascii="Times New Roman" w:hAnsi="Times New Roman" w:cs="Times New Roman"/>
        </w:rPr>
        <w:t>生态影响</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征占地：本项目工程永久占地</w:t>
      </w:r>
      <w:r>
        <w:rPr>
          <w:rFonts w:hint="eastAsia" w:ascii="Times New Roman" w:hAnsi="Times New Roman" w:cs="Times New Roman"/>
        </w:rPr>
        <w:t>面积1056</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，占地类型</w:t>
      </w:r>
      <w:r>
        <w:rPr>
          <w:rFonts w:hint="eastAsia" w:ascii="Times New Roman" w:hAnsi="Times New Roman" w:cs="Times New Roman"/>
        </w:rPr>
        <w:t>主要</w:t>
      </w:r>
      <w:r>
        <w:rPr>
          <w:rFonts w:ascii="Times New Roman" w:hAnsi="Times New Roman" w:cs="Times New Roman"/>
        </w:rPr>
        <w:t>为</w:t>
      </w:r>
      <w:r>
        <w:rPr>
          <w:rFonts w:hint="eastAsia" w:ascii="Times New Roman" w:hAnsi="Times New Roman" w:cs="Times New Roman"/>
        </w:rPr>
        <w:t>灌木林地，</w:t>
      </w:r>
      <w:r>
        <w:rPr>
          <w:rFonts w:ascii="Times New Roman" w:hAnsi="Times New Roman" w:cs="Times New Roman"/>
        </w:rPr>
        <w:t>项目建成后将改变土地原属性，变为建设用地，从而使土地利用格局永久发生变化。</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另外施工临时占地也在短期内改变原土地类型，待施工结束后恢复到原地貌，还原原土地属性。</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rPr>
        <w:t>②</w:t>
      </w:r>
      <w:r>
        <w:rPr>
          <w:rFonts w:ascii="Times New Roman" w:hAnsi="Times New Roman" w:cs="Times New Roman"/>
        </w:rPr>
        <w:t>植被破坏：施工期对生态系统最直接的影响始于场地清理，用地范围内的地表植被在施工前均被砍伐或破坏。其中临时占地可以通过人工绿化或建成后自然恢复等方式恢复植被；但永久占地将导致道路沿线和站场植被覆盖率和绿色生物量水平产生降低或变化，其影响可通过站场绿化得到部分弥补。</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rPr>
        <w:t>③</w:t>
      </w:r>
      <w:r>
        <w:rPr>
          <w:rFonts w:ascii="Times New Roman" w:hAnsi="Times New Roman" w:cs="Times New Roman"/>
        </w:rPr>
        <w:t>水土流失：建设项目线性分散，施工占地、表土剥离、土石方开挖等活动，破坏地表土壤和现有植被数量覆盖，在工程施工期若不采取适当水土流失防治措施，降雨期和多风季节易造成大量的水土流失。尤其是上山道路的修建动用土石方，加重当地水土流失。</w:t>
      </w:r>
    </w:p>
    <w:p>
      <w:pPr>
        <w:pStyle w:val="29"/>
        <w:wordWrap w:val="0"/>
        <w:adjustRightInd w:val="0"/>
        <w:snapToGrid w:val="0"/>
        <w:spacing w:before="0" w:beforeAutospacing="0" w:after="0" w:afterAutospacing="0" w:line="420" w:lineRule="exact"/>
        <w:ind w:firstLine="48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）运营期</w:t>
      </w:r>
      <w:r>
        <w:rPr>
          <w:rFonts w:hint="eastAsia" w:ascii="Times New Roman" w:hAnsi="Times New Roman" w:cs="Times New Roman"/>
        </w:rPr>
        <w:t>生态影响</w:t>
      </w:r>
    </w:p>
    <w:p>
      <w:pPr>
        <w:pStyle w:val="29"/>
        <w:wordWrap w:val="0"/>
        <w:adjustRightInd w:val="0"/>
        <w:snapToGrid w:val="0"/>
        <w:spacing w:before="0" w:beforeAutospacing="0" w:after="0" w:afterAutospacing="0" w:line="420" w:lineRule="exact"/>
        <w:ind w:firstLine="480"/>
        <w:jc w:val="both"/>
        <w:rPr>
          <w:rFonts w:ascii="Times New Roman" w:hAnsi="Times New Roman" w:cs="Times New Roman"/>
        </w:rPr>
      </w:pPr>
      <w:r>
        <w:rPr>
          <w:rFonts w:ascii="Times New Roman" w:hAnsi="Times New Roman" w:cs="Times New Roman"/>
        </w:rPr>
        <w:t>3年自然恢复期内检修道路与风力发电机组区植被裸露仍存在水土流失潜势。</w:t>
      </w:r>
    </w:p>
    <w:p>
      <w:pPr>
        <w:pStyle w:val="29"/>
        <w:wordWrap w:val="0"/>
        <w:adjustRightInd w:val="0"/>
        <w:snapToGrid w:val="0"/>
        <w:spacing w:before="0" w:beforeAutospacing="0" w:after="0" w:afterAutospacing="0" w:line="420" w:lineRule="exact"/>
        <w:ind w:firstLine="482" w:firstLineChars="200"/>
        <w:jc w:val="both"/>
        <w:rPr>
          <w:rFonts w:ascii="Times New Roman" w:hAnsi="Times New Roman" w:cs="Times New Roman"/>
          <w:b/>
        </w:rPr>
      </w:pPr>
      <w:r>
        <w:rPr>
          <w:rFonts w:hint="eastAsia" w:ascii="Times New Roman" w:hAnsi="Times New Roman" w:cs="Times New Roman"/>
          <w:b/>
        </w:rPr>
        <w:t>2）废气</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施工期产生的废气主要为汽车运输产生的道路扬尘、渣石及材料临时堆场扬尘以及</w:t>
      </w:r>
    </w:p>
    <w:p>
      <w:pPr>
        <w:pStyle w:val="29"/>
        <w:wordWrap w:val="0"/>
        <w:adjustRightInd w:val="0"/>
        <w:snapToGrid w:val="0"/>
        <w:spacing w:before="0" w:beforeAutospacing="0" w:after="0" w:afterAutospacing="0" w:line="420" w:lineRule="exact"/>
        <w:jc w:val="both"/>
        <w:rPr>
          <w:rFonts w:ascii="Times New Roman" w:hAnsi="Times New Roman" w:cs="Times New Roman"/>
        </w:rPr>
      </w:pPr>
      <w:r>
        <w:rPr>
          <w:rFonts w:ascii="Times New Roman" w:hAnsi="Times New Roman" w:cs="Times New Roman"/>
        </w:rPr>
        <w:t>土石方作业时的粉尘等。</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道路扬尘：主要是由于施工车辆在施工道路上运输施工材料而引起的，引起道路扬</w:t>
      </w:r>
    </w:p>
    <w:p>
      <w:pPr>
        <w:pStyle w:val="29"/>
        <w:wordWrap w:val="0"/>
        <w:adjustRightInd w:val="0"/>
        <w:snapToGrid w:val="0"/>
        <w:spacing w:before="0" w:beforeAutospacing="0" w:after="0" w:afterAutospacing="0" w:line="420" w:lineRule="exact"/>
        <w:jc w:val="both"/>
        <w:rPr>
          <w:rFonts w:ascii="Times New Roman" w:hAnsi="Times New Roman" w:cs="Times New Roman"/>
        </w:rPr>
      </w:pPr>
      <w:r>
        <w:rPr>
          <w:rFonts w:ascii="Times New Roman" w:hAnsi="Times New Roman" w:cs="Times New Roman"/>
        </w:rPr>
        <w:t>尘的因素较多，主要跟车辆行驶速度、风速、路面积尘量和路面湿度有关，其中风速、风力还直接影响到扬尘的传输距离。道路表面诸如临时道路、施工道路、施工铺路、未压实的在建道路等由于其表面涂层松散、车辆碾压频繁，也易形成尘源，本项目采取洒水措施减少扬尘。</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堆场扬尘：堆场的扬尘包括料堆的风吹扬尘、装卸扬尘和过往车辆引起路面积尘二次扬尘等，这将产生较大的尘污染，会对周围环境带来一定的影响，灰、石等易散失</w:t>
      </w:r>
      <w:r>
        <w:rPr>
          <w:rFonts w:hint="eastAsia" w:ascii="Times New Roman" w:hAnsi="Times New Roman" w:cs="Times New Roman"/>
        </w:rPr>
        <w:t>的</w:t>
      </w:r>
      <w:r>
        <w:rPr>
          <w:rFonts w:ascii="Times New Roman" w:hAnsi="Times New Roman" w:cs="Times New Roman"/>
        </w:rPr>
        <w:t>施工材料如不加强管理也将造成较大的污染。通过遮盖、洒水可有效的抑制扬尘量，可使扬尘量减少80%。</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土建扬尘：大风天气时，在没有采取任何措施的情况下进行大量的土石的填、埋、搬运等作业将产生大量的扬尘。据有关资料介绍，土石方装卸风速在3m/s时，100m处的TSP浓度可达20mg/m</w:t>
      </w:r>
      <w:r>
        <w:rPr>
          <w:rFonts w:ascii="Times New Roman" w:hAnsi="Times New Roman" w:cs="Times New Roman"/>
          <w:vertAlign w:val="superscript"/>
        </w:rPr>
        <w:t>3</w:t>
      </w:r>
      <w:r>
        <w:rPr>
          <w:rFonts w:ascii="Times New Roman" w:hAnsi="Times New Roman" w:cs="Times New Roman"/>
        </w:rPr>
        <w:t>。由于施工区无居民，采用洒水、管理措施控制后，对周围环境影响不大。</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燃油废气：柴油动力机组排放的废气，废气主要污染物是烟尘、</w:t>
      </w: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，属连续排放源。环评要求使用符合国家规定的优质柴油，减少污染的排放。此外，施工地点位于山顶，扩散条件良好，对周围环境影响较小。</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运营期无废气排放。</w:t>
      </w:r>
    </w:p>
    <w:p>
      <w:pPr>
        <w:pStyle w:val="29"/>
        <w:wordWrap w:val="0"/>
        <w:adjustRightInd w:val="0"/>
        <w:snapToGrid w:val="0"/>
        <w:spacing w:before="0" w:beforeAutospacing="0" w:after="0" w:afterAutospacing="0" w:line="420" w:lineRule="exact"/>
        <w:ind w:firstLine="482" w:firstLineChars="200"/>
        <w:jc w:val="both"/>
        <w:rPr>
          <w:rFonts w:ascii="Times New Roman" w:hAnsi="Times New Roman" w:cs="Times New Roman"/>
          <w:b/>
        </w:rPr>
      </w:pPr>
      <w:r>
        <w:rPr>
          <w:rFonts w:hint="eastAsia" w:ascii="Times New Roman" w:hAnsi="Times New Roman" w:cs="Times New Roman"/>
          <w:b/>
          <w:kern w:val="2"/>
        </w:rPr>
        <w:t>3）</w:t>
      </w:r>
      <w:r>
        <w:rPr>
          <w:rFonts w:ascii="Times New Roman" w:hAnsi="Times New Roman" w:cs="Times New Roman"/>
          <w:b/>
        </w:rPr>
        <w:t>噪声</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施工期的噪声源主要为各类施工机械产生的噪声。主要产生噪声的施工机械有起重机、挖掘机、推土机、装载机、压实机、振捣棒和振捣器、砂轮锯、空气压缩机等。这些噪声源的噪声级分别在79dB(A)</w:t>
      </w:r>
      <w:r>
        <w:rPr>
          <w:rFonts w:hint="eastAsia" w:ascii="Times New Roman" w:hAnsi="Times New Roman" w:cs="Times New Roman"/>
        </w:rPr>
        <w:t>~</w:t>
      </w:r>
      <w:r>
        <w:rPr>
          <w:rFonts w:ascii="Times New Roman" w:hAnsi="Times New Roman" w:cs="Times New Roman"/>
        </w:rPr>
        <w:t>95dB(A)之间。</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运行期噪声源主要为风机噪声。</w:t>
      </w:r>
      <w:r>
        <w:rPr>
          <w:rFonts w:ascii="Times New Roman" w:hAnsi="Times New Roman" w:cs="宋?"/>
        </w:rPr>
        <w:t>风力发电机组在运转过程中产生的噪声来自于叶片扫风的空气动力噪声和机组内部机械运转的机械噪声。其中以发电机组内部的机械噪声为主。本工程拟选用单机容</w:t>
      </w:r>
      <w:r>
        <w:rPr>
          <w:rFonts w:ascii="Times New Roman" w:hAnsi="Times New Roman" w:cs="Times New Roman"/>
        </w:rPr>
        <w:t>量为2000kW的风</w:t>
      </w:r>
      <w:r>
        <w:rPr>
          <w:rFonts w:ascii="Times New Roman" w:hAnsi="Times New Roman" w:cs="宋?"/>
        </w:rPr>
        <w:t>力发电机组，风力发电机组噪声源强水平依风电机出力大小</w:t>
      </w:r>
      <w:r>
        <w:rPr>
          <w:rFonts w:ascii="Times New Roman" w:hAnsi="Times New Roman" w:cs="Times New Roman"/>
        </w:rPr>
        <w:t>在95dB</w:t>
      </w:r>
      <w:r>
        <w:rPr>
          <w:rFonts w:hint="eastAsia" w:ascii="Times New Roman" w:hAnsi="Times New Roman" w:cs="Times New Roman"/>
        </w:rPr>
        <w:t>(A)</w:t>
      </w:r>
      <w:r>
        <w:rPr>
          <w:rFonts w:ascii="Times New Roman" w:hAnsi="Times New Roman" w:cs="Times New Roman"/>
        </w:rPr>
        <w:t>-104dB</w:t>
      </w:r>
      <w:r>
        <w:rPr>
          <w:rFonts w:hint="eastAsia" w:ascii="Times New Roman" w:hAnsi="Times New Roman" w:cs="Times New Roman"/>
        </w:rPr>
        <w:t>(A)</w:t>
      </w:r>
      <w:r>
        <w:rPr>
          <w:rFonts w:ascii="Times New Roman" w:hAnsi="Times New Roman" w:cs="Times New Roman"/>
        </w:rPr>
        <w:t>。</w:t>
      </w:r>
    </w:p>
    <w:p>
      <w:pPr>
        <w:pStyle w:val="29"/>
        <w:widowControl w:val="0"/>
        <w:wordWrap w:val="0"/>
        <w:topLinePunct w:val="1"/>
        <w:adjustRightInd w:val="0"/>
        <w:snapToGrid w:val="0"/>
        <w:spacing w:before="0" w:beforeAutospacing="0" w:after="0" w:afterAutospacing="0" w:line="420" w:lineRule="exact"/>
        <w:ind w:firstLine="559" w:firstLineChars="232"/>
        <w:jc w:val="both"/>
        <w:rPr>
          <w:rFonts w:ascii="Times New Roman" w:hAnsi="Times New Roman" w:cs="Times New Roman"/>
          <w:b/>
        </w:rPr>
      </w:pPr>
      <w:r>
        <w:rPr>
          <w:rFonts w:hint="eastAsia" w:ascii="Times New Roman" w:hAnsi="Times New Roman" w:cs="Times New Roman"/>
          <w:b/>
          <w:kern w:val="2"/>
        </w:rPr>
        <w:t>4）</w:t>
      </w:r>
      <w:r>
        <w:rPr>
          <w:rFonts w:hint="eastAsia" w:ascii="Times New Roman" w:hAnsi="Times New Roman" w:cs="Times New Roman"/>
          <w:b/>
        </w:rPr>
        <w:t>废水</w:t>
      </w:r>
    </w:p>
    <w:p>
      <w:pPr>
        <w:wordWrap w:val="0"/>
        <w:autoSpaceDE w:val="0"/>
        <w:autoSpaceDN w:val="0"/>
        <w:adjustRightInd w:val="0"/>
        <w:spacing w:line="420" w:lineRule="exact"/>
        <w:ind w:firstLine="480" w:firstLineChars="200"/>
        <w:rPr>
          <w:rFonts w:cs="宋?"/>
          <w:b/>
          <w:bCs/>
          <w:kern w:val="0"/>
          <w:sz w:val="24"/>
        </w:rPr>
      </w:pPr>
      <w:r>
        <w:rPr>
          <w:rFonts w:hint="eastAsia" w:cs="宋?"/>
          <w:kern w:val="0"/>
          <w:sz w:val="24"/>
        </w:rPr>
        <w:t>本项目设一座施工营地，施工高峰期人数为300人。</w:t>
      </w:r>
      <w:r>
        <w:rPr>
          <w:rFonts w:cs="宋?"/>
          <w:kern w:val="0"/>
          <w:sz w:val="24"/>
        </w:rPr>
        <w:t>施工期的废水包括施工生产废水和生活污水，均在施工生产生活区内产生</w:t>
      </w:r>
      <w:r>
        <w:rPr>
          <w:rFonts w:hint="eastAsia" w:cs="宋?"/>
          <w:kern w:val="0"/>
          <w:sz w:val="24"/>
        </w:rPr>
        <w:t>。施工废水主要为施工机械冲洗产生的废水主要为含泥沙类废水，具有水量小、间歇性排放等特点，一般情况在几分钟内完成排放，</w:t>
      </w:r>
      <w:r>
        <w:rPr>
          <w:rFonts w:cs="宋?"/>
          <w:kern w:val="0"/>
          <w:sz w:val="24"/>
        </w:rPr>
        <w:t>pH</w:t>
      </w:r>
      <w:r>
        <w:rPr>
          <w:rFonts w:hint="eastAsia" w:cs="宋?"/>
          <w:kern w:val="0"/>
          <w:sz w:val="24"/>
        </w:rPr>
        <w:t>在</w:t>
      </w:r>
      <w:r>
        <w:rPr>
          <w:rFonts w:cs="宋?"/>
          <w:kern w:val="0"/>
          <w:sz w:val="24"/>
        </w:rPr>
        <w:t>11</w:t>
      </w:r>
      <w:r>
        <w:rPr>
          <w:rFonts w:hint="eastAsia" w:cs="宋?"/>
          <w:kern w:val="0"/>
          <w:sz w:val="24"/>
        </w:rPr>
        <w:t>～</w:t>
      </w:r>
      <w:r>
        <w:rPr>
          <w:rFonts w:cs="宋?"/>
          <w:kern w:val="0"/>
          <w:sz w:val="24"/>
        </w:rPr>
        <w:t>12</w:t>
      </w:r>
      <w:r>
        <w:rPr>
          <w:rFonts w:hint="eastAsia" w:cs="宋?"/>
          <w:kern w:val="0"/>
          <w:sz w:val="24"/>
        </w:rPr>
        <w:t>左右；施工机械的修理及零件和金属构件的加工产生部分含油废水；为不连续排放、泥沙类悬浮物含量约</w:t>
      </w:r>
      <w:r>
        <w:rPr>
          <w:rFonts w:cs="宋?"/>
          <w:kern w:val="0"/>
          <w:sz w:val="24"/>
        </w:rPr>
        <w:t>500mg/L</w:t>
      </w:r>
      <w:r>
        <w:rPr>
          <w:rFonts w:hint="eastAsia" w:cs="宋?"/>
          <w:kern w:val="0"/>
          <w:sz w:val="24"/>
        </w:rPr>
        <w:t>，由于水量较小，经隔油、沉淀处理后重复利用，不外排。</w:t>
      </w:r>
    </w:p>
    <w:p>
      <w:pPr>
        <w:wordWrap w:val="0"/>
        <w:autoSpaceDE w:val="0"/>
        <w:autoSpaceDN w:val="0"/>
        <w:adjustRightInd w:val="0"/>
        <w:spacing w:line="420" w:lineRule="exact"/>
        <w:ind w:firstLine="480" w:firstLineChars="200"/>
        <w:rPr>
          <w:rFonts w:cs="宋?"/>
          <w:kern w:val="0"/>
          <w:sz w:val="24"/>
        </w:rPr>
      </w:pPr>
      <w:r>
        <w:rPr>
          <w:rFonts w:cs="宋?"/>
          <w:kern w:val="0"/>
          <w:sz w:val="24"/>
        </w:rPr>
        <w:t>运行期</w:t>
      </w:r>
      <w:r>
        <w:rPr>
          <w:rFonts w:hint="eastAsia" w:cs="宋?"/>
          <w:kern w:val="0"/>
          <w:sz w:val="24"/>
        </w:rPr>
        <w:t>无生产废水产生。</w:t>
      </w:r>
    </w:p>
    <w:p>
      <w:pPr>
        <w:wordWrap w:val="0"/>
        <w:autoSpaceDE w:val="0"/>
        <w:autoSpaceDN w:val="0"/>
        <w:adjustRightInd w:val="0"/>
        <w:spacing w:line="420" w:lineRule="exact"/>
        <w:ind w:firstLine="482" w:firstLineChars="200"/>
        <w:rPr>
          <w:rFonts w:cs="宋?"/>
          <w:b/>
          <w:kern w:val="0"/>
          <w:sz w:val="24"/>
        </w:rPr>
      </w:pPr>
      <w:r>
        <w:rPr>
          <w:rFonts w:hint="eastAsia"/>
          <w:b/>
          <w:sz w:val="24"/>
        </w:rPr>
        <w:t>5）固体废物</w:t>
      </w:r>
    </w:p>
    <w:p>
      <w:pPr>
        <w:wordWrap w:val="0"/>
        <w:autoSpaceDE w:val="0"/>
        <w:autoSpaceDN w:val="0"/>
        <w:adjustRightInd w:val="0"/>
        <w:spacing w:line="420" w:lineRule="exact"/>
        <w:ind w:firstLine="480" w:firstLineChars="200"/>
        <w:rPr>
          <w:rFonts w:cs="宋?"/>
          <w:kern w:val="0"/>
          <w:sz w:val="24"/>
        </w:rPr>
      </w:pPr>
      <w:r>
        <w:rPr>
          <w:rFonts w:cs="宋?"/>
          <w:kern w:val="0"/>
          <w:sz w:val="24"/>
        </w:rPr>
        <w:t>施工期固体废物主要来源于工程弃渣和施工人员产生的生活垃圾</w:t>
      </w:r>
      <w:r>
        <w:rPr>
          <w:rFonts w:hint="eastAsia" w:cs="宋?"/>
          <w:kern w:val="0"/>
          <w:sz w:val="24"/>
        </w:rPr>
        <w:t>。</w:t>
      </w:r>
    </w:p>
    <w:p>
      <w:pPr>
        <w:wordWrap w:val="0"/>
        <w:autoSpaceDE w:val="0"/>
        <w:autoSpaceDN w:val="0"/>
        <w:adjustRightInd w:val="0"/>
        <w:spacing w:line="420" w:lineRule="exact"/>
        <w:ind w:firstLine="480" w:firstLineChars="200"/>
        <w:rPr>
          <w:sz w:val="24"/>
        </w:rPr>
      </w:pPr>
      <w:bookmarkStart w:id="162" w:name="_Toc396142003"/>
      <w:bookmarkStart w:id="163" w:name="_Toc396142818"/>
      <w:r>
        <w:rPr>
          <w:rFonts w:hint="eastAsia"/>
          <w:sz w:val="24"/>
        </w:rPr>
        <w:t>本工程施工期无取土场，土石方主要来源于扩建道路、风电机基础、箱变以及集电线路的施工。</w:t>
      </w:r>
    </w:p>
    <w:p>
      <w:pPr>
        <w:pStyle w:val="29"/>
        <w:adjustRightInd w:val="0"/>
        <w:snapToGrid w:val="0"/>
        <w:spacing w:before="0" w:beforeAutospacing="0" w:after="0" w:afterAutospacing="0" w:line="440" w:lineRule="exact"/>
        <w:ind w:firstLine="480" w:firstLineChars="200"/>
        <w:jc w:val="both"/>
        <w:rPr>
          <w:rFonts w:ascii="Times New Roman" w:hAnsi="Times New Roman" w:cs="Times New Roman"/>
        </w:rPr>
      </w:pPr>
      <w:r>
        <w:rPr>
          <w:rFonts w:hint="eastAsia" w:ascii="Times New Roman" w:hAnsi="Times New Roman" w:cs="Times New Roman"/>
        </w:rPr>
        <w:t>施工时序：先对既有的道路进行扩建，形成进场和检修道路，利用道路产生的弃方用于会车平台的平整，同时进行风机基础、箱变基础基坑的开挖、吊装平台和集电线路基础的开挖，产生的弃方均用于会车平台的平整。当道路扩建和会车平台平整完时风机基础、箱变及集电线路的输电塔架基础已经挖好，就可以进行风机、箱变以及塔架的架设和安装。</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由于场内道路需要填方量较大，因此可以就近利用风电机组和箱变的余方，这样不仅有效利用了余方，使工程总的土石方挖填量基本平衡，又可以减少水土流失的发生。施工过程产生的少量废弃的混凝土等可基本做到妥善处理。经计算，本工程土石方工程量挖方量为9.1万m</w:t>
      </w:r>
      <w:r>
        <w:rPr>
          <w:rFonts w:hint="eastAsia" w:ascii="Times New Roman" w:hAnsi="Times New Roman" w:cs="Times New Roman"/>
          <w:vertAlign w:val="superscript"/>
        </w:rPr>
        <w:t>3</w:t>
      </w:r>
      <w:r>
        <w:rPr>
          <w:rFonts w:hint="eastAsia" w:ascii="Times New Roman" w:hAnsi="Times New Roman" w:cs="Times New Roman"/>
        </w:rPr>
        <w:t>，填方量9.1万m</w:t>
      </w:r>
      <w:r>
        <w:rPr>
          <w:rFonts w:hint="eastAsia" w:ascii="Times New Roman" w:hAnsi="Times New Roman" w:cs="Times New Roman"/>
          <w:vertAlign w:val="superscript"/>
        </w:rPr>
        <w:t>3</w:t>
      </w:r>
      <w:r>
        <w:rPr>
          <w:rFonts w:hint="eastAsia" w:ascii="Times New Roman" w:hAnsi="Times New Roman" w:cs="Times New Roman"/>
        </w:rPr>
        <w:t>。在施工过程中各施工工序的挖方量基本回填，其余弃方用于会车平台平整，不产生工程土石弃方。</w:t>
      </w:r>
    </w:p>
    <w:p>
      <w:pPr>
        <w:pStyle w:val="56"/>
        <w:wordWrap w:val="0"/>
        <w:spacing w:line="420" w:lineRule="exact"/>
        <w:ind w:firstLine="480"/>
        <w:rPr>
          <w:rFonts w:ascii="Times New Roman" w:hAnsi="Times New Roman"/>
          <w:kern w:val="0"/>
          <w:sz w:val="24"/>
          <w:szCs w:val="24"/>
        </w:rPr>
      </w:pPr>
      <w:r>
        <w:rPr>
          <w:rFonts w:hint="eastAsia" w:ascii="Times New Roman" w:hAnsi="Times New Roman"/>
          <w:kern w:val="0"/>
          <w:sz w:val="24"/>
          <w:szCs w:val="24"/>
        </w:rPr>
        <w:t>本工程土石方平衡见表19。</w:t>
      </w:r>
    </w:p>
    <w:p>
      <w:pPr>
        <w:spacing w:line="440" w:lineRule="exact"/>
        <w:ind w:firstLine="480" w:firstLineChars="200"/>
        <w:jc w:val="center"/>
        <w:rPr>
          <w:sz w:val="24"/>
        </w:rPr>
      </w:pPr>
      <w:r>
        <w:rPr>
          <w:sz w:val="24"/>
        </w:rPr>
        <w:t>表</w:t>
      </w:r>
      <w:r>
        <w:rPr>
          <w:rFonts w:hint="eastAsia"/>
          <w:sz w:val="24"/>
        </w:rPr>
        <w:t xml:space="preserve">19    </w:t>
      </w:r>
      <w:r>
        <w:rPr>
          <w:sz w:val="24"/>
        </w:rPr>
        <w:t>项目土石方平衡表</w:t>
      </w:r>
      <w:r>
        <w:rPr>
          <w:rFonts w:hint="eastAsia"/>
          <w:sz w:val="24"/>
        </w:rPr>
        <w:t xml:space="preserve">  </w:t>
      </w:r>
      <w:r>
        <w:rPr>
          <w:sz w:val="24"/>
        </w:rPr>
        <w:t>单位：万m</w:t>
      </w:r>
      <w:r>
        <w:rPr>
          <w:sz w:val="24"/>
          <w:vertAlign w:val="superscript"/>
        </w:rPr>
        <w:t>3</w:t>
      </w:r>
    </w:p>
    <w:tbl>
      <w:tblPr>
        <w:tblW w:w="9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382"/>
        <w:gridCol w:w="1134"/>
        <w:gridCol w:w="1276"/>
        <w:gridCol w:w="1277"/>
        <w:gridCol w:w="1276"/>
        <w:gridCol w:w="1276"/>
        <w:gridCol w:w="2029"/>
      </w:tblGrid>
      <w:tr>
        <w:trPr>
          <w:trHeight w:val="521" w:hRule="atLeast"/>
        </w:trPr>
        <w:tc>
          <w:tcPr>
            <w:tcW w:w="2516" w:type="dxa"/>
            <w:gridSpan w:val="2"/>
            <w:vAlign w:val="center"/>
          </w:tcPr>
          <w:p>
            <w:pPr>
              <w:widowControl/>
              <w:adjustRightInd w:val="0"/>
              <w:snapToGrid w:val="0"/>
              <w:spacing w:line="360" w:lineRule="exact"/>
              <w:jc w:val="center"/>
              <w:rPr>
                <w:kern w:val="0"/>
                <w:szCs w:val="21"/>
              </w:rPr>
            </w:pPr>
            <w:bookmarkStart w:id="164" w:name="_Toc401731108"/>
            <w:bookmarkStart w:id="165" w:name="_Toc406057630"/>
            <w:bookmarkStart w:id="166" w:name="_Toc406057738"/>
            <w:bookmarkStart w:id="167" w:name="_Toc406057935"/>
            <w:bookmarkStart w:id="168" w:name="_Toc409679610"/>
            <w:bookmarkStart w:id="169" w:name="_Toc409679737"/>
            <w:bookmarkStart w:id="170" w:name="_Toc436993090"/>
            <w:r>
              <w:rPr>
                <w:kern w:val="0"/>
                <w:szCs w:val="21"/>
              </w:rPr>
              <w:t>建 设 项 目</w:t>
            </w:r>
          </w:p>
        </w:tc>
        <w:tc>
          <w:tcPr>
            <w:tcW w:w="1276" w:type="dxa"/>
            <w:vAlign w:val="center"/>
          </w:tcPr>
          <w:p>
            <w:pPr>
              <w:adjustRightInd w:val="0"/>
              <w:snapToGrid w:val="0"/>
              <w:spacing w:line="360" w:lineRule="exact"/>
              <w:jc w:val="center"/>
              <w:rPr>
                <w:kern w:val="0"/>
                <w:szCs w:val="21"/>
              </w:rPr>
            </w:pPr>
            <w:r>
              <w:rPr>
                <w:kern w:val="0"/>
                <w:szCs w:val="21"/>
              </w:rPr>
              <w:t>挖方</w:t>
            </w:r>
          </w:p>
        </w:tc>
        <w:tc>
          <w:tcPr>
            <w:tcW w:w="1277" w:type="dxa"/>
            <w:vAlign w:val="center"/>
          </w:tcPr>
          <w:p>
            <w:pPr>
              <w:adjustRightInd w:val="0"/>
              <w:snapToGrid w:val="0"/>
              <w:spacing w:line="360" w:lineRule="exact"/>
              <w:jc w:val="center"/>
              <w:rPr>
                <w:kern w:val="0"/>
                <w:szCs w:val="21"/>
              </w:rPr>
            </w:pPr>
            <w:r>
              <w:rPr>
                <w:kern w:val="0"/>
                <w:szCs w:val="21"/>
              </w:rPr>
              <w:t>填方</w:t>
            </w:r>
          </w:p>
        </w:tc>
        <w:tc>
          <w:tcPr>
            <w:tcW w:w="1276" w:type="dxa"/>
            <w:vAlign w:val="center"/>
          </w:tcPr>
          <w:p>
            <w:pPr>
              <w:widowControl/>
              <w:adjustRightInd w:val="0"/>
              <w:snapToGrid w:val="0"/>
              <w:spacing w:line="360" w:lineRule="exact"/>
              <w:jc w:val="center"/>
              <w:rPr>
                <w:kern w:val="0"/>
                <w:szCs w:val="21"/>
              </w:rPr>
            </w:pPr>
            <w:r>
              <w:rPr>
                <w:kern w:val="0"/>
                <w:szCs w:val="21"/>
              </w:rPr>
              <w:t>余方</w:t>
            </w:r>
          </w:p>
        </w:tc>
        <w:tc>
          <w:tcPr>
            <w:tcW w:w="1276" w:type="dxa"/>
            <w:vAlign w:val="center"/>
          </w:tcPr>
          <w:p>
            <w:pPr>
              <w:widowControl/>
              <w:adjustRightInd w:val="0"/>
              <w:snapToGrid w:val="0"/>
              <w:spacing w:line="360" w:lineRule="exact"/>
              <w:jc w:val="center"/>
              <w:rPr>
                <w:kern w:val="0"/>
                <w:szCs w:val="21"/>
              </w:rPr>
            </w:pPr>
            <w:r>
              <w:rPr>
                <w:kern w:val="0"/>
                <w:szCs w:val="21"/>
              </w:rPr>
              <w:t>借方</w:t>
            </w:r>
          </w:p>
        </w:tc>
        <w:tc>
          <w:tcPr>
            <w:tcW w:w="2029" w:type="dxa"/>
            <w:vAlign w:val="center"/>
          </w:tcPr>
          <w:p>
            <w:pPr>
              <w:widowControl/>
              <w:adjustRightInd w:val="0"/>
              <w:snapToGrid w:val="0"/>
              <w:spacing w:line="360" w:lineRule="exact"/>
              <w:jc w:val="center"/>
              <w:rPr>
                <w:kern w:val="0"/>
                <w:szCs w:val="21"/>
              </w:rPr>
            </w:pPr>
            <w:r>
              <w:rPr>
                <w:kern w:val="0"/>
                <w:szCs w:val="21"/>
              </w:rPr>
              <w:t>备注</w:t>
            </w:r>
          </w:p>
        </w:tc>
      </w:tr>
      <w:tr>
        <w:trPr>
          <w:trHeight w:val="620" w:hRule="atLeast"/>
        </w:trPr>
        <w:tc>
          <w:tcPr>
            <w:tcW w:w="1382" w:type="dxa"/>
            <w:vMerge w:val="restart"/>
            <w:vAlign w:val="center"/>
          </w:tcPr>
          <w:p>
            <w:pPr>
              <w:widowControl/>
              <w:adjustRightInd w:val="0"/>
              <w:snapToGrid w:val="0"/>
              <w:spacing w:line="360" w:lineRule="exact"/>
              <w:jc w:val="center"/>
              <w:rPr>
                <w:kern w:val="0"/>
                <w:szCs w:val="21"/>
              </w:rPr>
            </w:pPr>
            <w:r>
              <w:rPr>
                <w:kern w:val="0"/>
                <w:szCs w:val="21"/>
              </w:rPr>
              <w:t>风电机基础</w:t>
            </w:r>
            <w:r>
              <w:rPr>
                <w:rFonts w:hint="eastAsia"/>
                <w:kern w:val="0"/>
                <w:szCs w:val="21"/>
              </w:rPr>
              <w:t>及箱变基础</w:t>
            </w:r>
          </w:p>
        </w:tc>
        <w:tc>
          <w:tcPr>
            <w:tcW w:w="1134" w:type="dxa"/>
            <w:vAlign w:val="center"/>
          </w:tcPr>
          <w:p>
            <w:pPr>
              <w:widowControl/>
              <w:adjustRightInd w:val="0"/>
              <w:snapToGrid w:val="0"/>
              <w:spacing w:line="360" w:lineRule="exact"/>
              <w:jc w:val="center"/>
              <w:rPr>
                <w:kern w:val="0"/>
                <w:szCs w:val="21"/>
              </w:rPr>
            </w:pPr>
            <w:r>
              <w:rPr>
                <w:kern w:val="0"/>
                <w:szCs w:val="21"/>
              </w:rPr>
              <w:t>基坑开挖</w:t>
            </w:r>
          </w:p>
        </w:tc>
        <w:tc>
          <w:tcPr>
            <w:tcW w:w="1276" w:type="dxa"/>
            <w:vAlign w:val="center"/>
          </w:tcPr>
          <w:p>
            <w:pPr>
              <w:adjustRightInd w:val="0"/>
              <w:snapToGrid w:val="0"/>
              <w:spacing w:line="360" w:lineRule="exact"/>
              <w:jc w:val="center"/>
              <w:rPr>
                <w:szCs w:val="21"/>
              </w:rPr>
            </w:pPr>
            <w:r>
              <w:rPr>
                <w:rFonts w:hint="eastAsia"/>
                <w:szCs w:val="21"/>
              </w:rPr>
              <w:t>0.3</w:t>
            </w:r>
          </w:p>
        </w:tc>
        <w:tc>
          <w:tcPr>
            <w:tcW w:w="1277"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0.3</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restart"/>
            <w:vAlign w:val="center"/>
          </w:tcPr>
          <w:p>
            <w:pPr>
              <w:adjustRightInd w:val="0"/>
              <w:snapToGrid w:val="0"/>
              <w:spacing w:line="360" w:lineRule="exact"/>
              <w:jc w:val="center"/>
              <w:rPr>
                <w:szCs w:val="21"/>
              </w:rPr>
            </w:pPr>
            <w:r>
              <w:rPr>
                <w:szCs w:val="21"/>
              </w:rPr>
              <w:t>余方</w:t>
            </w:r>
            <w:r>
              <w:rPr>
                <w:rFonts w:hint="eastAsia"/>
                <w:szCs w:val="21"/>
              </w:rPr>
              <w:t>用于会车平台回填</w:t>
            </w:r>
          </w:p>
        </w:tc>
      </w:tr>
      <w:tr>
        <w:trPr>
          <w:trHeight w:val="380" w:hRule="atLeast"/>
        </w:trPr>
        <w:tc>
          <w:tcPr>
            <w:tcW w:w="1382" w:type="dxa"/>
            <w:vMerge w:val="continue"/>
            <w:vAlign w:val="center"/>
          </w:tcPr>
          <w:p>
            <w:pPr>
              <w:widowControl/>
              <w:adjustRightInd w:val="0"/>
              <w:snapToGrid w:val="0"/>
              <w:spacing w:line="360" w:lineRule="exact"/>
              <w:jc w:val="center"/>
              <w:rPr>
                <w:kern w:val="0"/>
                <w:szCs w:val="21"/>
              </w:rPr>
            </w:pPr>
          </w:p>
        </w:tc>
        <w:tc>
          <w:tcPr>
            <w:tcW w:w="1134" w:type="dxa"/>
            <w:vAlign w:val="center"/>
          </w:tcPr>
          <w:p>
            <w:pPr>
              <w:widowControl/>
              <w:adjustRightInd w:val="0"/>
              <w:snapToGrid w:val="0"/>
              <w:spacing w:line="360" w:lineRule="exact"/>
              <w:jc w:val="center"/>
              <w:rPr>
                <w:kern w:val="0"/>
                <w:szCs w:val="21"/>
              </w:rPr>
            </w:pPr>
            <w:r>
              <w:rPr>
                <w:kern w:val="0"/>
                <w:szCs w:val="21"/>
              </w:rPr>
              <w:t>基础回填</w:t>
            </w:r>
          </w:p>
        </w:tc>
        <w:tc>
          <w:tcPr>
            <w:tcW w:w="1276" w:type="dxa"/>
            <w:vAlign w:val="center"/>
          </w:tcPr>
          <w:p>
            <w:pPr>
              <w:adjustRightInd w:val="0"/>
              <w:snapToGrid w:val="0"/>
              <w:spacing w:line="360" w:lineRule="exact"/>
              <w:jc w:val="center"/>
              <w:rPr>
                <w:szCs w:val="21"/>
              </w:rPr>
            </w:pPr>
            <w:r>
              <w:rPr>
                <w:rFonts w:hint="eastAsia"/>
                <w:szCs w:val="21"/>
              </w:rPr>
              <w:t>--</w:t>
            </w:r>
          </w:p>
        </w:tc>
        <w:tc>
          <w:tcPr>
            <w:tcW w:w="1277" w:type="dxa"/>
            <w:vAlign w:val="center"/>
          </w:tcPr>
          <w:p>
            <w:pPr>
              <w:adjustRightInd w:val="0"/>
              <w:snapToGrid w:val="0"/>
              <w:spacing w:line="360" w:lineRule="exact"/>
              <w:jc w:val="center"/>
              <w:rPr>
                <w:szCs w:val="21"/>
              </w:rPr>
            </w:pPr>
            <w:r>
              <w:rPr>
                <w:rFonts w:hint="eastAsia"/>
                <w:szCs w:val="21"/>
              </w:rPr>
              <w:t>0</w:t>
            </w:r>
          </w:p>
        </w:tc>
        <w:tc>
          <w:tcPr>
            <w:tcW w:w="1276"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continue"/>
            <w:vAlign w:val="center"/>
          </w:tcPr>
          <w:p>
            <w:pPr>
              <w:adjustRightInd w:val="0"/>
              <w:snapToGrid w:val="0"/>
              <w:spacing w:line="360" w:lineRule="exact"/>
              <w:jc w:val="center"/>
              <w:rPr>
                <w:szCs w:val="21"/>
              </w:rPr>
            </w:pPr>
          </w:p>
        </w:tc>
      </w:tr>
      <w:tr>
        <w:trPr>
          <w:trHeight w:val="380" w:hRule="atLeast"/>
        </w:trPr>
        <w:tc>
          <w:tcPr>
            <w:tcW w:w="1382" w:type="dxa"/>
            <w:vMerge w:val="restart"/>
            <w:vAlign w:val="center"/>
          </w:tcPr>
          <w:p>
            <w:pPr>
              <w:widowControl/>
              <w:adjustRightInd w:val="0"/>
              <w:snapToGrid w:val="0"/>
              <w:spacing w:line="360" w:lineRule="exact"/>
              <w:jc w:val="center"/>
              <w:rPr>
                <w:kern w:val="0"/>
                <w:szCs w:val="21"/>
              </w:rPr>
            </w:pPr>
            <w:r>
              <w:rPr>
                <w:rFonts w:hint="eastAsia"/>
                <w:kern w:val="0"/>
                <w:szCs w:val="21"/>
              </w:rPr>
              <w:t>吊装平台</w:t>
            </w:r>
          </w:p>
        </w:tc>
        <w:tc>
          <w:tcPr>
            <w:tcW w:w="1134" w:type="dxa"/>
            <w:vAlign w:val="center"/>
          </w:tcPr>
          <w:p>
            <w:pPr>
              <w:widowControl/>
              <w:adjustRightInd w:val="0"/>
              <w:snapToGrid w:val="0"/>
              <w:spacing w:line="360" w:lineRule="exact"/>
              <w:jc w:val="center"/>
              <w:rPr>
                <w:kern w:val="0"/>
                <w:szCs w:val="21"/>
              </w:rPr>
            </w:pPr>
            <w:r>
              <w:rPr>
                <w:kern w:val="0"/>
                <w:szCs w:val="21"/>
              </w:rPr>
              <w:t>基坑开挖</w:t>
            </w:r>
          </w:p>
        </w:tc>
        <w:tc>
          <w:tcPr>
            <w:tcW w:w="1276" w:type="dxa"/>
            <w:vAlign w:val="center"/>
          </w:tcPr>
          <w:p>
            <w:pPr>
              <w:adjustRightInd w:val="0"/>
              <w:snapToGrid w:val="0"/>
              <w:spacing w:line="360" w:lineRule="exact"/>
              <w:jc w:val="center"/>
              <w:rPr>
                <w:szCs w:val="21"/>
              </w:rPr>
            </w:pPr>
            <w:r>
              <w:rPr>
                <w:rFonts w:hint="eastAsia"/>
                <w:szCs w:val="21"/>
              </w:rPr>
              <w:t>1.5</w:t>
            </w:r>
          </w:p>
        </w:tc>
        <w:tc>
          <w:tcPr>
            <w:tcW w:w="1277"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0.3</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restart"/>
            <w:vAlign w:val="center"/>
          </w:tcPr>
          <w:p>
            <w:pPr>
              <w:adjustRightInd w:val="0"/>
              <w:snapToGrid w:val="0"/>
              <w:spacing w:line="360" w:lineRule="exact"/>
              <w:jc w:val="center"/>
              <w:rPr>
                <w:szCs w:val="21"/>
              </w:rPr>
            </w:pPr>
            <w:r>
              <w:rPr>
                <w:szCs w:val="21"/>
              </w:rPr>
              <w:t>余方</w:t>
            </w:r>
            <w:r>
              <w:rPr>
                <w:rFonts w:hint="eastAsia"/>
                <w:szCs w:val="21"/>
              </w:rPr>
              <w:t>用于会车平台回填</w:t>
            </w:r>
          </w:p>
        </w:tc>
      </w:tr>
      <w:tr>
        <w:trPr>
          <w:trHeight w:val="380" w:hRule="atLeast"/>
        </w:trPr>
        <w:tc>
          <w:tcPr>
            <w:tcW w:w="1382" w:type="dxa"/>
            <w:vMerge w:val="continue"/>
            <w:vAlign w:val="center"/>
          </w:tcPr>
          <w:p>
            <w:pPr>
              <w:widowControl/>
              <w:adjustRightInd w:val="0"/>
              <w:snapToGrid w:val="0"/>
              <w:spacing w:line="360" w:lineRule="exact"/>
              <w:jc w:val="center"/>
              <w:rPr>
                <w:kern w:val="0"/>
                <w:szCs w:val="21"/>
              </w:rPr>
            </w:pPr>
          </w:p>
        </w:tc>
        <w:tc>
          <w:tcPr>
            <w:tcW w:w="1134" w:type="dxa"/>
            <w:vAlign w:val="center"/>
          </w:tcPr>
          <w:p>
            <w:pPr>
              <w:widowControl/>
              <w:adjustRightInd w:val="0"/>
              <w:snapToGrid w:val="0"/>
              <w:spacing w:line="360" w:lineRule="exact"/>
              <w:jc w:val="center"/>
              <w:rPr>
                <w:kern w:val="0"/>
                <w:szCs w:val="21"/>
              </w:rPr>
            </w:pPr>
            <w:r>
              <w:rPr>
                <w:kern w:val="0"/>
                <w:szCs w:val="21"/>
              </w:rPr>
              <w:t>基础回填</w:t>
            </w:r>
          </w:p>
        </w:tc>
        <w:tc>
          <w:tcPr>
            <w:tcW w:w="1276" w:type="dxa"/>
            <w:vAlign w:val="center"/>
          </w:tcPr>
          <w:p>
            <w:pPr>
              <w:adjustRightInd w:val="0"/>
              <w:snapToGrid w:val="0"/>
              <w:spacing w:line="360" w:lineRule="exact"/>
              <w:jc w:val="center"/>
              <w:rPr>
                <w:szCs w:val="21"/>
              </w:rPr>
            </w:pPr>
            <w:r>
              <w:rPr>
                <w:rFonts w:hint="eastAsia"/>
                <w:szCs w:val="21"/>
              </w:rPr>
              <w:t>--</w:t>
            </w:r>
          </w:p>
        </w:tc>
        <w:tc>
          <w:tcPr>
            <w:tcW w:w="1277" w:type="dxa"/>
            <w:vAlign w:val="center"/>
          </w:tcPr>
          <w:p>
            <w:pPr>
              <w:adjustRightInd w:val="0"/>
              <w:snapToGrid w:val="0"/>
              <w:spacing w:line="360" w:lineRule="exact"/>
              <w:jc w:val="center"/>
              <w:rPr>
                <w:szCs w:val="21"/>
              </w:rPr>
            </w:pPr>
            <w:r>
              <w:rPr>
                <w:rFonts w:hint="eastAsia"/>
                <w:szCs w:val="21"/>
              </w:rPr>
              <w:t>1.2</w:t>
            </w:r>
          </w:p>
        </w:tc>
        <w:tc>
          <w:tcPr>
            <w:tcW w:w="1276"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continue"/>
            <w:vAlign w:val="center"/>
          </w:tcPr>
          <w:p>
            <w:pPr>
              <w:adjustRightInd w:val="0"/>
              <w:snapToGrid w:val="0"/>
              <w:spacing w:line="360" w:lineRule="exact"/>
              <w:jc w:val="center"/>
              <w:rPr>
                <w:szCs w:val="21"/>
              </w:rPr>
            </w:pPr>
          </w:p>
        </w:tc>
      </w:tr>
      <w:tr>
        <w:trPr>
          <w:trHeight w:val="380" w:hRule="atLeast"/>
        </w:trPr>
        <w:tc>
          <w:tcPr>
            <w:tcW w:w="1382" w:type="dxa"/>
            <w:vMerge w:val="restart"/>
            <w:vAlign w:val="center"/>
          </w:tcPr>
          <w:p>
            <w:pPr>
              <w:widowControl/>
              <w:adjustRightInd w:val="0"/>
              <w:snapToGrid w:val="0"/>
              <w:spacing w:line="360" w:lineRule="exact"/>
              <w:jc w:val="center"/>
              <w:rPr>
                <w:kern w:val="0"/>
                <w:szCs w:val="21"/>
              </w:rPr>
            </w:pPr>
            <w:r>
              <w:rPr>
                <w:rFonts w:hint="eastAsia"/>
                <w:kern w:val="0"/>
                <w:szCs w:val="21"/>
              </w:rPr>
              <w:t>集电线路</w:t>
            </w:r>
          </w:p>
        </w:tc>
        <w:tc>
          <w:tcPr>
            <w:tcW w:w="1134" w:type="dxa"/>
            <w:vAlign w:val="center"/>
          </w:tcPr>
          <w:p>
            <w:pPr>
              <w:widowControl/>
              <w:adjustRightInd w:val="0"/>
              <w:snapToGrid w:val="0"/>
              <w:spacing w:line="360" w:lineRule="exact"/>
              <w:jc w:val="center"/>
              <w:rPr>
                <w:kern w:val="0"/>
                <w:szCs w:val="21"/>
              </w:rPr>
            </w:pPr>
            <w:r>
              <w:rPr>
                <w:kern w:val="0"/>
                <w:szCs w:val="21"/>
              </w:rPr>
              <w:t>基坑开挖</w:t>
            </w:r>
          </w:p>
        </w:tc>
        <w:tc>
          <w:tcPr>
            <w:tcW w:w="1276" w:type="dxa"/>
            <w:vAlign w:val="center"/>
          </w:tcPr>
          <w:p>
            <w:pPr>
              <w:adjustRightInd w:val="0"/>
              <w:snapToGrid w:val="0"/>
              <w:spacing w:line="360" w:lineRule="exact"/>
              <w:jc w:val="center"/>
              <w:rPr>
                <w:szCs w:val="21"/>
              </w:rPr>
            </w:pPr>
            <w:r>
              <w:rPr>
                <w:rFonts w:hint="eastAsia"/>
                <w:szCs w:val="21"/>
              </w:rPr>
              <w:t>0.1</w:t>
            </w:r>
          </w:p>
        </w:tc>
        <w:tc>
          <w:tcPr>
            <w:tcW w:w="1277"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0</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restart"/>
            <w:vAlign w:val="center"/>
          </w:tcPr>
          <w:p>
            <w:pPr>
              <w:adjustRightInd w:val="0"/>
              <w:snapToGrid w:val="0"/>
              <w:spacing w:line="360" w:lineRule="exact"/>
              <w:jc w:val="center"/>
              <w:rPr>
                <w:szCs w:val="21"/>
              </w:rPr>
            </w:pPr>
            <w:r>
              <w:rPr>
                <w:rFonts w:hint="eastAsia"/>
                <w:szCs w:val="21"/>
              </w:rPr>
              <w:t>风机间架空线路的敷设</w:t>
            </w:r>
          </w:p>
        </w:tc>
      </w:tr>
      <w:tr>
        <w:trPr>
          <w:trHeight w:val="380" w:hRule="atLeast"/>
        </w:trPr>
        <w:tc>
          <w:tcPr>
            <w:tcW w:w="1382" w:type="dxa"/>
            <w:vMerge w:val="continue"/>
            <w:vAlign w:val="center"/>
          </w:tcPr>
          <w:p>
            <w:pPr>
              <w:widowControl/>
              <w:adjustRightInd w:val="0"/>
              <w:snapToGrid w:val="0"/>
              <w:spacing w:line="360" w:lineRule="exact"/>
              <w:jc w:val="center"/>
              <w:rPr>
                <w:kern w:val="0"/>
                <w:szCs w:val="21"/>
              </w:rPr>
            </w:pPr>
          </w:p>
        </w:tc>
        <w:tc>
          <w:tcPr>
            <w:tcW w:w="1134" w:type="dxa"/>
            <w:vAlign w:val="center"/>
          </w:tcPr>
          <w:p>
            <w:pPr>
              <w:widowControl/>
              <w:adjustRightInd w:val="0"/>
              <w:snapToGrid w:val="0"/>
              <w:spacing w:line="360" w:lineRule="exact"/>
              <w:jc w:val="center"/>
              <w:rPr>
                <w:kern w:val="0"/>
                <w:szCs w:val="21"/>
              </w:rPr>
            </w:pPr>
            <w:r>
              <w:rPr>
                <w:kern w:val="0"/>
                <w:szCs w:val="21"/>
              </w:rPr>
              <w:t>基础回填</w:t>
            </w:r>
          </w:p>
        </w:tc>
        <w:tc>
          <w:tcPr>
            <w:tcW w:w="1276" w:type="dxa"/>
            <w:vAlign w:val="center"/>
          </w:tcPr>
          <w:p>
            <w:pPr>
              <w:adjustRightInd w:val="0"/>
              <w:snapToGrid w:val="0"/>
              <w:spacing w:line="360" w:lineRule="exact"/>
              <w:jc w:val="center"/>
              <w:rPr>
                <w:szCs w:val="21"/>
              </w:rPr>
            </w:pPr>
            <w:r>
              <w:rPr>
                <w:rFonts w:hint="eastAsia"/>
                <w:szCs w:val="21"/>
              </w:rPr>
              <w:t>--</w:t>
            </w:r>
          </w:p>
        </w:tc>
        <w:tc>
          <w:tcPr>
            <w:tcW w:w="1277" w:type="dxa"/>
            <w:vAlign w:val="center"/>
          </w:tcPr>
          <w:p>
            <w:pPr>
              <w:adjustRightInd w:val="0"/>
              <w:snapToGrid w:val="0"/>
              <w:spacing w:line="360" w:lineRule="exact"/>
              <w:jc w:val="center"/>
              <w:rPr>
                <w:szCs w:val="21"/>
              </w:rPr>
            </w:pPr>
            <w:r>
              <w:rPr>
                <w:rFonts w:hint="eastAsia"/>
                <w:szCs w:val="21"/>
              </w:rPr>
              <w:t>0.1</w:t>
            </w:r>
          </w:p>
        </w:tc>
        <w:tc>
          <w:tcPr>
            <w:tcW w:w="1276"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continue"/>
            <w:vAlign w:val="center"/>
          </w:tcPr>
          <w:p>
            <w:pPr>
              <w:adjustRightInd w:val="0"/>
              <w:snapToGrid w:val="0"/>
              <w:spacing w:line="360" w:lineRule="exact"/>
              <w:jc w:val="center"/>
              <w:rPr>
                <w:szCs w:val="21"/>
              </w:rPr>
            </w:pPr>
          </w:p>
        </w:tc>
      </w:tr>
      <w:tr>
        <w:trPr>
          <w:trHeight w:val="380" w:hRule="atLeast"/>
        </w:trPr>
        <w:tc>
          <w:tcPr>
            <w:tcW w:w="1382" w:type="dxa"/>
            <w:vMerge w:val="restart"/>
            <w:vAlign w:val="center"/>
          </w:tcPr>
          <w:p>
            <w:pPr>
              <w:widowControl/>
              <w:adjustRightInd w:val="0"/>
              <w:snapToGrid w:val="0"/>
              <w:spacing w:line="360" w:lineRule="exact"/>
              <w:jc w:val="center"/>
              <w:rPr>
                <w:kern w:val="0"/>
                <w:szCs w:val="21"/>
              </w:rPr>
            </w:pPr>
            <w:r>
              <w:rPr>
                <w:rFonts w:hint="eastAsia"/>
                <w:kern w:val="0"/>
                <w:szCs w:val="21"/>
              </w:rPr>
              <w:t>会车平台</w:t>
            </w:r>
          </w:p>
        </w:tc>
        <w:tc>
          <w:tcPr>
            <w:tcW w:w="1134" w:type="dxa"/>
            <w:vAlign w:val="center"/>
          </w:tcPr>
          <w:p>
            <w:pPr>
              <w:widowControl/>
              <w:adjustRightInd w:val="0"/>
              <w:snapToGrid w:val="0"/>
              <w:spacing w:line="360" w:lineRule="exact"/>
              <w:jc w:val="center"/>
              <w:rPr>
                <w:kern w:val="0"/>
                <w:szCs w:val="21"/>
              </w:rPr>
            </w:pPr>
            <w:r>
              <w:rPr>
                <w:kern w:val="0"/>
                <w:szCs w:val="21"/>
              </w:rPr>
              <w:t>基坑开挖</w:t>
            </w:r>
          </w:p>
        </w:tc>
        <w:tc>
          <w:tcPr>
            <w:tcW w:w="1276" w:type="dxa"/>
            <w:vAlign w:val="center"/>
          </w:tcPr>
          <w:p>
            <w:pPr>
              <w:adjustRightInd w:val="0"/>
              <w:snapToGrid w:val="0"/>
              <w:spacing w:line="360" w:lineRule="exact"/>
              <w:jc w:val="center"/>
              <w:rPr>
                <w:szCs w:val="21"/>
              </w:rPr>
            </w:pPr>
            <w:r>
              <w:rPr>
                <w:rFonts w:hint="eastAsia"/>
                <w:szCs w:val="21"/>
              </w:rPr>
              <w:t>0</w:t>
            </w:r>
          </w:p>
        </w:tc>
        <w:tc>
          <w:tcPr>
            <w:tcW w:w="1277"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w:t>
            </w:r>
          </w:p>
        </w:tc>
        <w:tc>
          <w:tcPr>
            <w:tcW w:w="2029" w:type="dxa"/>
            <w:vMerge w:val="restart"/>
            <w:vAlign w:val="center"/>
          </w:tcPr>
          <w:p>
            <w:pPr>
              <w:adjustRightInd w:val="0"/>
              <w:snapToGrid w:val="0"/>
              <w:spacing w:line="360" w:lineRule="exact"/>
              <w:jc w:val="center"/>
              <w:rPr>
                <w:spacing w:val="-6"/>
                <w:szCs w:val="21"/>
              </w:rPr>
            </w:pPr>
            <w:r>
              <w:rPr>
                <w:rFonts w:hint="eastAsia"/>
                <w:spacing w:val="-6"/>
                <w:szCs w:val="21"/>
              </w:rPr>
              <w:t>利用其他土建工程的余方进行会车平台土方回填</w:t>
            </w:r>
          </w:p>
        </w:tc>
      </w:tr>
      <w:tr>
        <w:trPr>
          <w:trHeight w:val="380" w:hRule="atLeast"/>
        </w:trPr>
        <w:tc>
          <w:tcPr>
            <w:tcW w:w="1382" w:type="dxa"/>
            <w:vMerge w:val="continue"/>
            <w:vAlign w:val="center"/>
          </w:tcPr>
          <w:p>
            <w:pPr>
              <w:widowControl/>
              <w:adjustRightInd w:val="0"/>
              <w:snapToGrid w:val="0"/>
              <w:spacing w:line="360" w:lineRule="exact"/>
              <w:jc w:val="center"/>
              <w:rPr>
                <w:kern w:val="0"/>
                <w:szCs w:val="21"/>
              </w:rPr>
            </w:pPr>
          </w:p>
        </w:tc>
        <w:tc>
          <w:tcPr>
            <w:tcW w:w="1134" w:type="dxa"/>
            <w:vAlign w:val="center"/>
          </w:tcPr>
          <w:p>
            <w:pPr>
              <w:widowControl/>
              <w:adjustRightInd w:val="0"/>
              <w:snapToGrid w:val="0"/>
              <w:spacing w:line="360" w:lineRule="exact"/>
              <w:jc w:val="center"/>
              <w:rPr>
                <w:kern w:val="0"/>
                <w:szCs w:val="21"/>
              </w:rPr>
            </w:pPr>
            <w:r>
              <w:rPr>
                <w:kern w:val="0"/>
                <w:szCs w:val="21"/>
              </w:rPr>
              <w:t>土方回填</w:t>
            </w:r>
          </w:p>
        </w:tc>
        <w:tc>
          <w:tcPr>
            <w:tcW w:w="1276" w:type="dxa"/>
            <w:vAlign w:val="center"/>
          </w:tcPr>
          <w:p>
            <w:pPr>
              <w:adjustRightInd w:val="0"/>
              <w:snapToGrid w:val="0"/>
              <w:spacing w:line="360" w:lineRule="exact"/>
              <w:jc w:val="center"/>
              <w:rPr>
                <w:szCs w:val="21"/>
              </w:rPr>
            </w:pPr>
            <w:r>
              <w:rPr>
                <w:rFonts w:hint="eastAsia"/>
                <w:szCs w:val="21"/>
              </w:rPr>
              <w:t>--</w:t>
            </w:r>
          </w:p>
        </w:tc>
        <w:tc>
          <w:tcPr>
            <w:tcW w:w="1277" w:type="dxa"/>
            <w:vAlign w:val="center"/>
          </w:tcPr>
          <w:p>
            <w:pPr>
              <w:adjustRightInd w:val="0"/>
              <w:snapToGrid w:val="0"/>
              <w:spacing w:line="360" w:lineRule="exact"/>
              <w:jc w:val="center"/>
              <w:rPr>
                <w:szCs w:val="21"/>
              </w:rPr>
            </w:pPr>
            <w:r>
              <w:rPr>
                <w:rFonts w:hint="eastAsia"/>
                <w:szCs w:val="21"/>
              </w:rPr>
              <w:t>1.8</w:t>
            </w:r>
          </w:p>
        </w:tc>
        <w:tc>
          <w:tcPr>
            <w:tcW w:w="1276"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1.8</w:t>
            </w:r>
          </w:p>
        </w:tc>
        <w:tc>
          <w:tcPr>
            <w:tcW w:w="2029" w:type="dxa"/>
            <w:vMerge w:val="continue"/>
            <w:vAlign w:val="center"/>
          </w:tcPr>
          <w:p>
            <w:pPr>
              <w:adjustRightInd w:val="0"/>
              <w:snapToGrid w:val="0"/>
              <w:spacing w:line="360" w:lineRule="exact"/>
              <w:jc w:val="center"/>
              <w:rPr>
                <w:szCs w:val="21"/>
              </w:rPr>
            </w:pPr>
          </w:p>
        </w:tc>
      </w:tr>
      <w:tr>
        <w:trPr>
          <w:trHeight w:val="380" w:hRule="atLeast"/>
        </w:trPr>
        <w:tc>
          <w:tcPr>
            <w:tcW w:w="1382" w:type="dxa"/>
            <w:vMerge w:val="restart"/>
            <w:vAlign w:val="center"/>
          </w:tcPr>
          <w:p>
            <w:pPr>
              <w:widowControl/>
              <w:adjustRightInd w:val="0"/>
              <w:snapToGrid w:val="0"/>
              <w:spacing w:line="360" w:lineRule="exact"/>
              <w:jc w:val="center"/>
              <w:rPr>
                <w:kern w:val="0"/>
                <w:szCs w:val="21"/>
              </w:rPr>
            </w:pPr>
            <w:r>
              <w:rPr>
                <w:rFonts w:hint="eastAsia"/>
                <w:kern w:val="0"/>
                <w:szCs w:val="21"/>
              </w:rPr>
              <w:t>场内道路</w:t>
            </w:r>
          </w:p>
        </w:tc>
        <w:tc>
          <w:tcPr>
            <w:tcW w:w="1134" w:type="dxa"/>
            <w:vAlign w:val="center"/>
          </w:tcPr>
          <w:p>
            <w:pPr>
              <w:widowControl/>
              <w:adjustRightInd w:val="0"/>
              <w:snapToGrid w:val="0"/>
              <w:spacing w:line="360" w:lineRule="exact"/>
              <w:jc w:val="center"/>
              <w:rPr>
                <w:kern w:val="0"/>
                <w:szCs w:val="21"/>
              </w:rPr>
            </w:pPr>
            <w:r>
              <w:rPr>
                <w:kern w:val="0"/>
                <w:szCs w:val="21"/>
              </w:rPr>
              <w:t>地基开挖</w:t>
            </w:r>
          </w:p>
        </w:tc>
        <w:tc>
          <w:tcPr>
            <w:tcW w:w="1276" w:type="dxa"/>
            <w:vAlign w:val="center"/>
          </w:tcPr>
          <w:p>
            <w:pPr>
              <w:adjustRightInd w:val="0"/>
              <w:snapToGrid w:val="0"/>
              <w:spacing w:line="360" w:lineRule="exact"/>
              <w:jc w:val="center"/>
              <w:rPr>
                <w:szCs w:val="21"/>
              </w:rPr>
            </w:pPr>
            <w:r>
              <w:rPr>
                <w:rFonts w:hint="eastAsia"/>
                <w:szCs w:val="21"/>
              </w:rPr>
              <w:t>7.2</w:t>
            </w:r>
          </w:p>
        </w:tc>
        <w:tc>
          <w:tcPr>
            <w:tcW w:w="1277"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r>
              <w:rPr>
                <w:rFonts w:hint="eastAsia"/>
                <w:szCs w:val="21"/>
              </w:rPr>
              <w:t>1.2</w:t>
            </w:r>
          </w:p>
        </w:tc>
        <w:tc>
          <w:tcPr>
            <w:tcW w:w="1276" w:type="dxa"/>
            <w:vAlign w:val="center"/>
          </w:tcPr>
          <w:p>
            <w:pPr>
              <w:adjustRightInd w:val="0"/>
              <w:snapToGrid w:val="0"/>
              <w:spacing w:line="360" w:lineRule="exact"/>
              <w:jc w:val="center"/>
              <w:rPr>
                <w:szCs w:val="21"/>
              </w:rPr>
            </w:pPr>
          </w:p>
        </w:tc>
        <w:tc>
          <w:tcPr>
            <w:tcW w:w="2029" w:type="dxa"/>
            <w:vMerge w:val="restart"/>
            <w:vAlign w:val="center"/>
          </w:tcPr>
          <w:p>
            <w:pPr>
              <w:adjustRightInd w:val="0"/>
              <w:snapToGrid w:val="0"/>
              <w:spacing w:line="360" w:lineRule="exact"/>
              <w:jc w:val="center"/>
              <w:rPr>
                <w:szCs w:val="21"/>
              </w:rPr>
            </w:pPr>
            <w:r>
              <w:rPr>
                <w:szCs w:val="21"/>
              </w:rPr>
              <w:t>余方</w:t>
            </w:r>
            <w:r>
              <w:rPr>
                <w:rFonts w:hint="eastAsia"/>
                <w:szCs w:val="21"/>
              </w:rPr>
              <w:t>用于会车平台回填</w:t>
            </w:r>
          </w:p>
        </w:tc>
      </w:tr>
      <w:tr>
        <w:trPr>
          <w:trHeight w:val="380" w:hRule="atLeast"/>
        </w:trPr>
        <w:tc>
          <w:tcPr>
            <w:tcW w:w="1382" w:type="dxa"/>
            <w:vMerge w:val="continue"/>
            <w:vAlign w:val="center"/>
          </w:tcPr>
          <w:p>
            <w:pPr>
              <w:widowControl/>
              <w:adjustRightInd w:val="0"/>
              <w:snapToGrid w:val="0"/>
              <w:spacing w:line="360" w:lineRule="exact"/>
              <w:jc w:val="center"/>
              <w:rPr>
                <w:kern w:val="0"/>
                <w:szCs w:val="21"/>
              </w:rPr>
            </w:pPr>
          </w:p>
        </w:tc>
        <w:tc>
          <w:tcPr>
            <w:tcW w:w="1134" w:type="dxa"/>
            <w:vAlign w:val="center"/>
          </w:tcPr>
          <w:p>
            <w:pPr>
              <w:widowControl/>
              <w:adjustRightInd w:val="0"/>
              <w:snapToGrid w:val="0"/>
              <w:spacing w:line="360" w:lineRule="exact"/>
              <w:jc w:val="center"/>
              <w:rPr>
                <w:kern w:val="0"/>
                <w:szCs w:val="21"/>
              </w:rPr>
            </w:pPr>
            <w:r>
              <w:rPr>
                <w:kern w:val="0"/>
                <w:szCs w:val="21"/>
              </w:rPr>
              <w:t>土方回填</w:t>
            </w:r>
          </w:p>
        </w:tc>
        <w:tc>
          <w:tcPr>
            <w:tcW w:w="1276" w:type="dxa"/>
            <w:vAlign w:val="center"/>
          </w:tcPr>
          <w:p>
            <w:pPr>
              <w:adjustRightInd w:val="0"/>
              <w:snapToGrid w:val="0"/>
              <w:spacing w:line="360" w:lineRule="exact"/>
              <w:jc w:val="center"/>
              <w:rPr>
                <w:szCs w:val="21"/>
              </w:rPr>
            </w:pPr>
            <w:r>
              <w:rPr>
                <w:rFonts w:hint="eastAsia"/>
                <w:szCs w:val="21"/>
              </w:rPr>
              <w:t>--</w:t>
            </w:r>
          </w:p>
        </w:tc>
        <w:tc>
          <w:tcPr>
            <w:tcW w:w="1277" w:type="dxa"/>
            <w:vAlign w:val="center"/>
          </w:tcPr>
          <w:p>
            <w:pPr>
              <w:adjustRightInd w:val="0"/>
              <w:snapToGrid w:val="0"/>
              <w:spacing w:line="360" w:lineRule="exact"/>
              <w:jc w:val="center"/>
              <w:rPr>
                <w:szCs w:val="21"/>
              </w:rPr>
            </w:pPr>
            <w:r>
              <w:rPr>
                <w:rFonts w:hint="eastAsia"/>
                <w:szCs w:val="21"/>
              </w:rPr>
              <w:t>6.0</w:t>
            </w:r>
          </w:p>
        </w:tc>
        <w:tc>
          <w:tcPr>
            <w:tcW w:w="1276" w:type="dxa"/>
            <w:vAlign w:val="center"/>
          </w:tcPr>
          <w:p>
            <w:pPr>
              <w:adjustRightInd w:val="0"/>
              <w:snapToGrid w:val="0"/>
              <w:spacing w:line="360" w:lineRule="exact"/>
              <w:jc w:val="center"/>
              <w:rPr>
                <w:szCs w:val="21"/>
              </w:rPr>
            </w:pPr>
            <w:r>
              <w:rPr>
                <w:rFonts w:hint="eastAsia"/>
                <w:szCs w:val="21"/>
              </w:rPr>
              <w:t>--</w:t>
            </w:r>
          </w:p>
        </w:tc>
        <w:tc>
          <w:tcPr>
            <w:tcW w:w="1276" w:type="dxa"/>
            <w:vAlign w:val="center"/>
          </w:tcPr>
          <w:p>
            <w:pPr>
              <w:adjustRightInd w:val="0"/>
              <w:snapToGrid w:val="0"/>
              <w:spacing w:line="360" w:lineRule="exact"/>
              <w:jc w:val="center"/>
              <w:rPr>
                <w:szCs w:val="21"/>
              </w:rPr>
            </w:pPr>
          </w:p>
        </w:tc>
        <w:tc>
          <w:tcPr>
            <w:tcW w:w="2029" w:type="dxa"/>
            <w:vMerge w:val="continue"/>
            <w:vAlign w:val="center"/>
          </w:tcPr>
          <w:p>
            <w:pPr>
              <w:adjustRightInd w:val="0"/>
              <w:snapToGrid w:val="0"/>
              <w:spacing w:line="360" w:lineRule="exact"/>
              <w:jc w:val="center"/>
              <w:rPr>
                <w:szCs w:val="21"/>
              </w:rPr>
            </w:pPr>
          </w:p>
        </w:tc>
      </w:tr>
      <w:tr>
        <w:trPr>
          <w:trHeight w:val="458" w:hRule="atLeast"/>
        </w:trPr>
        <w:tc>
          <w:tcPr>
            <w:tcW w:w="2516" w:type="dxa"/>
            <w:gridSpan w:val="2"/>
            <w:vAlign w:val="center"/>
          </w:tcPr>
          <w:p>
            <w:pPr>
              <w:widowControl/>
              <w:adjustRightInd w:val="0"/>
              <w:snapToGrid w:val="0"/>
              <w:spacing w:line="360" w:lineRule="exact"/>
              <w:jc w:val="center"/>
              <w:rPr>
                <w:kern w:val="0"/>
                <w:szCs w:val="21"/>
              </w:rPr>
            </w:pPr>
            <w:r>
              <w:rPr>
                <w:kern w:val="0"/>
                <w:szCs w:val="21"/>
              </w:rPr>
              <w:t>合  计</w:t>
            </w:r>
          </w:p>
        </w:tc>
        <w:tc>
          <w:tcPr>
            <w:tcW w:w="1276" w:type="dxa"/>
            <w:vAlign w:val="center"/>
          </w:tcPr>
          <w:p>
            <w:pPr>
              <w:adjustRightInd w:val="0"/>
              <w:snapToGrid w:val="0"/>
              <w:spacing w:line="360" w:lineRule="exact"/>
              <w:jc w:val="center"/>
              <w:rPr>
                <w:szCs w:val="21"/>
              </w:rPr>
            </w:pPr>
            <w:r>
              <w:rPr>
                <w:rFonts w:hint="eastAsia"/>
                <w:szCs w:val="21"/>
              </w:rPr>
              <w:t>9.1</w:t>
            </w:r>
          </w:p>
        </w:tc>
        <w:tc>
          <w:tcPr>
            <w:tcW w:w="1277" w:type="dxa"/>
            <w:vAlign w:val="center"/>
          </w:tcPr>
          <w:p>
            <w:pPr>
              <w:adjustRightInd w:val="0"/>
              <w:snapToGrid w:val="0"/>
              <w:spacing w:line="360" w:lineRule="exact"/>
              <w:jc w:val="center"/>
              <w:rPr>
                <w:szCs w:val="21"/>
              </w:rPr>
            </w:pPr>
            <w:r>
              <w:rPr>
                <w:rFonts w:hint="eastAsia"/>
                <w:szCs w:val="21"/>
              </w:rPr>
              <w:t>9.1</w:t>
            </w:r>
          </w:p>
        </w:tc>
        <w:tc>
          <w:tcPr>
            <w:tcW w:w="1276" w:type="dxa"/>
            <w:vAlign w:val="center"/>
          </w:tcPr>
          <w:p>
            <w:pPr>
              <w:adjustRightInd w:val="0"/>
              <w:snapToGrid w:val="0"/>
              <w:spacing w:line="360" w:lineRule="exact"/>
              <w:jc w:val="center"/>
              <w:rPr>
                <w:szCs w:val="21"/>
              </w:rPr>
            </w:pPr>
            <w:r>
              <w:rPr>
                <w:rFonts w:hint="eastAsia"/>
                <w:szCs w:val="21"/>
              </w:rPr>
              <w:t>1.8</w:t>
            </w:r>
          </w:p>
        </w:tc>
        <w:tc>
          <w:tcPr>
            <w:tcW w:w="1276" w:type="dxa"/>
            <w:vAlign w:val="center"/>
          </w:tcPr>
          <w:p>
            <w:pPr>
              <w:adjustRightInd w:val="0"/>
              <w:snapToGrid w:val="0"/>
              <w:spacing w:line="360" w:lineRule="exact"/>
              <w:jc w:val="center"/>
              <w:rPr>
                <w:szCs w:val="21"/>
              </w:rPr>
            </w:pPr>
            <w:r>
              <w:rPr>
                <w:rFonts w:hint="eastAsia"/>
                <w:szCs w:val="21"/>
              </w:rPr>
              <w:t>1.8</w:t>
            </w:r>
          </w:p>
        </w:tc>
        <w:tc>
          <w:tcPr>
            <w:tcW w:w="2029" w:type="dxa"/>
            <w:vAlign w:val="center"/>
          </w:tcPr>
          <w:p>
            <w:pPr>
              <w:adjustRightInd w:val="0"/>
              <w:snapToGrid w:val="0"/>
              <w:spacing w:line="360" w:lineRule="exact"/>
              <w:jc w:val="center"/>
              <w:rPr>
                <w:szCs w:val="21"/>
              </w:rPr>
            </w:pPr>
          </w:p>
        </w:tc>
      </w:tr>
      <w:bookmarkEnd w:id="162"/>
      <w:bookmarkEnd w:id="163"/>
      <w:bookmarkEnd w:id="164"/>
      <w:bookmarkEnd w:id="165"/>
      <w:bookmarkEnd w:id="166"/>
      <w:bookmarkEnd w:id="167"/>
      <w:bookmarkEnd w:id="168"/>
      <w:bookmarkEnd w:id="169"/>
      <w:bookmarkEnd w:id="170"/>
    </w:tbl>
    <w:p>
      <w:pPr>
        <w:wordWrap w:val="0"/>
        <w:spacing w:line="440" w:lineRule="exact"/>
        <w:ind w:firstLine="480" w:firstLineChars="200"/>
        <w:rPr>
          <w:sz w:val="24"/>
        </w:rPr>
      </w:pPr>
      <w:r>
        <w:rPr>
          <w:rFonts w:hint="eastAsia"/>
          <w:sz w:val="24"/>
        </w:rPr>
        <w:t>4、</w:t>
      </w:r>
      <w:r>
        <w:rPr>
          <w:sz w:val="24"/>
        </w:rPr>
        <w:t>选址合理性分析</w:t>
      </w:r>
    </w:p>
    <w:p>
      <w:pPr>
        <w:wordWrap w:val="0"/>
        <w:spacing w:line="440" w:lineRule="exact"/>
        <w:ind w:firstLine="480" w:firstLineChars="200"/>
        <w:rPr>
          <w:sz w:val="24"/>
        </w:rPr>
      </w:pPr>
      <w:r>
        <w:rPr>
          <w:sz w:val="24"/>
        </w:rPr>
        <w:t>（1）风资源</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本项目所选场址范围内，风机轮毂</w:t>
      </w:r>
      <w:r>
        <w:rPr>
          <w:rFonts w:hint="eastAsia" w:ascii="Times New Roman" w:hAnsi="Times New Roman" w:cs="Times New Roman"/>
        </w:rPr>
        <w:t>90</w:t>
      </w:r>
      <w:r>
        <w:rPr>
          <w:rFonts w:ascii="Times New Roman" w:hAnsi="Times New Roman" w:cs="Times New Roman"/>
        </w:rPr>
        <w:t>m高度年</w:t>
      </w:r>
      <w:r>
        <w:rPr>
          <w:rFonts w:ascii="Times New Roman" w:hAnsi="Times New Roman" w:cs="Times New Roman"/>
          <w:kern w:val="32"/>
        </w:rPr>
        <w:t>平均风速分别为</w:t>
      </w:r>
      <w:r>
        <w:rPr>
          <w:rFonts w:hint="eastAsia" w:ascii="Times New Roman" w:hAnsi="Times New Roman" w:cs="Times New Roman"/>
          <w:kern w:val="32"/>
        </w:rPr>
        <w:t>6.43m/s</w:t>
      </w:r>
      <w:r>
        <w:rPr>
          <w:rFonts w:ascii="Times New Roman" w:hAnsi="Times New Roman" w:cs="Times New Roman"/>
          <w:kern w:val="32"/>
        </w:rPr>
        <w:t>，相应风功率密度为</w:t>
      </w:r>
      <w:r>
        <w:rPr>
          <w:rFonts w:hint="eastAsia" w:ascii="Times New Roman" w:hAnsi="Times New Roman" w:cs="Times New Roman"/>
        </w:rPr>
        <w:t>270.1</w:t>
      </w:r>
      <w:r>
        <w:rPr>
          <w:rFonts w:ascii="Times New Roman" w:hAnsi="Times New Roman" w:cs="Times New Roman"/>
        </w:rPr>
        <w:t>W/m</w:t>
      </w:r>
      <w:r>
        <w:rPr>
          <w:rFonts w:ascii="Times New Roman" w:hAnsi="Times New Roman" w:cs="Times New Roman"/>
          <w:vertAlign w:val="superscript"/>
        </w:rPr>
        <w:t>2</w:t>
      </w:r>
      <w:r>
        <w:rPr>
          <w:rFonts w:ascii="Times New Roman" w:hAnsi="Times New Roman" w:cs="Times New Roman"/>
        </w:rPr>
        <w:t>，风功率密度等级为</w:t>
      </w:r>
      <w:r>
        <w:rPr>
          <w:rFonts w:hint="eastAsia" w:ascii="Times New Roman" w:hAnsi="Times New Roman" w:cs="Times New Roman"/>
        </w:rPr>
        <w:t>II</w:t>
      </w:r>
      <w:r>
        <w:rPr>
          <w:rFonts w:ascii="Times New Roman" w:hAnsi="Times New Roman" w:cs="Times New Roman"/>
        </w:rPr>
        <w:t>级(GB/T18710-2002)。从风能分布来看，较大比例在可利用区间。本风场风能品质较好，具备较好的开发价值。</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风电场风速与风功率密度变化基本一致，</w:t>
      </w:r>
      <w:r>
        <w:rPr>
          <w:rFonts w:ascii="Times New Roman" w:hAnsi="Times New Roman" w:cs="Times New Roman"/>
        </w:rPr>
        <w:t>7</w:t>
      </w:r>
      <w:r>
        <w:rPr>
          <w:rFonts w:hint="eastAsia" w:ascii="Times New Roman" w:hAnsi="Times New Roman" w:cs="Times New Roman"/>
        </w:rPr>
        <w:t>月</w:t>
      </w:r>
      <w:r>
        <w:rPr>
          <w:rFonts w:hint="eastAsia" w:ascii="MS Mincho" w:hAnsi="MS Mincho" w:eastAsia="MS Mincho" w:cs="MS Mincho"/>
        </w:rPr>
        <w:t>〜</w:t>
      </w:r>
      <w:r>
        <w:rPr>
          <w:rFonts w:ascii="Times New Roman" w:hAnsi="Times New Roman" w:cs="Times New Roman"/>
        </w:rPr>
        <w:t>9</w:t>
      </w:r>
      <w:r>
        <w:rPr>
          <w:rFonts w:hint="eastAsia" w:ascii="Times New Roman" w:hAnsi="Times New Roman" w:cs="Times New Roman"/>
        </w:rPr>
        <w:t>月（夏秋季</w:t>
      </w:r>
      <w:r>
        <w:rPr>
          <w:rFonts w:ascii="Times New Roman" w:hAnsi="Times New Roman" w:cs="Times New Roman"/>
        </w:rPr>
        <w:t>)</w:t>
      </w:r>
      <w:r>
        <w:rPr>
          <w:rFonts w:hint="eastAsia" w:ascii="Times New Roman" w:hAnsi="Times New Roman" w:cs="Times New Roman"/>
        </w:rPr>
        <w:t>平均风速与平均风功率密度较小，</w:t>
      </w:r>
      <w:r>
        <w:rPr>
          <w:rFonts w:ascii="Times New Roman" w:hAnsi="Times New Roman" w:cs="Times New Roman"/>
        </w:rPr>
        <w:t>3</w:t>
      </w:r>
      <w:r>
        <w:rPr>
          <w:rFonts w:hint="eastAsia" w:ascii="Times New Roman" w:hAnsi="Times New Roman" w:cs="Times New Roman"/>
        </w:rPr>
        <w:t>月、</w:t>
      </w:r>
      <w:r>
        <w:rPr>
          <w:rFonts w:ascii="Times New Roman" w:hAnsi="Times New Roman" w:cs="Times New Roman"/>
        </w:rPr>
        <w:t>11</w:t>
      </w:r>
      <w:r>
        <w:rPr>
          <w:rFonts w:hint="eastAsia" w:ascii="Times New Roman" w:hAnsi="Times New Roman" w:cs="Times New Roman"/>
        </w:rPr>
        <w:t>月</w:t>
      </w:r>
      <w:r>
        <w:rPr>
          <w:rFonts w:ascii="Times New Roman" w:hAnsi="Times New Roman" w:cs="Times New Roman"/>
        </w:rPr>
        <w:t>12</w:t>
      </w:r>
      <w:r>
        <w:rPr>
          <w:rFonts w:hint="eastAsia" w:ascii="Times New Roman" w:hAnsi="Times New Roman" w:cs="Times New Roman"/>
        </w:rPr>
        <w:t>月平均风速与平均风功率密度较大，季风特性显著，而风机的检修维护等工作可以安排在夏秋季节进行，以此提高风机的有效利用率。</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本风电场风向比较集中，主导风能方向</w:t>
      </w:r>
      <w:r>
        <w:rPr>
          <w:rFonts w:ascii="Times New Roman" w:hAnsi="Times New Roman" w:cs="Times New Roman"/>
        </w:rPr>
        <w:t>NW</w:t>
      </w:r>
      <w:r>
        <w:rPr>
          <w:rFonts w:hint="eastAsia" w:ascii="Times New Roman" w:hAnsi="Times New Roman" w:cs="Times New Roman"/>
        </w:rPr>
        <w:t>与</w:t>
      </w:r>
      <w:r>
        <w:rPr>
          <w:rFonts w:ascii="Times New Roman" w:hAnsi="Times New Roman" w:cs="Times New Roman"/>
        </w:rPr>
        <w:t>N</w:t>
      </w:r>
      <w:r>
        <w:rPr>
          <w:rFonts w:hint="eastAsia" w:ascii="Times New Roman" w:hAnsi="Times New Roman" w:cs="Times New Roman"/>
        </w:rPr>
        <w:t>频率之和超过</w:t>
      </w:r>
      <w:r>
        <w:rPr>
          <w:rFonts w:ascii="Times New Roman" w:hAnsi="Times New Roman" w:cs="Times New Roman"/>
        </w:rPr>
        <w:t>50%</w:t>
      </w:r>
      <w:r>
        <w:rPr>
          <w:rFonts w:hint="eastAsia" w:ascii="Times New Roman" w:hAnsi="Times New Roman" w:cs="Times New Roman"/>
        </w:rPr>
        <w:t>，非常有利于风机的排布。</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综上所述，本风电场风速分布合理，主导风能风向集中，风能资源较丰富，具有良好的开发价值。</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（2）村庄分布和土地利用现状</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岢岚县</w:t>
      </w:r>
      <w:r>
        <w:rPr>
          <w:rFonts w:ascii="Times New Roman" w:hAnsi="Times New Roman" w:cs="Times New Roman"/>
        </w:rPr>
        <w:t>城市总体规划（20</w:t>
      </w:r>
      <w:r>
        <w:rPr>
          <w:rFonts w:hint="eastAsia" w:ascii="Times New Roman" w:hAnsi="Times New Roman" w:cs="Times New Roman"/>
        </w:rPr>
        <w:t>08</w:t>
      </w:r>
      <w:r>
        <w:rPr>
          <w:rFonts w:ascii="Times New Roman" w:hAnsi="Times New Roman" w:cs="Times New Roman"/>
        </w:rPr>
        <w:t>-20</w:t>
      </w:r>
      <w:r>
        <w:rPr>
          <w:rFonts w:hint="eastAsia" w:ascii="Times New Roman" w:hAnsi="Times New Roman" w:cs="Times New Roman"/>
        </w:rPr>
        <w:t>2</w:t>
      </w:r>
      <w:r>
        <w:rPr>
          <w:rFonts w:ascii="Times New Roman" w:hAnsi="Times New Roman" w:cs="Times New Roman"/>
        </w:rPr>
        <w:t>0）》，项目区位于农村地区，</w:t>
      </w:r>
      <w:r>
        <w:rPr>
          <w:rFonts w:hint="eastAsia" w:ascii="Times New Roman" w:hAnsi="Times New Roman" w:cs="Times New Roman"/>
        </w:rPr>
        <w:t>风电场边界</w:t>
      </w:r>
      <w:r>
        <w:rPr>
          <w:rFonts w:ascii="Times New Roman" w:hAnsi="Times New Roman" w:cs="Times New Roman"/>
        </w:rPr>
        <w:t>距</w:t>
      </w:r>
      <w:r>
        <w:rPr>
          <w:rFonts w:hint="eastAsia" w:ascii="Times New Roman" w:hAnsi="Times New Roman" w:cs="Times New Roman"/>
        </w:rPr>
        <w:t>岢岚</w:t>
      </w:r>
      <w:r>
        <w:rPr>
          <w:rFonts w:ascii="Times New Roman" w:hAnsi="Times New Roman" w:cs="Times New Roman"/>
        </w:rPr>
        <w:t>城区约</w:t>
      </w:r>
      <w:r>
        <w:rPr>
          <w:rFonts w:hint="eastAsia" w:ascii="Times New Roman" w:hAnsi="Times New Roman" w:cs="Times New Roman"/>
        </w:rPr>
        <w:t>4.3</w:t>
      </w:r>
      <w:r>
        <w:rPr>
          <w:rFonts w:ascii="Times New Roman" w:hAnsi="Times New Roman" w:cs="Times New Roman"/>
        </w:rPr>
        <w:t>km，场址不</w:t>
      </w:r>
      <w:r>
        <w:rPr>
          <w:rFonts w:hint="eastAsia" w:ascii="Times New Roman" w:hAnsi="Times New Roman" w:cs="Times New Roman"/>
        </w:rPr>
        <w:t>在岢岚县</w:t>
      </w:r>
      <w:r>
        <w:rPr>
          <w:rFonts w:ascii="Times New Roman" w:hAnsi="Times New Roman" w:cs="Times New Roman"/>
        </w:rPr>
        <w:t>城市规划区范围内，不违背</w:t>
      </w:r>
      <w:r>
        <w:rPr>
          <w:rFonts w:hint="eastAsia" w:ascii="Times New Roman" w:hAnsi="Times New Roman" w:cs="Times New Roman"/>
        </w:rPr>
        <w:t>岢岚县城市</w:t>
      </w:r>
      <w:r>
        <w:rPr>
          <w:rFonts w:ascii="Times New Roman" w:hAnsi="Times New Roman" w:cs="Times New Roman"/>
        </w:rPr>
        <w:t>总体规划。本项目风电场址位于</w:t>
      </w:r>
      <w:r>
        <w:rPr>
          <w:rFonts w:hint="eastAsia" w:ascii="Times New Roman" w:hAnsi="Times New Roman" w:cs="Times New Roman"/>
          <w:bCs/>
        </w:rPr>
        <w:t>岢岚县岚漪镇后砖窑村一带</w:t>
      </w:r>
      <w:r>
        <w:rPr>
          <w:rFonts w:ascii="Times New Roman" w:hAnsi="Times New Roman" w:cs="Times New Roman"/>
        </w:rPr>
        <w:t>，周边</w:t>
      </w:r>
      <w:r>
        <w:rPr>
          <w:rFonts w:hint="eastAsia" w:ascii="Times New Roman" w:hAnsi="Times New Roman" w:cs="Times New Roman"/>
        </w:rPr>
        <w:t>无村庄分布</w:t>
      </w:r>
      <w:r>
        <w:rPr>
          <w:rFonts w:ascii="Times New Roman" w:hAnsi="Times New Roman" w:cs="Times New Roman"/>
        </w:rPr>
        <w:t>，远离人群居住地。项目选址符合国家《风电场工程建设用地和环境保护管理暂行办法》的用地管理要求。</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（3）风电规划符合性</w:t>
      </w:r>
    </w:p>
    <w:p>
      <w:pPr>
        <w:wordWrap w:val="0"/>
        <w:spacing w:line="420" w:lineRule="exact"/>
        <w:ind w:firstLine="480" w:firstLineChars="200"/>
        <w:rPr>
          <w:sz w:val="24"/>
        </w:rPr>
      </w:pPr>
      <w:r>
        <w:rPr>
          <w:rFonts w:hint="eastAsia"/>
          <w:sz w:val="24"/>
        </w:rPr>
        <w:t>山西省发展和改革委员会于2018年5月18日以晋发改新能源发【2018】218号文发布“关于印发《山西省‘十三五’分散式风电开发建设方案》的通知”将本项目规划的6MW装机容量列入风电开发建设方案。同时本项目也符合《山西省“十三五”战略性新兴产业发展规划》关于新能源产业中关于发展风电场的要求。</w:t>
      </w:r>
    </w:p>
    <w:p>
      <w:pPr>
        <w:wordWrap w:val="0"/>
        <w:spacing w:line="420" w:lineRule="exact"/>
        <w:ind w:firstLine="480" w:firstLineChars="200"/>
        <w:rPr>
          <w:sz w:val="24"/>
        </w:rPr>
      </w:pPr>
      <w:r>
        <w:rPr>
          <w:sz w:val="24"/>
        </w:rPr>
        <w:t>本项目实施后风电量可部分置换火力发电量，有利增加清洁能源供应，促进能源结构调整，可节能减排保护大气环境，与《山西省环境保护</w:t>
      </w:r>
      <w:r>
        <w:rPr>
          <w:rFonts w:hint="eastAsia"/>
          <w:sz w:val="24"/>
        </w:rPr>
        <w:t>“</w:t>
      </w:r>
      <w:r>
        <w:rPr>
          <w:sz w:val="24"/>
        </w:rPr>
        <w:t>十</w:t>
      </w:r>
      <w:r>
        <w:rPr>
          <w:rFonts w:hint="eastAsia"/>
          <w:sz w:val="24"/>
        </w:rPr>
        <w:t>三</w:t>
      </w:r>
      <w:r>
        <w:rPr>
          <w:sz w:val="24"/>
        </w:rPr>
        <w:t>五</w:t>
      </w:r>
      <w:r>
        <w:rPr>
          <w:rFonts w:hint="eastAsia"/>
          <w:sz w:val="24"/>
        </w:rPr>
        <w:t>”</w:t>
      </w:r>
      <w:r>
        <w:rPr>
          <w:sz w:val="24"/>
        </w:rPr>
        <w:t>规划》中</w:t>
      </w:r>
      <w:r>
        <w:rPr>
          <w:rFonts w:hint="eastAsia"/>
          <w:sz w:val="24"/>
        </w:rPr>
        <w:t>“</w:t>
      </w:r>
      <w:r>
        <w:rPr>
          <w:sz w:val="24"/>
        </w:rPr>
        <w:t>提升大气环境质量—发展清洁能源</w:t>
      </w:r>
      <w:r>
        <w:rPr>
          <w:rFonts w:hint="eastAsia"/>
          <w:sz w:val="24"/>
        </w:rPr>
        <w:t>”</w:t>
      </w:r>
      <w:r>
        <w:rPr>
          <w:sz w:val="24"/>
        </w:rPr>
        <w:t>专项规划相协调。</w:t>
      </w:r>
    </w:p>
    <w:p>
      <w:pPr>
        <w:wordWrap w:val="0"/>
        <w:spacing w:line="420" w:lineRule="exact"/>
        <w:ind w:firstLine="480" w:firstLineChars="200"/>
        <w:rPr>
          <w:sz w:val="24"/>
        </w:rPr>
      </w:pPr>
      <w:r>
        <w:rPr>
          <w:sz w:val="24"/>
        </w:rPr>
        <w:t>（4）环境敏感性分析</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kern w:val="2"/>
        </w:rPr>
      </w:pPr>
      <w:r>
        <w:rPr>
          <w:rFonts w:ascii="Times New Roman" w:hAnsi="Times New Roman" w:cs="Times New Roman"/>
        </w:rPr>
        <w:t>本风电场范围内无国家和省级自然保护区及其他需特殊保护的区域，区内无国家和省级重点文物古迹等，不是野生保护动植物集中分布区域，因此本风电场环境敏感程度较低。</w:t>
      </w:r>
    </w:p>
    <w:p>
      <w:pPr>
        <w:wordWrap w:val="0"/>
        <w:spacing w:line="420" w:lineRule="exact"/>
        <w:ind w:firstLine="480" w:firstLineChars="200"/>
        <w:rPr>
          <w:sz w:val="24"/>
        </w:rPr>
      </w:pPr>
      <w:r>
        <w:rPr>
          <w:sz w:val="24"/>
        </w:rPr>
        <w:t>综上所述，该风电场风资源条件较好，村庄分布和土地利用满足相关要求，符合山西省风电规划和地方相关规划，风电场敏感程度较低，从以上各方面分析，项目选址较合理。</w:t>
      </w:r>
    </w:p>
    <w:p>
      <w:pPr>
        <w:wordWrap w:val="0"/>
        <w:spacing w:line="420" w:lineRule="exact"/>
        <w:ind w:firstLine="480" w:firstLineChars="200"/>
        <w:rPr>
          <w:sz w:val="24"/>
        </w:rPr>
      </w:pPr>
      <w:r>
        <w:rPr>
          <w:rFonts w:hint="eastAsia"/>
          <w:sz w:val="24"/>
        </w:rPr>
        <w:t>4、产业政策符合性分析</w:t>
      </w:r>
    </w:p>
    <w:p>
      <w:pPr>
        <w:wordWrap w:val="0"/>
        <w:autoSpaceDE w:val="0"/>
        <w:autoSpaceDN w:val="0"/>
        <w:adjustRightInd w:val="0"/>
        <w:spacing w:line="420" w:lineRule="exact"/>
        <w:ind w:firstLine="480" w:firstLineChars="200"/>
        <w:rPr>
          <w:rFonts w:cs="宋?"/>
          <w:kern w:val="0"/>
          <w:sz w:val="24"/>
        </w:rPr>
      </w:pPr>
      <w:r>
        <w:rPr>
          <w:rFonts w:cs="宋?"/>
          <w:kern w:val="0"/>
          <w:sz w:val="24"/>
        </w:rPr>
        <w:t>根据《产业结构调整指导目录（</w:t>
      </w:r>
      <w:r>
        <w:rPr>
          <w:kern w:val="0"/>
          <w:sz w:val="24"/>
        </w:rPr>
        <w:t>2011</w:t>
      </w:r>
      <w:r>
        <w:rPr>
          <w:rFonts w:cs="宋?"/>
          <w:kern w:val="0"/>
          <w:sz w:val="24"/>
        </w:rPr>
        <w:t>年本）（</w:t>
      </w:r>
      <w:r>
        <w:rPr>
          <w:kern w:val="0"/>
          <w:sz w:val="24"/>
        </w:rPr>
        <w:t>2013</w:t>
      </w:r>
      <w:r>
        <w:rPr>
          <w:rFonts w:cs="宋?"/>
          <w:kern w:val="0"/>
          <w:sz w:val="24"/>
        </w:rPr>
        <w:t>年修正）》中的相关内容</w:t>
      </w:r>
      <w:r>
        <w:rPr>
          <w:rFonts w:hint="eastAsia" w:cs="宋?"/>
          <w:kern w:val="0"/>
          <w:sz w:val="24"/>
        </w:rPr>
        <w:t>，风</w:t>
      </w:r>
      <w:r>
        <w:rPr>
          <w:rFonts w:cs="宋?"/>
          <w:kern w:val="0"/>
          <w:sz w:val="24"/>
        </w:rPr>
        <w:t>力发电属鼓励类中的第五项新能源中的第</w:t>
      </w:r>
      <w:r>
        <w:rPr>
          <w:kern w:val="0"/>
          <w:sz w:val="24"/>
        </w:rPr>
        <w:t>2</w:t>
      </w:r>
      <w:r>
        <w:rPr>
          <w:rFonts w:cs="宋?"/>
          <w:kern w:val="0"/>
          <w:sz w:val="24"/>
        </w:rPr>
        <w:t>条风电与光伏发电互补系统技术开发与应用。因此，本项目符合国家产业政策要求</w:t>
      </w:r>
      <w:r>
        <w:rPr>
          <w:rFonts w:hint="eastAsia" w:cs="宋?"/>
          <w:kern w:val="0"/>
          <w:sz w:val="24"/>
        </w:rPr>
        <w:t>。</w:t>
      </w:r>
    </w:p>
    <w:p>
      <w:pPr>
        <w:wordWrap w:val="0"/>
        <w:spacing w:line="420" w:lineRule="exact"/>
        <w:rPr>
          <w:rFonts w:cs="宋?"/>
          <w:kern w:val="0"/>
          <w:sz w:val="24"/>
        </w:rPr>
      </w:pPr>
      <w:r>
        <w:rPr>
          <w:rFonts w:hint="eastAsia" w:cs="宋?"/>
          <w:kern w:val="0"/>
          <w:sz w:val="24"/>
        </w:rPr>
        <w:t xml:space="preserve">    5、“三线一单”符合性分析</w:t>
      </w:r>
    </w:p>
    <w:p>
      <w:pPr>
        <w:wordWrap w:val="0"/>
        <w:spacing w:line="420" w:lineRule="exact"/>
        <w:ind w:firstLine="480" w:firstLineChars="200"/>
        <w:rPr>
          <w:rFonts w:cs="宋?"/>
          <w:kern w:val="0"/>
          <w:sz w:val="24"/>
        </w:rPr>
      </w:pPr>
      <w:r>
        <w:rPr>
          <w:rFonts w:hint="eastAsia" w:cs="宋?"/>
          <w:kern w:val="0"/>
          <w:sz w:val="24"/>
        </w:rPr>
        <w:t>根据环境保护部环环评[2016]150号“关于以改善环境质量为核心加强环境影响评价管理的通知”，本项目三线一单符合性分析如下：</w:t>
      </w:r>
    </w:p>
    <w:p>
      <w:pPr>
        <w:autoSpaceDE w:val="0"/>
        <w:autoSpaceDN w:val="0"/>
        <w:adjustRightInd w:val="0"/>
        <w:spacing w:line="420" w:lineRule="exact"/>
        <w:ind w:firstLine="480" w:firstLineChars="200"/>
        <w:rPr>
          <w:rFonts w:ascii="宋?" w:hAnsi="宋?" w:cs="宋?"/>
          <w:kern w:val="0"/>
          <w:sz w:val="24"/>
        </w:rPr>
      </w:pPr>
      <w:r>
        <w:rPr>
          <w:rFonts w:hint="eastAsia" w:cs="宋?"/>
          <w:kern w:val="0"/>
          <w:sz w:val="24"/>
        </w:rPr>
        <w:t>生态保护红线：本项目位于岢岚县岚漪镇后砖窑村一带，岢岚县目前尚未发布当地的生态保护红线</w:t>
      </w:r>
      <w:r>
        <w:rPr>
          <w:rFonts w:hint="eastAsia" w:ascii="宋?" w:hAnsi="宋?" w:cs="宋?"/>
          <w:kern w:val="0"/>
          <w:sz w:val="24"/>
        </w:rPr>
        <w:t>。根据忻环【2018】117号文《关于忻州市2018年风电开发建设项目涉及生态保护红线划定方案的报告》，山西省涉及生态保护红线的风电项目拟按照环保部《生态保护红线管理办法（暂行）》（征求意见稿）中提出的“列入省级以上规划且涉及公益、民生和生态保护的线性基础设施，防洪水利工程，以及已经获得批准的风电、光伏建设项目，在不影响主导生态功能的前提下，可严格按照主管部门批复的项目选址和规模等进行建设，并在建设工程结束后对造成影响的区域进行生态修复的相关规定予以管控”。本项目已列入《山西省‘十三五’分散式风电开发建设方案》（见附件2）的建设内容之一，属于已经获得批准的风电建设项目，本项目严格按照主管部门批复的规模进行建设，并在建设工程结束后对造成影响的区域进行生态修复，因此，不违背忻环【2018】117号文的管理要求。</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另外，根据《环境保护法》规定，应在事关国家和区域生态安全的重点生态功能、生态环境敏感区和脆弱区以及其他重要的生态区域内，规定生态保护红线，实施严格保护。根据《环境影响评价技术导则 生态影响》（HJ19-2011），本项目选址不在特殊生态敏感区，即自然保护区、世界文化和自然遗产地等；也不在重要生态敏感区，即风景名胜区、森林公园、地质公园、重要湿地、原始天然林、珍稀濒危野生动植物天然集中分布区、重要水生生物的自然产卵场及索饵场、越冬场和洄游通道，天然渔场等。</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因此，本项目建设不违背生态保护红线保护要求。</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项目建设过程中对原荒草地实行草、灌结合，种植沙棘、柠条等抗破坏性强的植被，积极发展混交林，加强水土保持，符合区域生态环境保护要求。本项目风机及进场道路建设中不占用森林公园、山西省永久性保护林地，占用其他林地，项目实施前建设单位应办理林地征用手续。</w:t>
      </w:r>
    </w:p>
    <w:p>
      <w:pPr>
        <w:wordWrap w:val="0"/>
        <w:spacing w:line="420" w:lineRule="exact"/>
        <w:ind w:firstLine="480" w:firstLineChars="200"/>
        <w:rPr>
          <w:rFonts w:cs="宋?"/>
          <w:kern w:val="0"/>
          <w:sz w:val="24"/>
        </w:rPr>
      </w:pPr>
      <w:r>
        <w:rPr>
          <w:rFonts w:hint="eastAsia" w:cs="宋?"/>
          <w:kern w:val="0"/>
          <w:sz w:val="24"/>
        </w:rPr>
        <w:t>环境质量底线：对照国家和地方设置的大气、水和土壤环境质量目标，本项目无废气排放，区域环境质量未超标，符合环境质量底线的要求；</w:t>
      </w:r>
    </w:p>
    <w:p>
      <w:pPr>
        <w:wordWrap w:val="0"/>
        <w:spacing w:line="420" w:lineRule="exact"/>
        <w:ind w:firstLine="480" w:firstLineChars="200"/>
        <w:rPr>
          <w:rFonts w:cs="宋?"/>
          <w:kern w:val="0"/>
          <w:sz w:val="24"/>
        </w:rPr>
      </w:pPr>
      <w:r>
        <w:rPr>
          <w:rFonts w:hint="eastAsia" w:cs="宋?"/>
          <w:kern w:val="0"/>
          <w:sz w:val="24"/>
        </w:rPr>
        <w:t>资源利用上线：本项目行业类别属风力发电，充分利用当地风能资源转化为电能能源，实现年上网电量14209.6</w:t>
      </w:r>
      <w:r>
        <w:rPr>
          <w:kern w:val="0"/>
          <w:sz w:val="24"/>
        </w:rPr>
        <w:t>MWh</w:t>
      </w:r>
      <w:r>
        <w:rPr>
          <w:rFonts w:hint="eastAsia" w:cs="宋?"/>
          <w:kern w:val="0"/>
          <w:sz w:val="24"/>
        </w:rPr>
        <w:t>，符合资源利用上线的要求；</w:t>
      </w:r>
    </w:p>
    <w:p>
      <w:pPr>
        <w:wordWrap w:val="0"/>
        <w:autoSpaceDE w:val="0"/>
        <w:autoSpaceDN w:val="0"/>
        <w:adjustRightInd w:val="0"/>
        <w:spacing w:line="420" w:lineRule="exact"/>
        <w:ind w:firstLine="480" w:firstLineChars="200"/>
        <w:rPr>
          <w:rFonts w:cs="宋?"/>
          <w:kern w:val="0"/>
          <w:sz w:val="24"/>
        </w:rPr>
      </w:pPr>
      <w:r>
        <w:rPr>
          <w:rFonts w:hint="eastAsia" w:cs="宋?"/>
          <w:kern w:val="0"/>
          <w:sz w:val="24"/>
        </w:rPr>
        <w:t>环境准入负面清单：本项目</w:t>
      </w:r>
      <w:r>
        <w:rPr>
          <w:rFonts w:cs="宋?"/>
          <w:kern w:val="0"/>
          <w:sz w:val="24"/>
        </w:rPr>
        <w:t>《产业结构调整指导目录（</w:t>
      </w:r>
      <w:r>
        <w:rPr>
          <w:kern w:val="0"/>
          <w:sz w:val="24"/>
        </w:rPr>
        <w:t>2011</w:t>
      </w:r>
      <w:r>
        <w:rPr>
          <w:rFonts w:cs="宋?"/>
          <w:kern w:val="0"/>
          <w:sz w:val="24"/>
        </w:rPr>
        <w:t>年本）（</w:t>
      </w:r>
      <w:r>
        <w:rPr>
          <w:kern w:val="0"/>
          <w:sz w:val="24"/>
        </w:rPr>
        <w:t>2013</w:t>
      </w:r>
      <w:r>
        <w:rPr>
          <w:rFonts w:cs="宋?"/>
          <w:kern w:val="0"/>
          <w:sz w:val="24"/>
        </w:rPr>
        <w:t xml:space="preserve"> 年修正）》中的相关内容</w:t>
      </w:r>
      <w:r>
        <w:rPr>
          <w:rFonts w:hint="eastAsia" w:cs="宋?"/>
          <w:kern w:val="0"/>
          <w:sz w:val="24"/>
        </w:rPr>
        <w:t>，风</w:t>
      </w:r>
      <w:r>
        <w:rPr>
          <w:rFonts w:cs="宋?"/>
          <w:kern w:val="0"/>
          <w:sz w:val="24"/>
        </w:rPr>
        <w:t>力发电属鼓励类中的第五项新能源中的第</w:t>
      </w:r>
      <w:r>
        <w:rPr>
          <w:kern w:val="0"/>
          <w:sz w:val="24"/>
        </w:rPr>
        <w:t>2</w:t>
      </w:r>
      <w:r>
        <w:rPr>
          <w:rFonts w:cs="宋?"/>
          <w:kern w:val="0"/>
          <w:sz w:val="24"/>
        </w:rPr>
        <w:t>条风电与光伏发电互补系统技术开发与应用</w:t>
      </w:r>
      <w:r>
        <w:rPr>
          <w:rFonts w:hint="eastAsia" w:cs="宋?"/>
          <w:kern w:val="0"/>
          <w:sz w:val="24"/>
        </w:rPr>
        <w:t xml:space="preserve">，且能实现污染物综合利用和风能资源转化利用，因此符合环境准入负面清单的要求。 </w:t>
      </w:r>
    </w:p>
    <w:p>
      <w:pPr>
        <w:wordWrap w:val="0"/>
        <w:spacing w:line="420" w:lineRule="exact"/>
        <w:ind w:firstLine="480" w:firstLineChars="200"/>
        <w:rPr>
          <w:rFonts w:cs="宋?"/>
          <w:kern w:val="0"/>
          <w:sz w:val="24"/>
        </w:rPr>
      </w:pPr>
      <w:r>
        <w:rPr>
          <w:rFonts w:hint="eastAsia" w:cs="宋?"/>
          <w:kern w:val="0"/>
          <w:sz w:val="24"/>
        </w:rPr>
        <w:t>综上，本项目的建设符合国家“三线一单”的管控原则。</w:t>
      </w:r>
    </w:p>
    <w:p>
      <w:pPr>
        <w:wordWrap w:val="0"/>
        <w:spacing w:line="420" w:lineRule="exact"/>
        <w:ind w:firstLine="480" w:firstLineChars="200"/>
        <w:rPr>
          <w:rFonts w:cs="宋?"/>
          <w:kern w:val="0"/>
          <w:sz w:val="24"/>
        </w:rPr>
      </w:pPr>
    </w:p>
    <w:p>
      <w:pPr>
        <w:wordWrap w:val="0"/>
        <w:spacing w:line="420" w:lineRule="exact"/>
        <w:rPr>
          <w:rFonts w:cs="宋?"/>
          <w:kern w:val="0"/>
          <w:sz w:val="24"/>
        </w:rPr>
        <w:sectPr>
          <w:pgSz w:w="11906" w:h="16838"/>
          <w:pgMar w:top="1418" w:right="1418" w:bottom="1418" w:left="1418" w:header="851" w:footer="851" w:gutter="0"/>
          <w:cols w:space="720" w:num="1"/>
          <w:docGrid w:type="lines" w:linePitch="312"/>
        </w:sectPr>
      </w:pPr>
    </w:p>
    <w:p>
      <w:pPr>
        <w:pStyle w:val="15"/>
        <w:wordWrap w:val="0"/>
        <w:snapToGrid w:val="0"/>
        <w:spacing w:beforeLines="25" w:afterLines="25" w:line="440" w:lineRule="exact"/>
        <w:outlineLvl w:val="0"/>
        <w:rPr>
          <w:rFonts w:ascii="Times New Roman" w:hAnsi="Times New Roman" w:cs="Times New Roman"/>
          <w:b/>
          <w:bCs/>
          <w:sz w:val="28"/>
          <w:szCs w:val="28"/>
        </w:rPr>
      </w:pPr>
      <w:bookmarkStart w:id="171" w:name="_Toc528854946"/>
      <w:r>
        <w:rPr>
          <w:rFonts w:hint="eastAsia" w:ascii="Times New Roman" w:hAnsi="Times New Roman" w:cs="Times New Roman"/>
          <w:b/>
          <w:bCs/>
          <w:sz w:val="28"/>
          <w:szCs w:val="28"/>
        </w:rPr>
        <w:t>六、环境影响分析、拟采取防治措施及预期治理效果</w:t>
      </w:r>
      <w:bookmarkEnd w:id="171"/>
      <w:r>
        <w:rPr>
          <w:rFonts w:hint="eastAsia" w:ascii="Times New Roman" w:hAnsi="Times New Roman" w:cs="Times New Roman"/>
          <w:b/>
          <w:bCs/>
          <w:sz w:val="28"/>
          <w:szCs w:val="28"/>
        </w:rPr>
        <w:t xml:space="preserve"> </w:t>
      </w:r>
    </w:p>
    <w:p>
      <w:pPr>
        <w:wordWrap w:val="0"/>
        <w:spacing w:beforeLines="25" w:afterLines="25" w:line="440" w:lineRule="exact"/>
        <w:ind w:firstLine="472" w:firstLineChars="196"/>
        <w:rPr>
          <w:b/>
          <w:sz w:val="24"/>
        </w:rPr>
      </w:pPr>
      <w:bookmarkStart w:id="172" w:name="_Toc406057636"/>
      <w:bookmarkStart w:id="173" w:name="_Toc406057744"/>
      <w:bookmarkStart w:id="174" w:name="_Toc406057941"/>
      <w:bookmarkStart w:id="175" w:name="_Toc409679616"/>
      <w:bookmarkStart w:id="176" w:name="_Toc409679743"/>
      <w:bookmarkStart w:id="177" w:name="_Toc436993095"/>
      <w:bookmarkStart w:id="178" w:name="_Toc479326684"/>
      <w:r>
        <w:rPr>
          <w:rFonts w:hint="eastAsia"/>
          <w:b/>
          <w:sz w:val="24"/>
        </w:rPr>
        <w:t>1．施工期的环境影响分析</w:t>
      </w:r>
      <w:bookmarkEnd w:id="172"/>
      <w:bookmarkEnd w:id="173"/>
      <w:bookmarkEnd w:id="174"/>
      <w:bookmarkEnd w:id="175"/>
      <w:bookmarkEnd w:id="176"/>
      <w:bookmarkEnd w:id="177"/>
      <w:bookmarkEnd w:id="178"/>
    </w:p>
    <w:p>
      <w:pPr>
        <w:wordWrap w:val="0"/>
        <w:spacing w:line="420" w:lineRule="exact"/>
        <w:ind w:firstLine="480" w:firstLineChars="200"/>
        <w:rPr>
          <w:sz w:val="24"/>
        </w:rPr>
      </w:pPr>
      <w:r>
        <w:rPr>
          <w:rFonts w:hint="eastAsia"/>
          <w:sz w:val="24"/>
        </w:rPr>
        <w:t>根据</w:t>
      </w:r>
      <w:r>
        <w:rPr>
          <w:sz w:val="24"/>
        </w:rPr>
        <w:t>电场工程风机点位较为分散，为满足各风机点位及升压站施工需求，根据风电场总体布置及实地踏勘了解，本工程拟设置一个临时施工生产生活区，临时施工产生活场地规划</w:t>
      </w:r>
      <w:r>
        <w:rPr>
          <w:rFonts w:hint="eastAsia"/>
          <w:sz w:val="24"/>
        </w:rPr>
        <w:t>F03机位附近扩建的进场道路的西侧</w:t>
      </w:r>
      <w:r>
        <w:rPr>
          <w:sz w:val="24"/>
        </w:rPr>
        <w:t>，施工场地区域内布置了砂石料堆场、综合加工厂、综合仓库及机械停放场、施工临时生产及生活设施等。</w:t>
      </w:r>
    </w:p>
    <w:p>
      <w:pPr>
        <w:wordWrap w:val="0"/>
        <w:spacing w:beforeLines="25" w:afterLines="25" w:line="440" w:lineRule="exact"/>
        <w:ind w:firstLine="472" w:firstLineChars="196"/>
        <w:rPr>
          <w:b/>
          <w:sz w:val="24"/>
        </w:rPr>
      </w:pPr>
      <w:r>
        <w:rPr>
          <w:b/>
          <w:sz w:val="24"/>
        </w:rPr>
        <w:t>1.1生态环境</w:t>
      </w:r>
    </w:p>
    <w:p>
      <w:pPr>
        <w:wordWrap w:val="0"/>
        <w:spacing w:line="420" w:lineRule="exact"/>
        <w:ind w:firstLine="480" w:firstLineChars="200"/>
        <w:rPr>
          <w:sz w:val="24"/>
        </w:rPr>
      </w:pPr>
      <w:r>
        <w:rPr>
          <w:rFonts w:hint="eastAsia"/>
          <w:sz w:val="24"/>
        </w:rPr>
        <w:t>本次生态影响评价分为两个亚区：风力发电机组（含箱变区）及吊装平台（235.5hm</w:t>
      </w:r>
      <w:r>
        <w:rPr>
          <w:rFonts w:hint="eastAsia"/>
          <w:sz w:val="24"/>
          <w:vertAlign w:val="superscript"/>
        </w:rPr>
        <w:t>2</w:t>
      </w:r>
      <w:r>
        <w:rPr>
          <w:rFonts w:hint="eastAsia"/>
          <w:sz w:val="24"/>
        </w:rPr>
        <w:t>）；集电线路区（1.0hm</w:t>
      </w:r>
      <w:r>
        <w:rPr>
          <w:rFonts w:hint="eastAsia"/>
          <w:sz w:val="24"/>
          <w:vertAlign w:val="superscript"/>
        </w:rPr>
        <w:t>2</w:t>
      </w:r>
      <w:r>
        <w:rPr>
          <w:rFonts w:hint="eastAsia"/>
          <w:sz w:val="24"/>
        </w:rPr>
        <w:t>）、施工及检修道路区（400hm</w:t>
      </w:r>
      <w:r>
        <w:rPr>
          <w:rFonts w:hint="eastAsia"/>
          <w:sz w:val="24"/>
          <w:vertAlign w:val="superscript"/>
        </w:rPr>
        <w:t>2</w:t>
      </w:r>
      <w:r>
        <w:rPr>
          <w:rFonts w:hint="eastAsia"/>
          <w:sz w:val="24"/>
        </w:rPr>
        <w:t>）施工临时占地117hm</w:t>
      </w:r>
      <w:r>
        <w:rPr>
          <w:rFonts w:hint="eastAsia"/>
          <w:sz w:val="24"/>
          <w:vertAlign w:val="superscript"/>
        </w:rPr>
        <w:t>2</w:t>
      </w:r>
      <w:r>
        <w:rPr>
          <w:rFonts w:hint="eastAsia"/>
          <w:sz w:val="24"/>
        </w:rPr>
        <w:t>，合计753.5hm</w:t>
      </w:r>
      <w:r>
        <w:rPr>
          <w:rFonts w:hint="eastAsia"/>
          <w:sz w:val="24"/>
          <w:vertAlign w:val="superscript"/>
        </w:rPr>
        <w:t>2</w:t>
      </w:r>
      <w:r>
        <w:rPr>
          <w:rFonts w:hint="eastAsia"/>
          <w:sz w:val="24"/>
        </w:rPr>
        <w:t>。</w:t>
      </w:r>
      <w:r>
        <w:rPr>
          <w:sz w:val="24"/>
        </w:rPr>
        <w:t>工程影响范围统计见表</w:t>
      </w:r>
      <w:r>
        <w:rPr>
          <w:rFonts w:hint="eastAsia"/>
          <w:sz w:val="24"/>
        </w:rPr>
        <w:t>20</w:t>
      </w:r>
      <w:r>
        <w:rPr>
          <w:sz w:val="24"/>
        </w:rPr>
        <w:t>。</w:t>
      </w:r>
    </w:p>
    <w:p>
      <w:pPr>
        <w:adjustRightInd w:val="0"/>
        <w:snapToGrid w:val="0"/>
        <w:spacing w:before="78" w:line="420" w:lineRule="exact"/>
        <w:ind w:firstLine="480" w:firstLineChars="200"/>
        <w:jc w:val="center"/>
        <w:rPr>
          <w:rFonts w:cs="宋体"/>
          <w:kern w:val="32"/>
          <w:sz w:val="24"/>
        </w:rPr>
      </w:pPr>
      <w:r>
        <w:rPr>
          <w:rFonts w:hint="eastAsia" w:cs="宋体"/>
          <w:kern w:val="32"/>
          <w:sz w:val="24"/>
        </w:rPr>
        <w:t>表20   风电工程生态影响评价范围表</w:t>
      </w:r>
    </w:p>
    <w:tbl>
      <w:tblPr>
        <w:tblW w:w="9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2000"/>
        <w:gridCol w:w="2606"/>
        <w:gridCol w:w="3207"/>
        <w:gridCol w:w="1287"/>
      </w:tblGrid>
      <w:tr>
        <w:tc>
          <w:tcPr>
            <w:tcW w:w="2000" w:type="dxa"/>
            <w:vAlign w:val="center"/>
          </w:tcPr>
          <w:p>
            <w:pPr>
              <w:wordWrap w:val="0"/>
              <w:spacing w:line="360" w:lineRule="exact"/>
              <w:jc w:val="center"/>
              <w:rPr>
                <w:szCs w:val="21"/>
              </w:rPr>
            </w:pPr>
            <w:r>
              <w:rPr>
                <w:rFonts w:hint="eastAsia"/>
                <w:szCs w:val="21"/>
              </w:rPr>
              <w:t>项   目</w:t>
            </w:r>
          </w:p>
        </w:tc>
        <w:tc>
          <w:tcPr>
            <w:tcW w:w="2606" w:type="dxa"/>
            <w:vAlign w:val="center"/>
          </w:tcPr>
          <w:p>
            <w:pPr>
              <w:wordWrap w:val="0"/>
              <w:spacing w:line="360" w:lineRule="exact"/>
              <w:jc w:val="center"/>
              <w:rPr>
                <w:szCs w:val="21"/>
              </w:rPr>
            </w:pPr>
            <w:r>
              <w:rPr>
                <w:rFonts w:hint="eastAsia"/>
                <w:szCs w:val="21"/>
              </w:rPr>
              <w:t>工程内容</w:t>
            </w:r>
          </w:p>
        </w:tc>
        <w:tc>
          <w:tcPr>
            <w:tcW w:w="3207" w:type="dxa"/>
            <w:vAlign w:val="center"/>
          </w:tcPr>
          <w:p>
            <w:pPr>
              <w:wordWrap w:val="0"/>
              <w:spacing w:line="360" w:lineRule="exact"/>
              <w:jc w:val="center"/>
              <w:rPr>
                <w:szCs w:val="21"/>
              </w:rPr>
            </w:pPr>
            <w:r>
              <w:rPr>
                <w:rFonts w:hint="eastAsia"/>
                <w:szCs w:val="21"/>
              </w:rPr>
              <w:t>评价范围</w:t>
            </w:r>
          </w:p>
        </w:tc>
        <w:tc>
          <w:tcPr>
            <w:tcW w:w="1287" w:type="dxa"/>
            <w:vAlign w:val="center"/>
          </w:tcPr>
          <w:p>
            <w:pPr>
              <w:wordWrap w:val="0"/>
              <w:spacing w:line="360" w:lineRule="exact"/>
              <w:jc w:val="center"/>
              <w:rPr>
                <w:szCs w:val="21"/>
              </w:rPr>
            </w:pPr>
            <w:r>
              <w:rPr>
                <w:rFonts w:hint="eastAsia"/>
                <w:szCs w:val="21"/>
              </w:rPr>
              <w:t>工程影响范围（hm</w:t>
            </w:r>
            <w:r>
              <w:rPr>
                <w:rFonts w:hint="eastAsia"/>
                <w:szCs w:val="21"/>
                <w:vertAlign w:val="superscript"/>
              </w:rPr>
              <w:t>2</w:t>
            </w:r>
            <w:r>
              <w:rPr>
                <w:rFonts w:hint="eastAsia"/>
                <w:szCs w:val="21"/>
              </w:rPr>
              <w:t>）</w:t>
            </w:r>
          </w:p>
        </w:tc>
      </w:tr>
      <w:tr>
        <w:tc>
          <w:tcPr>
            <w:tcW w:w="2000"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风力发电机组及箱变</w:t>
            </w:r>
          </w:p>
        </w:tc>
        <w:tc>
          <w:tcPr>
            <w:tcW w:w="2606" w:type="dxa"/>
            <w:vMerge w:val="restart"/>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风力发电机组和箱变基础施工以及吊装施工</w:t>
            </w:r>
          </w:p>
        </w:tc>
        <w:tc>
          <w:tcPr>
            <w:tcW w:w="3207" w:type="dxa"/>
            <w:vMerge w:val="restart"/>
            <w:vAlign w:val="center"/>
          </w:tcPr>
          <w:p>
            <w:pPr>
              <w:wordWrap w:val="0"/>
              <w:spacing w:line="360" w:lineRule="exact"/>
              <w:jc w:val="center"/>
              <w:rPr>
                <w:szCs w:val="21"/>
              </w:rPr>
            </w:pPr>
            <w:r>
              <w:rPr>
                <w:rFonts w:hint="eastAsia"/>
                <w:szCs w:val="21"/>
              </w:rPr>
              <w:t>风力发电机组基础为中心半径500m的区域</w:t>
            </w:r>
          </w:p>
        </w:tc>
        <w:tc>
          <w:tcPr>
            <w:tcW w:w="1287" w:type="dxa"/>
            <w:vMerge w:val="restart"/>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235.5</w:t>
            </w:r>
          </w:p>
        </w:tc>
      </w:tr>
      <w:tr>
        <w:tc>
          <w:tcPr>
            <w:tcW w:w="2000"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吊装平台</w:t>
            </w:r>
          </w:p>
        </w:tc>
        <w:tc>
          <w:tcPr>
            <w:tcW w:w="2606"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c>
          <w:tcPr>
            <w:tcW w:w="3207" w:type="dxa"/>
            <w:vMerge w:val="continue"/>
            <w:vAlign w:val="center"/>
          </w:tcPr>
          <w:p>
            <w:pPr>
              <w:wordWrap w:val="0"/>
              <w:spacing w:line="360" w:lineRule="exact"/>
              <w:jc w:val="center"/>
              <w:rPr>
                <w:szCs w:val="21"/>
              </w:rPr>
            </w:pPr>
          </w:p>
        </w:tc>
        <w:tc>
          <w:tcPr>
            <w:tcW w:w="1287"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r>
      <w:tr>
        <w:tc>
          <w:tcPr>
            <w:tcW w:w="2000"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集电线路</w:t>
            </w:r>
          </w:p>
        </w:tc>
        <w:tc>
          <w:tcPr>
            <w:tcW w:w="2606"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线路的杆塔基础施工</w:t>
            </w:r>
          </w:p>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及线路的架设</w:t>
            </w:r>
          </w:p>
        </w:tc>
        <w:tc>
          <w:tcPr>
            <w:tcW w:w="3207" w:type="dxa"/>
            <w:vMerge w:val="restart"/>
            <w:vAlign w:val="center"/>
          </w:tcPr>
          <w:p>
            <w:pPr>
              <w:wordWrap w:val="0"/>
              <w:spacing w:line="360" w:lineRule="exact"/>
              <w:jc w:val="center"/>
              <w:rPr>
                <w:szCs w:val="21"/>
              </w:rPr>
            </w:pPr>
            <w:r>
              <w:rPr>
                <w:rFonts w:hint="eastAsia"/>
                <w:szCs w:val="21"/>
              </w:rPr>
              <w:t>道路中心线两侧各500m的区域</w:t>
            </w:r>
          </w:p>
        </w:tc>
        <w:tc>
          <w:tcPr>
            <w:tcW w:w="1287" w:type="dxa"/>
            <w:vMerge w:val="restart"/>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518</w:t>
            </w:r>
          </w:p>
        </w:tc>
      </w:tr>
      <w:tr>
        <w:tc>
          <w:tcPr>
            <w:tcW w:w="2000"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施工临时占地</w:t>
            </w:r>
          </w:p>
        </w:tc>
        <w:tc>
          <w:tcPr>
            <w:tcW w:w="2606"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施工营地</w:t>
            </w:r>
          </w:p>
        </w:tc>
        <w:tc>
          <w:tcPr>
            <w:tcW w:w="3207" w:type="dxa"/>
            <w:vMerge w:val="continue"/>
            <w:vAlign w:val="center"/>
          </w:tcPr>
          <w:p>
            <w:pPr>
              <w:wordWrap w:val="0"/>
              <w:spacing w:line="360" w:lineRule="exact"/>
              <w:jc w:val="center"/>
              <w:rPr>
                <w:szCs w:val="21"/>
              </w:rPr>
            </w:pPr>
          </w:p>
        </w:tc>
        <w:tc>
          <w:tcPr>
            <w:tcW w:w="1287"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r>
      <w:tr>
        <w:tc>
          <w:tcPr>
            <w:tcW w:w="2000"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施工及检修道路</w:t>
            </w:r>
          </w:p>
        </w:tc>
        <w:tc>
          <w:tcPr>
            <w:tcW w:w="2606"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施工检修道路施工</w:t>
            </w:r>
          </w:p>
        </w:tc>
        <w:tc>
          <w:tcPr>
            <w:tcW w:w="3207" w:type="dxa"/>
            <w:vMerge w:val="continue"/>
            <w:vAlign w:val="center"/>
          </w:tcPr>
          <w:p>
            <w:pPr>
              <w:wordWrap w:val="0"/>
              <w:spacing w:line="360" w:lineRule="exact"/>
              <w:jc w:val="center"/>
              <w:rPr>
                <w:szCs w:val="21"/>
              </w:rPr>
            </w:pPr>
          </w:p>
        </w:tc>
        <w:tc>
          <w:tcPr>
            <w:tcW w:w="1287"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r>
      <w:tr>
        <w:tc>
          <w:tcPr>
            <w:tcW w:w="7813" w:type="dxa"/>
            <w:gridSpan w:val="3"/>
            <w:vAlign w:val="center"/>
          </w:tcPr>
          <w:p>
            <w:pPr>
              <w:wordWrap w:val="0"/>
              <w:spacing w:line="360" w:lineRule="exact"/>
              <w:jc w:val="center"/>
              <w:rPr>
                <w:szCs w:val="21"/>
              </w:rPr>
            </w:pPr>
            <w:r>
              <w:rPr>
                <w:rFonts w:hint="eastAsia"/>
                <w:szCs w:val="21"/>
              </w:rPr>
              <w:t>合       计</w:t>
            </w:r>
          </w:p>
        </w:tc>
        <w:tc>
          <w:tcPr>
            <w:tcW w:w="1287" w:type="dxa"/>
            <w:vAlign w:val="center"/>
          </w:tcPr>
          <w:p>
            <w:pPr>
              <w:wordWrap w:val="0"/>
              <w:spacing w:line="360" w:lineRule="exact"/>
              <w:jc w:val="center"/>
              <w:rPr>
                <w:szCs w:val="21"/>
              </w:rPr>
            </w:pPr>
            <w:r>
              <w:rPr>
                <w:rFonts w:hint="eastAsia"/>
                <w:szCs w:val="21"/>
              </w:rPr>
              <w:t>753.5</w:t>
            </w:r>
          </w:p>
        </w:tc>
      </w:tr>
    </w:tbl>
    <w:p>
      <w:pPr>
        <w:wordWrap w:val="0"/>
        <w:autoSpaceDE w:val="0"/>
        <w:autoSpaceDN w:val="0"/>
        <w:adjustRightInd w:val="0"/>
        <w:snapToGrid w:val="0"/>
        <w:spacing w:line="420" w:lineRule="exact"/>
        <w:ind w:firstLine="480" w:firstLineChars="200"/>
        <w:rPr>
          <w:sz w:val="24"/>
        </w:rPr>
      </w:pPr>
      <w:r>
        <w:rPr>
          <w:rFonts w:cs="宋?"/>
          <w:kern w:val="0"/>
          <w:sz w:val="24"/>
        </w:rPr>
        <w:t>本项目生态重点影响评价范围内的主要生态系统类型为草地生态系统和森林生态系统。</w:t>
      </w:r>
      <w:r>
        <w:rPr>
          <w:rFonts w:hint="eastAsia"/>
          <w:sz w:val="24"/>
        </w:rPr>
        <w:t>风电场建设内容主要包括风电机组基础和塔架建设、施工检修道路、集电线路架设等，这些工程的实施均要破坏地表植被。本风电场占地总面积3.43hm</w:t>
      </w:r>
      <w:r>
        <w:rPr>
          <w:rFonts w:hint="eastAsia"/>
          <w:sz w:val="24"/>
          <w:vertAlign w:val="superscript"/>
        </w:rPr>
        <w:t>2</w:t>
      </w:r>
      <w:r>
        <w:rPr>
          <w:rFonts w:hint="eastAsia"/>
          <w:sz w:val="24"/>
        </w:rPr>
        <w:t>，其中永久</w:t>
      </w:r>
      <w:r>
        <w:rPr>
          <w:sz w:val="24"/>
        </w:rPr>
        <w:t>占地</w:t>
      </w:r>
      <w:r>
        <w:rPr>
          <w:rFonts w:hint="eastAsia"/>
          <w:sz w:val="24"/>
        </w:rPr>
        <w:t>0.1056h</w:t>
      </w:r>
      <w:r>
        <w:rPr>
          <w:sz w:val="24"/>
        </w:rPr>
        <w:t>m</w:t>
      </w:r>
      <w:r>
        <w:rPr>
          <w:sz w:val="24"/>
          <w:vertAlign w:val="superscript"/>
        </w:rPr>
        <w:t>2</w:t>
      </w:r>
      <w:r>
        <w:rPr>
          <w:sz w:val="24"/>
        </w:rPr>
        <w:t>，</w:t>
      </w:r>
      <w:r>
        <w:rPr>
          <w:rFonts w:hint="eastAsia"/>
          <w:sz w:val="24"/>
        </w:rPr>
        <w:t>临时占地3.4244h</w:t>
      </w:r>
      <w:r>
        <w:rPr>
          <w:sz w:val="24"/>
        </w:rPr>
        <w:t>m</w:t>
      </w:r>
      <w:r>
        <w:rPr>
          <w:sz w:val="24"/>
          <w:vertAlign w:val="superscript"/>
        </w:rPr>
        <w:t>2</w:t>
      </w:r>
      <w:r>
        <w:rPr>
          <w:rFonts w:hint="eastAsia"/>
          <w:sz w:val="24"/>
        </w:rPr>
        <w:t>，因此，会相应减少该区土地生物量。但由于拟建场区原有生物量相对较小，对风电场征地属于点征，因此，本项目的建设对当地植被数量及种类的影响并不大。</w:t>
      </w:r>
    </w:p>
    <w:p>
      <w:pPr>
        <w:wordWrap w:val="0"/>
        <w:snapToGrid w:val="0"/>
        <w:spacing w:line="420" w:lineRule="exact"/>
        <w:ind w:firstLine="480" w:firstLineChars="200"/>
        <w:rPr>
          <w:sz w:val="24"/>
        </w:rPr>
      </w:pPr>
      <w:r>
        <w:rPr>
          <w:rFonts w:hint="eastAsia"/>
          <w:sz w:val="24"/>
        </w:rPr>
        <w:t>风电场建设过程中，工程永久和临时占用土地完全损毁了原有的植被类型，其上生活着的植物全部被清除，施工区临近区域的植被也受到了一定程度的损毁。施工期间，因施工产生的粉尘会附着在周围植物的叶面上，影响其生长。施工期噪声野生动物都将产生规避反应，远离这一地区，特别是鸟类，其栖息环境需要相对安静，因此本区的鸟类将受较大影响，而本区内无大型野生动物，主要有野鸡、野兔、鼠类等小型动物，施工期间，动物受施工影响，将迁往附近同类环境，动物迁徙能力强，且同类生境易于在附近找寻，故物种种群与数量不会受到明显影响。且施工场地相对于该区域建设基地面积较小，项目的建设只是在小范围内暂时改变了部分动物的栖息环境，不会引起物种消失和生物多样性的减少，可见，施工期对野生动物的影响较小。</w:t>
      </w:r>
    </w:p>
    <w:p>
      <w:pPr>
        <w:wordWrap w:val="0"/>
        <w:snapToGrid w:val="0"/>
        <w:spacing w:line="420" w:lineRule="exact"/>
        <w:ind w:firstLine="480" w:firstLineChars="200"/>
        <w:rPr>
          <w:sz w:val="24"/>
        </w:rPr>
      </w:pPr>
      <w:r>
        <w:rPr>
          <w:rFonts w:hint="eastAsia"/>
          <w:sz w:val="24"/>
        </w:rPr>
        <w:t>对于运营期，风力发电机组的运行对野生动物产生</w:t>
      </w:r>
      <w:r>
        <w:rPr>
          <w:sz w:val="24"/>
        </w:rPr>
        <w:t>阻隔</w:t>
      </w:r>
      <w:r>
        <w:rPr>
          <w:rFonts w:hint="eastAsia"/>
          <w:sz w:val="24"/>
        </w:rPr>
        <w:t>影响，风力发电机组风轮转动及产生的噪声可能对鸟类起到驱赶和惊扰作用，根据鸟类资料表明，一般鸟类的飞行高度为300m左右；在迁徒季节，候鸟的迁飞高度在300m以上，如燕为450m、鹤为500m、雁为900m，均远远超过风力发电机组的高度（风电机组的安装高度为90m，叶片的长度121m），因此，鸟类在飞行和迁徒时不会受到风电场风力发电机组的伤害。</w:t>
      </w:r>
    </w:p>
    <w:p>
      <w:pPr>
        <w:wordWrap w:val="0"/>
        <w:snapToGrid w:val="0"/>
        <w:spacing w:line="420" w:lineRule="exact"/>
        <w:ind w:firstLine="480" w:firstLineChars="200"/>
        <w:rPr>
          <w:sz w:val="24"/>
        </w:rPr>
      </w:pPr>
      <w:r>
        <w:rPr>
          <w:rFonts w:hint="eastAsia"/>
          <w:sz w:val="24"/>
        </w:rPr>
        <w:t>施工完成后即对临时用地采取人工植树种草的方式进行植被恢复。因此，项目建设不会对区域生态环境质量产生明显不利影响。</w:t>
      </w:r>
    </w:p>
    <w:p>
      <w:pPr>
        <w:wordWrap w:val="0"/>
        <w:snapToGrid w:val="0"/>
        <w:spacing w:line="420" w:lineRule="exact"/>
        <w:ind w:firstLine="480" w:firstLineChars="200"/>
        <w:rPr>
          <w:sz w:val="24"/>
        </w:rPr>
      </w:pPr>
      <w:r>
        <w:rPr>
          <w:rFonts w:hint="eastAsia"/>
          <w:sz w:val="24"/>
        </w:rPr>
        <w:t>本风电场范围不涉及国家及省级保护的珍惜动植物集中分布区。随着项目的建成，施工临时用地将进行有效的植被恢复，因此，本项目建设不会对区域生态环境质量产生明显不利影响，也不会影响原区域生态系统服务功能。</w:t>
      </w:r>
    </w:p>
    <w:p>
      <w:pPr>
        <w:wordWrap w:val="0"/>
        <w:spacing w:beforeLines="25" w:afterLines="25" w:line="440" w:lineRule="exact"/>
        <w:ind w:firstLine="472" w:firstLineChars="196"/>
        <w:rPr>
          <w:b/>
          <w:sz w:val="24"/>
        </w:rPr>
      </w:pPr>
      <w:r>
        <w:rPr>
          <w:rFonts w:hint="eastAsia"/>
          <w:b/>
          <w:sz w:val="24"/>
        </w:rPr>
        <w:t>1.2声环境</w:t>
      </w:r>
    </w:p>
    <w:p>
      <w:pPr>
        <w:wordWrap w:val="0"/>
        <w:snapToGrid w:val="0"/>
        <w:spacing w:line="420" w:lineRule="exact"/>
        <w:ind w:firstLine="480" w:firstLineChars="200"/>
        <w:rPr>
          <w:sz w:val="24"/>
        </w:rPr>
      </w:pPr>
      <w:r>
        <w:rPr>
          <w:sz w:val="24"/>
        </w:rPr>
        <w:t>施工期噪声主要源自施工机械和运输车辆。主要产生噪声的施工机械有起重机、挖掘机、推土机、装载机、压实机、振捣棒和振捣器、砂轮锯、空气压缩机等。这些噪声源的噪声级分别在79dB(A)</w:t>
      </w:r>
      <w:r>
        <w:rPr>
          <w:rFonts w:hint="eastAsia"/>
          <w:sz w:val="24"/>
        </w:rPr>
        <w:t>~</w:t>
      </w:r>
      <w:r>
        <w:rPr>
          <w:sz w:val="24"/>
        </w:rPr>
        <w:t>95dB(A)之间。主要施工机械设备的噪声值列于表</w:t>
      </w:r>
      <w:r>
        <w:rPr>
          <w:rFonts w:hint="eastAsia"/>
          <w:sz w:val="24"/>
        </w:rPr>
        <w:t>24</w:t>
      </w:r>
      <w:r>
        <w:rPr>
          <w:sz w:val="24"/>
        </w:rPr>
        <w:t>。</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施工噪声源可近似为点源，根据点声源衰减模式，可计算出各施工机械的施工场地达标边界距离。</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p</w:t>
      </w:r>
      <w:r>
        <w:rPr>
          <w:rFonts w:hint="eastAsia" w:ascii="Times New Roman" w:hAnsi="Times New Roman" w:cs="Times New Roman"/>
          <w:vertAlign w:val="subscript"/>
        </w:rPr>
        <w:t>(r)</w:t>
      </w: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-20</w:t>
      </w:r>
      <w:r>
        <w:rPr>
          <w:rFonts w:hint="eastAsia" w:ascii="Times New Roman" w:hAnsi="Times New Roman" w:cs="Times New Roman"/>
        </w:rPr>
        <w:t>l</w:t>
      </w:r>
      <w:r>
        <w:rPr>
          <w:rFonts w:ascii="Times New Roman" w:hAnsi="Times New Roman" w:cs="Times New Roman"/>
        </w:rPr>
        <w:t>og(r/r</w:t>
      </w:r>
      <w:r>
        <w:rPr>
          <w:rFonts w:ascii="Times New Roman" w:hAnsi="Times New Roman" w:cs="Times New Roman"/>
          <w:vertAlign w:val="subscript"/>
        </w:rPr>
        <w:t>0</w:t>
      </w:r>
      <w:r>
        <w:rPr>
          <w:rFonts w:ascii="Times New Roman" w:hAnsi="Times New Roman" w:cs="Times New Roman"/>
        </w:rPr>
        <w:t>)-</w:t>
      </w:r>
      <w:r>
        <w:rPr>
          <w:rFonts w:ascii="Cambria Math" w:hAnsi="Cambria Math" w:cs="Cambria Math"/>
        </w:rPr>
        <w:t>△</w:t>
      </w:r>
      <w:r>
        <w:rPr>
          <w:rFonts w:ascii="Times New Roman" w:hAnsi="Times New Roman" w:cs="Times New Roman"/>
        </w:rPr>
        <w:t>L</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w:t>
      </w:r>
      <w:r>
        <w:rPr>
          <w:rFonts w:ascii="Times New Roman" w:hAnsi="Times New Roman" w:cs="Times New Roman"/>
        </w:rPr>
        <w:t>－距声源r处声压级，dB(A)；</w:t>
      </w:r>
    </w:p>
    <w:p>
      <w:pPr>
        <w:pStyle w:val="29"/>
        <w:wordWrap w:val="0"/>
        <w:spacing w:before="0" w:beforeAutospacing="0" w:after="0" w:afterAutospacing="0" w:line="420" w:lineRule="exact"/>
        <w:ind w:firstLine="1200" w:firstLineChars="500"/>
        <w:jc w:val="both"/>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－距声源r</w:t>
      </w:r>
      <w:r>
        <w:rPr>
          <w:rFonts w:ascii="Times New Roman" w:hAnsi="Times New Roman" w:cs="Times New Roman"/>
          <w:vertAlign w:val="subscript"/>
        </w:rPr>
        <w:t>0</w:t>
      </w:r>
      <w:r>
        <w:rPr>
          <w:rFonts w:ascii="Times New Roman" w:hAnsi="Times New Roman" w:cs="Times New Roman"/>
        </w:rPr>
        <w:t>处声压级，dB(A)；</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Cambria Math" w:hAnsi="Cambria Math" w:cs="Cambria Math"/>
        </w:rPr>
        <w:t>△</w:t>
      </w:r>
      <w:r>
        <w:rPr>
          <w:rFonts w:ascii="Times New Roman" w:hAnsi="Times New Roman" w:cs="Times New Roman"/>
        </w:rPr>
        <w:t>L－各种衰减量（除发散衰减量外），dB(A)。室外噪声源</w:t>
      </w:r>
      <w:r>
        <w:rPr>
          <w:rFonts w:ascii="Cambria Math" w:hAnsi="Cambria Math" w:cs="Cambria Math"/>
        </w:rPr>
        <w:t>△</w:t>
      </w:r>
      <w:r>
        <w:rPr>
          <w:rFonts w:ascii="Times New Roman" w:hAnsi="Times New Roman" w:cs="Times New Roman"/>
        </w:rPr>
        <w:t>L取为零。</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计算时，L</w:t>
      </w:r>
      <w:r>
        <w:rPr>
          <w:rFonts w:ascii="Times New Roman" w:hAnsi="Times New Roman" w:cs="Times New Roman"/>
          <w:vertAlign w:val="subscript"/>
        </w:rPr>
        <w:t>p</w:t>
      </w:r>
      <w:r>
        <w:rPr>
          <w:rFonts w:ascii="Times New Roman" w:hAnsi="Times New Roman" w:cs="Times New Roman"/>
        </w:rPr>
        <w:t>为符合GB125</w:t>
      </w:r>
      <w:r>
        <w:rPr>
          <w:rFonts w:hint="eastAsia" w:ascii="Times New Roman" w:hAnsi="Times New Roman" w:cs="Times New Roman"/>
        </w:rPr>
        <w:t>23</w:t>
      </w:r>
      <w:r>
        <w:rPr>
          <w:rFonts w:ascii="Times New Roman" w:hAnsi="Times New Roman" w:cs="Times New Roman"/>
        </w:rPr>
        <w:t>-</w:t>
      </w:r>
      <w:r>
        <w:rPr>
          <w:rFonts w:hint="eastAsia" w:ascii="Times New Roman" w:hAnsi="Times New Roman" w:cs="Times New Roman"/>
        </w:rPr>
        <w:t>2011</w:t>
      </w:r>
      <w:r>
        <w:rPr>
          <w:rFonts w:ascii="Times New Roman" w:hAnsi="Times New Roman" w:cs="Times New Roman"/>
        </w:rPr>
        <w:t>规定的施工</w:t>
      </w:r>
      <w:r>
        <w:rPr>
          <w:rFonts w:hint="eastAsia" w:ascii="Times New Roman" w:hAnsi="Times New Roman" w:cs="Times New Roman"/>
        </w:rPr>
        <w:t>场</w:t>
      </w:r>
      <w:r>
        <w:rPr>
          <w:rFonts w:ascii="Times New Roman" w:hAnsi="Times New Roman" w:cs="Times New Roman"/>
        </w:rPr>
        <w:t>界噪声限值，L</w:t>
      </w:r>
      <w:r>
        <w:rPr>
          <w:rFonts w:ascii="Times New Roman" w:hAnsi="Times New Roman" w:cs="Times New Roman"/>
          <w:vertAlign w:val="subscript"/>
        </w:rPr>
        <w:t>p0</w:t>
      </w:r>
      <w:r>
        <w:rPr>
          <w:rFonts w:ascii="Times New Roman" w:hAnsi="Times New Roman" w:cs="Times New Roman"/>
        </w:rPr>
        <w:t>为施工机械设备的噪声值，计算出的各施工机械达标边界距离示于表</w:t>
      </w:r>
      <w:r>
        <w:rPr>
          <w:rFonts w:hint="eastAsia" w:ascii="Times New Roman" w:hAnsi="Times New Roman" w:cs="Times New Roman"/>
        </w:rPr>
        <w:t>21</w:t>
      </w:r>
      <w:r>
        <w:rPr>
          <w:rFonts w:ascii="Times New Roman" w:hAnsi="Times New Roman" w:cs="Times New Roman"/>
        </w:rPr>
        <w:t>。</w:t>
      </w:r>
    </w:p>
    <w:p>
      <w:pPr>
        <w:pStyle w:val="15"/>
        <w:adjustRightInd w:val="0"/>
        <w:snapToGrid w:val="0"/>
        <w:spacing w:line="440" w:lineRule="exact"/>
        <w:jc w:val="center"/>
        <w:rPr>
          <w:rFonts w:ascii="Times New Roman" w:hAnsi="Times New Roman" w:cs="宋体"/>
          <w:kern w:val="32"/>
          <w:sz w:val="24"/>
          <w:szCs w:val="24"/>
        </w:rPr>
      </w:pPr>
      <w:r>
        <w:rPr>
          <w:rFonts w:hint="eastAsia" w:ascii="Times New Roman" w:hAnsi="Times New Roman" w:cs="宋体"/>
          <w:kern w:val="32"/>
          <w:sz w:val="24"/>
          <w:szCs w:val="24"/>
        </w:rPr>
        <w:t>表21 　  主要机械设备噪声值及达标距离</w:t>
      </w:r>
    </w:p>
    <w:tbl>
      <w:tblPr>
        <w:tblW w:w="928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1049"/>
        <w:gridCol w:w="2141"/>
        <w:gridCol w:w="3050"/>
        <w:gridCol w:w="3046"/>
      </w:tblGrid>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机械设备</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噪声值（dB(A)）</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达标距离（m）</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起重机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90</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57</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挖掘机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95</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100</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推土机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94</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89</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搅拌机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90</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57</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装载机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88</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45</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压实机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92</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71</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7</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振捣棒</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79</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16</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8</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砂轮锯</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95</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100</w:t>
            </w:r>
          </w:p>
        </w:tc>
      </w:tr>
      <w:tr>
        <w:trPr>
          <w:trHeight w:val="284" w:hRule="atLeast"/>
        </w:trPr>
        <w:tc>
          <w:tcPr>
            <w:tcW w:w="1049"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9</w:t>
            </w:r>
          </w:p>
        </w:tc>
        <w:tc>
          <w:tcPr>
            <w:tcW w:w="2141"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空压机</w:t>
            </w:r>
          </w:p>
        </w:tc>
        <w:tc>
          <w:tcPr>
            <w:tcW w:w="3050"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92</w:t>
            </w:r>
          </w:p>
        </w:tc>
        <w:tc>
          <w:tcPr>
            <w:tcW w:w="3046" w:type="dxa"/>
            <w:tcBorders>
              <w:tl2br w:val="nil"/>
              <w:tr2bl w:val="nil"/>
            </w:tcBorders>
            <w:vAlign w:val="center"/>
          </w:tcPr>
          <w:p>
            <w:pPr>
              <w:pStyle w:val="29"/>
              <w:snapToGrid w:val="0"/>
              <w:spacing w:before="0" w:beforeAutospacing="0" w:after="0" w:afterAutospacing="0" w:line="360" w:lineRule="exact"/>
              <w:jc w:val="center"/>
              <w:rPr>
                <w:rFonts w:ascii="Times New Roman" w:hAnsi="Times New Roman" w:cs="Times New Roman"/>
                <w:sz w:val="21"/>
                <w:szCs w:val="21"/>
              </w:rPr>
            </w:pPr>
            <w:r>
              <w:rPr>
                <w:rFonts w:ascii="Times New Roman" w:hAnsi="Times New Roman" w:cs="Times New Roman"/>
                <w:sz w:val="21"/>
                <w:szCs w:val="21"/>
              </w:rPr>
              <w:t>71</w:t>
            </w:r>
          </w:p>
        </w:tc>
      </w:tr>
    </w:tbl>
    <w:p>
      <w:pPr>
        <w:pStyle w:val="29"/>
        <w:wordWrap w:val="0"/>
        <w:spacing w:before="0" w:beforeAutospacing="0" w:after="0" w:afterAutospacing="0" w:line="440" w:lineRule="exact"/>
        <w:ind w:firstLine="480" w:firstLineChars="200"/>
        <w:jc w:val="both"/>
        <w:rPr>
          <w:rFonts w:ascii="Times New Roman" w:hAnsi="Times New Roman" w:cs="Times New Roman"/>
        </w:rPr>
      </w:pPr>
      <w:r>
        <w:rPr>
          <w:rFonts w:hint="eastAsia" w:ascii="Times New Roman" w:hAnsi="Times New Roman" w:cs="Times New Roman"/>
        </w:rPr>
        <w:t>由表20可知，施工边界噪声达标衰减距离最大为100m，风场范围内的村庄距本项目风力发电机组均大于300m，因此，施工期施工机械产生的噪声满足GB12523-2011规定的施工厂界噪声限值，不会对附近各村庄居民产生影响。</w:t>
      </w:r>
    </w:p>
    <w:p>
      <w:pPr>
        <w:wordWrap w:val="0"/>
        <w:spacing w:beforeLines="25" w:afterLines="25" w:line="440" w:lineRule="exact"/>
        <w:ind w:firstLine="472" w:firstLineChars="196"/>
        <w:rPr>
          <w:b/>
          <w:sz w:val="24"/>
        </w:rPr>
      </w:pPr>
      <w:r>
        <w:rPr>
          <w:rFonts w:hint="eastAsia"/>
          <w:b/>
          <w:sz w:val="24"/>
        </w:rPr>
        <w:t>1.3水环境</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项目施工期污水主要是施工人员生活污水，生活污水中主要污染物为COD、BOD</w:t>
      </w:r>
      <w:r>
        <w:rPr>
          <w:rFonts w:hint="eastAsia" w:ascii="Times New Roman" w:hAnsi="Times New Roman" w:cs="Times New Roman"/>
          <w:vertAlign w:val="subscript"/>
        </w:rPr>
        <w:t>5</w:t>
      </w:r>
      <w:r>
        <w:rPr>
          <w:rFonts w:hint="eastAsia" w:ascii="Times New Roman" w:hAnsi="Times New Roman" w:cs="Times New Roman"/>
        </w:rPr>
        <w:t>、SS、氨氮等，将以上废水收集到沉淀池中经沉淀后用于施工现场降尘、喷洒。</w:t>
      </w:r>
    </w:p>
    <w:p>
      <w:pPr>
        <w:wordWrap w:val="0"/>
        <w:snapToGrid w:val="0"/>
        <w:spacing w:line="420" w:lineRule="exact"/>
        <w:ind w:firstLine="470" w:firstLineChars="196"/>
        <w:rPr>
          <w:b/>
          <w:bCs/>
          <w:kern w:val="0"/>
          <w:sz w:val="24"/>
        </w:rPr>
      </w:pPr>
      <w:r>
        <w:rPr>
          <w:rFonts w:hint="eastAsia"/>
          <w:kern w:val="0"/>
          <w:sz w:val="24"/>
        </w:rPr>
        <w:t>施工废水主要为施工机械冲洗产生的废水主要为含泥沙类废水，具有水量小、间歇性排放等特点，一般情况在几分钟内完成排放，</w:t>
      </w:r>
      <w:r>
        <w:rPr>
          <w:kern w:val="0"/>
          <w:sz w:val="24"/>
        </w:rPr>
        <w:t>pH</w:t>
      </w:r>
      <w:r>
        <w:rPr>
          <w:rFonts w:hint="eastAsia"/>
          <w:kern w:val="0"/>
          <w:sz w:val="24"/>
        </w:rPr>
        <w:t>在</w:t>
      </w:r>
      <w:r>
        <w:rPr>
          <w:kern w:val="0"/>
          <w:sz w:val="24"/>
        </w:rPr>
        <w:t>11</w:t>
      </w:r>
      <w:r>
        <w:rPr>
          <w:rFonts w:hint="eastAsia"/>
          <w:kern w:val="0"/>
          <w:sz w:val="24"/>
        </w:rPr>
        <w:t>～</w:t>
      </w:r>
      <w:r>
        <w:rPr>
          <w:kern w:val="0"/>
          <w:sz w:val="24"/>
        </w:rPr>
        <w:t>12</w:t>
      </w:r>
      <w:r>
        <w:rPr>
          <w:rFonts w:hint="eastAsia"/>
          <w:kern w:val="0"/>
          <w:sz w:val="24"/>
        </w:rPr>
        <w:t>左右；施工机械的修理及零件和金属构件的加工产生部分含油废水；为不连续排放、泥沙类悬浮物含量约</w:t>
      </w:r>
      <w:r>
        <w:rPr>
          <w:kern w:val="0"/>
          <w:sz w:val="24"/>
        </w:rPr>
        <w:t>500mg/L</w:t>
      </w:r>
      <w:r>
        <w:rPr>
          <w:rFonts w:hint="eastAsia"/>
          <w:kern w:val="0"/>
          <w:sz w:val="24"/>
        </w:rPr>
        <w:t>，由于水量较小，经隔油、沉淀处理后重复利用，不外排。</w:t>
      </w:r>
    </w:p>
    <w:p>
      <w:pPr>
        <w:wordWrap w:val="0"/>
        <w:spacing w:beforeLines="25" w:afterLines="25" w:line="440" w:lineRule="exact"/>
        <w:ind w:firstLine="472" w:firstLineChars="196"/>
        <w:rPr>
          <w:b/>
          <w:sz w:val="24"/>
        </w:rPr>
      </w:pPr>
      <w:r>
        <w:rPr>
          <w:rFonts w:hint="eastAsia"/>
          <w:b/>
          <w:sz w:val="24"/>
        </w:rPr>
        <w:t>1.4大气环境</w:t>
      </w:r>
    </w:p>
    <w:p>
      <w:pPr>
        <w:wordWrap w:val="0"/>
        <w:spacing w:line="420" w:lineRule="exact"/>
        <w:ind w:firstLine="480" w:firstLineChars="200"/>
        <w:rPr>
          <w:sz w:val="24"/>
        </w:rPr>
      </w:pPr>
      <w:r>
        <w:rPr>
          <w:sz w:val="24"/>
        </w:rPr>
        <w:t>施工期对环境空气的影响主要表现在二次扬尘的影响</w:t>
      </w:r>
      <w:r>
        <w:rPr>
          <w:rFonts w:hint="eastAsia"/>
          <w:sz w:val="24"/>
        </w:rPr>
        <w:t>及施工机械车辆尾气</w:t>
      </w:r>
      <w:r>
        <w:rPr>
          <w:sz w:val="24"/>
        </w:rPr>
        <w:t>的影响</w:t>
      </w:r>
      <w:r>
        <w:rPr>
          <w:rFonts w:hint="eastAsia"/>
          <w:sz w:val="24"/>
        </w:rPr>
        <w:t>：</w:t>
      </w:r>
    </w:p>
    <w:p>
      <w:pPr>
        <w:wordWrap w:val="0"/>
        <w:spacing w:line="420" w:lineRule="exact"/>
        <w:ind w:firstLine="480" w:firstLineChars="200"/>
        <w:rPr>
          <w:sz w:val="24"/>
        </w:rPr>
      </w:pPr>
      <w:r>
        <w:rPr>
          <w:rFonts w:hint="eastAsia"/>
          <w:sz w:val="24"/>
        </w:rPr>
        <w:t>（1）</w:t>
      </w:r>
      <w:r>
        <w:rPr>
          <w:sz w:val="24"/>
        </w:rPr>
        <w:t>施工期扬尘的产生及影响</w:t>
      </w:r>
      <w:r>
        <w:rPr>
          <w:rFonts w:hint="eastAsia"/>
          <w:sz w:val="24"/>
        </w:rPr>
        <w:t>：</w:t>
      </w:r>
    </w:p>
    <w:p>
      <w:pPr>
        <w:wordWrap w:val="0"/>
        <w:spacing w:line="420" w:lineRule="exact"/>
        <w:ind w:firstLine="480" w:firstLineChars="200"/>
        <w:rPr>
          <w:sz w:val="24"/>
        </w:rPr>
      </w:pPr>
      <w:r>
        <w:rPr>
          <w:rFonts w:hint="eastAsia" w:cs="宋体"/>
          <w:sz w:val="24"/>
        </w:rPr>
        <w:t>①</w:t>
      </w:r>
      <w:r>
        <w:rPr>
          <w:sz w:val="24"/>
        </w:rPr>
        <w:t>平整场地、挖填土方，从而使施工场地的地表和植被遭到破坏，表层土壤裸露，遇风可产生扬尘。</w:t>
      </w:r>
    </w:p>
    <w:p>
      <w:pPr>
        <w:wordWrap w:val="0"/>
        <w:spacing w:line="420" w:lineRule="exact"/>
        <w:ind w:firstLine="480" w:firstLineChars="200"/>
        <w:rPr>
          <w:sz w:val="24"/>
        </w:rPr>
      </w:pPr>
      <w:r>
        <w:rPr>
          <w:rFonts w:hint="eastAsia" w:cs="宋体"/>
          <w:sz w:val="24"/>
        </w:rPr>
        <w:t>②</w:t>
      </w:r>
      <w:r>
        <w:rPr>
          <w:sz w:val="24"/>
        </w:rPr>
        <w:t>堆放易产尘的建筑材料，如无围档，随意堆放，会产生二次扬尘。</w:t>
      </w:r>
    </w:p>
    <w:p>
      <w:pPr>
        <w:wordWrap w:val="0"/>
        <w:spacing w:line="420" w:lineRule="exact"/>
        <w:ind w:firstLine="480" w:firstLineChars="200"/>
        <w:rPr>
          <w:sz w:val="24"/>
        </w:rPr>
      </w:pPr>
      <w:r>
        <w:rPr>
          <w:rFonts w:hint="eastAsia" w:cs="宋体"/>
          <w:sz w:val="24"/>
        </w:rPr>
        <w:t>③</w:t>
      </w:r>
      <w:r>
        <w:rPr>
          <w:sz w:val="24"/>
        </w:rPr>
        <w:t>建筑材料的运输，如不采取有效的遮盖措施，会产生扬尘。</w:t>
      </w:r>
    </w:p>
    <w:p>
      <w:pPr>
        <w:wordWrap w:val="0"/>
        <w:spacing w:line="420" w:lineRule="exact"/>
        <w:ind w:firstLine="480" w:firstLineChars="200"/>
        <w:rPr>
          <w:sz w:val="24"/>
        </w:rPr>
      </w:pPr>
      <w:r>
        <w:rPr>
          <w:rFonts w:hint="eastAsia" w:cs="宋体"/>
          <w:sz w:val="24"/>
        </w:rPr>
        <w:t>④</w:t>
      </w:r>
      <w:r>
        <w:rPr>
          <w:sz w:val="24"/>
        </w:rPr>
        <w:t>施工垃圾的清理会产生扬尘。</w:t>
      </w:r>
    </w:p>
    <w:p>
      <w:pPr>
        <w:wordWrap w:val="0"/>
        <w:spacing w:line="420" w:lineRule="exact"/>
        <w:ind w:firstLine="480" w:firstLineChars="200"/>
        <w:rPr>
          <w:sz w:val="24"/>
        </w:rPr>
      </w:pPr>
      <w:r>
        <w:rPr>
          <w:rFonts w:hint="eastAsia" w:cs="宋体"/>
          <w:sz w:val="24"/>
        </w:rPr>
        <w:t>⑤</w:t>
      </w:r>
      <w:r>
        <w:rPr>
          <w:sz w:val="24"/>
        </w:rPr>
        <w:t>施工检修道路的修筑会破坏地表植被，土壤裸露，造成二次扬尘。</w:t>
      </w:r>
    </w:p>
    <w:p>
      <w:pPr>
        <w:wordWrap w:val="0"/>
        <w:snapToGrid w:val="0"/>
        <w:spacing w:line="420" w:lineRule="exact"/>
        <w:ind w:firstLine="480" w:firstLineChars="200"/>
        <w:rPr>
          <w:sz w:val="24"/>
        </w:rPr>
      </w:pPr>
      <w:r>
        <w:rPr>
          <w:sz w:val="24"/>
        </w:rPr>
        <w:t>总之，施工活动将造成局部地区环境空气中的颗粒物浓度增高，尤其是在久旱无雨的季节，当风力较大时，施工现场表层的浮土可能扬起，经类比调查，其影响范围可超过施工现场边缘以外50m远。</w:t>
      </w:r>
    </w:p>
    <w:p>
      <w:pPr>
        <w:wordWrap w:val="0"/>
        <w:spacing w:line="420" w:lineRule="exact"/>
        <w:ind w:firstLine="480" w:firstLineChars="200"/>
        <w:rPr>
          <w:sz w:val="24"/>
        </w:rPr>
      </w:pPr>
      <w:r>
        <w:rPr>
          <w:rFonts w:hint="eastAsia"/>
          <w:sz w:val="24"/>
        </w:rPr>
        <w:t>（2）施工机械车辆尾气的产生及影响：</w:t>
      </w:r>
    </w:p>
    <w:p>
      <w:pPr>
        <w:wordWrap w:val="0"/>
        <w:spacing w:line="420" w:lineRule="exact"/>
        <w:ind w:firstLine="480" w:firstLineChars="200"/>
        <w:rPr>
          <w:sz w:val="24"/>
        </w:rPr>
      </w:pPr>
      <w:r>
        <w:rPr>
          <w:rFonts w:hint="eastAsia"/>
          <w:sz w:val="24"/>
        </w:rPr>
        <w:t>施工中机械及车辆排放的尾气中污染物主要有SO</w:t>
      </w:r>
      <w:r>
        <w:rPr>
          <w:rFonts w:hint="eastAsia"/>
          <w:sz w:val="24"/>
          <w:vertAlign w:val="subscript"/>
        </w:rPr>
        <w:t>2</w:t>
      </w:r>
      <w:r>
        <w:rPr>
          <w:rFonts w:hint="eastAsia"/>
          <w:sz w:val="24"/>
        </w:rPr>
        <w:t>、CO</w:t>
      </w:r>
      <w:r>
        <w:rPr>
          <w:rFonts w:hint="eastAsia"/>
          <w:sz w:val="24"/>
          <w:vertAlign w:val="subscript"/>
        </w:rPr>
        <w:t>2</w:t>
      </w:r>
      <w:r>
        <w:rPr>
          <w:rFonts w:hint="eastAsia"/>
          <w:sz w:val="24"/>
        </w:rPr>
        <w:t>、NO</w:t>
      </w:r>
      <w:r>
        <w:rPr>
          <w:rFonts w:hint="eastAsia"/>
          <w:sz w:val="24"/>
          <w:vertAlign w:val="subscript"/>
        </w:rPr>
        <w:t>2</w:t>
      </w:r>
      <w:r>
        <w:rPr>
          <w:rFonts w:hint="eastAsia"/>
          <w:sz w:val="24"/>
        </w:rPr>
        <w:t>和CH</w:t>
      </w:r>
      <w:r>
        <w:rPr>
          <w:rFonts w:hint="eastAsia"/>
          <w:sz w:val="24"/>
          <w:vertAlign w:val="subscript"/>
        </w:rPr>
        <w:t>x</w:t>
      </w:r>
      <w:r>
        <w:rPr>
          <w:rFonts w:hint="eastAsia"/>
          <w:sz w:val="24"/>
        </w:rPr>
        <w:t>。根据一般工程数据，燃油1t排放上述污染物分别为0.003t、0.078t、0.047t和0.0065t，为无组织排放。</w:t>
      </w:r>
    </w:p>
    <w:p>
      <w:pPr>
        <w:wordWrap w:val="0"/>
        <w:spacing w:beforeLines="25" w:afterLines="25" w:line="420" w:lineRule="exact"/>
        <w:ind w:firstLine="470" w:firstLineChars="196"/>
        <w:rPr>
          <w:sz w:val="24"/>
        </w:rPr>
      </w:pPr>
      <w:r>
        <w:rPr>
          <w:rFonts w:hint="eastAsia"/>
          <w:sz w:val="24"/>
        </w:rPr>
        <w:t>本工程各类施工车辆在燃油时SO</w:t>
      </w:r>
      <w:r>
        <w:rPr>
          <w:rFonts w:hint="eastAsia"/>
          <w:sz w:val="24"/>
          <w:vertAlign w:val="subscript"/>
        </w:rPr>
        <w:t>2</w:t>
      </w:r>
      <w:r>
        <w:rPr>
          <w:rFonts w:hint="eastAsia"/>
          <w:sz w:val="24"/>
        </w:rPr>
        <w:t>、CO</w:t>
      </w:r>
      <w:r>
        <w:rPr>
          <w:rFonts w:hint="eastAsia"/>
          <w:sz w:val="24"/>
          <w:vertAlign w:val="subscript"/>
        </w:rPr>
        <w:t>2</w:t>
      </w:r>
      <w:r>
        <w:rPr>
          <w:rFonts w:hint="eastAsia"/>
          <w:sz w:val="24"/>
        </w:rPr>
        <w:t>、NO</w:t>
      </w:r>
      <w:r>
        <w:rPr>
          <w:rFonts w:hint="eastAsia"/>
          <w:sz w:val="24"/>
          <w:vertAlign w:val="subscript"/>
        </w:rPr>
        <w:t>2</w:t>
      </w:r>
      <w:r>
        <w:rPr>
          <w:rFonts w:hint="eastAsia"/>
          <w:sz w:val="24"/>
        </w:rPr>
        <w:t>和CH</w:t>
      </w:r>
      <w:r>
        <w:rPr>
          <w:rFonts w:hint="eastAsia"/>
          <w:sz w:val="24"/>
          <w:vertAlign w:val="subscript"/>
        </w:rPr>
        <w:t>x</w:t>
      </w:r>
      <w:r>
        <w:rPr>
          <w:rFonts w:hint="eastAsia"/>
          <w:sz w:val="24"/>
        </w:rPr>
        <w:t>等大气污染物排放量不大，且为间断排放，对施工区域及运输线路沿线的空气环境影响不大。尾气中所含有的有害物质主要有CO、NO</w:t>
      </w:r>
      <w:r>
        <w:rPr>
          <w:rFonts w:hint="eastAsia"/>
          <w:sz w:val="24"/>
          <w:vertAlign w:val="subscript"/>
        </w:rPr>
        <w:t>2</w:t>
      </w:r>
      <w:r>
        <w:rPr>
          <w:rFonts w:hint="eastAsia"/>
          <w:sz w:val="24"/>
        </w:rPr>
        <w:t>等，对施工人员产生一定的影响。</w:t>
      </w:r>
    </w:p>
    <w:p>
      <w:pPr>
        <w:wordWrap w:val="0"/>
        <w:spacing w:beforeLines="25" w:afterLines="25" w:line="420" w:lineRule="exact"/>
        <w:ind w:firstLine="470" w:firstLineChars="196"/>
        <w:rPr>
          <w:sz w:val="24"/>
        </w:rPr>
      </w:pPr>
      <w:r>
        <w:rPr>
          <w:rFonts w:hint="eastAsia"/>
          <w:sz w:val="24"/>
        </w:rPr>
        <w:t>（3）柴油发电机组废气</w:t>
      </w:r>
    </w:p>
    <w:p>
      <w:pPr>
        <w:wordWrap w:val="0"/>
        <w:spacing w:beforeLines="25" w:afterLines="25" w:line="420" w:lineRule="exact"/>
        <w:ind w:firstLine="470" w:firstLineChars="196"/>
        <w:rPr>
          <w:sz w:val="24"/>
        </w:rPr>
      </w:pPr>
      <w:r>
        <w:rPr>
          <w:rFonts w:hint="eastAsia"/>
          <w:sz w:val="24"/>
        </w:rPr>
        <w:t>施工中供电主要由柴油发电机组提供，柴油发电机组运行时会产生废气，为连续排放。本项目施工量较小，施工时间较短，且位于山顶开阔地带，有利于废气的扩散，对周围环境影响较小。</w:t>
      </w:r>
    </w:p>
    <w:p>
      <w:pPr>
        <w:wordWrap w:val="0"/>
        <w:spacing w:beforeLines="25" w:afterLines="25" w:line="440" w:lineRule="exact"/>
        <w:ind w:firstLine="472" w:firstLineChars="196"/>
        <w:rPr>
          <w:b/>
          <w:sz w:val="24"/>
        </w:rPr>
      </w:pPr>
      <w:r>
        <w:rPr>
          <w:rFonts w:hint="eastAsia"/>
          <w:b/>
          <w:sz w:val="24"/>
        </w:rPr>
        <w:t xml:space="preserve">1.5 </w:t>
      </w:r>
      <w:r>
        <w:rPr>
          <w:b/>
          <w:sz w:val="24"/>
        </w:rPr>
        <w:t>固体废物</w:t>
      </w:r>
    </w:p>
    <w:p>
      <w:pPr>
        <w:wordWrap w:val="0"/>
        <w:autoSpaceDE w:val="0"/>
        <w:autoSpaceDN w:val="0"/>
        <w:adjustRightInd w:val="0"/>
        <w:spacing w:line="420" w:lineRule="exact"/>
        <w:ind w:firstLine="480" w:firstLineChars="200"/>
        <w:rPr>
          <w:sz w:val="24"/>
        </w:rPr>
      </w:pPr>
      <w:r>
        <w:rPr>
          <w:rFonts w:cs="宋?"/>
          <w:kern w:val="0"/>
          <w:sz w:val="24"/>
        </w:rPr>
        <w:t>施工过程中产生的土石方量较大，施工过程中吊装平台、风电机基础和箱变以及输电线路的土方余方量全部用于施工检修道路的场地平整，并恢复植被，不产生工程土石弃方。</w:t>
      </w:r>
      <w:r>
        <w:rPr>
          <w:sz w:val="24"/>
        </w:rPr>
        <w:t>施工期全场的固废本着</w:t>
      </w:r>
      <w:r>
        <w:rPr>
          <w:rFonts w:hint="eastAsia"/>
          <w:sz w:val="24"/>
        </w:rPr>
        <w:t>“</w:t>
      </w:r>
      <w:r>
        <w:rPr>
          <w:sz w:val="24"/>
        </w:rPr>
        <w:t>资源化、减量化</w:t>
      </w:r>
      <w:r>
        <w:rPr>
          <w:rFonts w:hint="eastAsia"/>
          <w:sz w:val="24"/>
        </w:rPr>
        <w:t>”</w:t>
      </w:r>
      <w:r>
        <w:rPr>
          <w:sz w:val="24"/>
        </w:rPr>
        <w:t>的处理原则，得到妥善处理处置，不会对外环境产生二次不利影响。</w:t>
      </w:r>
    </w:p>
    <w:p>
      <w:pPr>
        <w:wordWrap w:val="0"/>
        <w:autoSpaceDE w:val="0"/>
        <w:autoSpaceDN w:val="0"/>
        <w:adjustRightInd w:val="0"/>
        <w:spacing w:line="420" w:lineRule="exact"/>
        <w:ind w:firstLine="480" w:firstLineChars="200"/>
        <w:rPr>
          <w:sz w:val="24"/>
        </w:rPr>
      </w:pPr>
      <w:r>
        <w:rPr>
          <w:rFonts w:hint="eastAsia"/>
          <w:sz w:val="24"/>
        </w:rPr>
        <w:t>施工过程产生的生活垃圾置于移动式垃圾收集桶，集中收集后送岢岚县环卫部门制定地点处理，及时清运，对周围环境影响较小。</w:t>
      </w:r>
    </w:p>
    <w:p>
      <w:pPr>
        <w:pStyle w:val="29"/>
        <w:wordWrap w:val="0"/>
        <w:spacing w:beforeLines="25" w:beforeAutospacing="0" w:afterLines="25" w:afterAutospacing="0" w:line="440" w:lineRule="exact"/>
        <w:jc w:val="both"/>
        <w:rPr>
          <w:rFonts w:ascii="Times New Roman" w:hAnsi="Times New Roman" w:cs="Times New Roman"/>
          <w:b/>
          <w:sz w:val="28"/>
          <w:szCs w:val="28"/>
        </w:rPr>
      </w:pPr>
      <w:bookmarkStart w:id="179" w:name="_Toc406057637"/>
      <w:bookmarkStart w:id="180" w:name="_Toc406057745"/>
      <w:bookmarkStart w:id="181" w:name="_Toc406057942"/>
      <w:bookmarkStart w:id="182" w:name="_Toc409679617"/>
      <w:bookmarkStart w:id="183" w:name="_Toc409679744"/>
      <w:r>
        <w:rPr>
          <w:rFonts w:ascii="Times New Roman" w:hAnsi="Times New Roman" w:cs="Times New Roman"/>
          <w:b/>
          <w:sz w:val="28"/>
          <w:szCs w:val="28"/>
        </w:rPr>
        <w:t>2．防治措施及预期治理效果</w:t>
      </w:r>
      <w:bookmarkEnd w:id="179"/>
      <w:bookmarkEnd w:id="180"/>
      <w:bookmarkEnd w:id="181"/>
      <w:bookmarkEnd w:id="182"/>
      <w:bookmarkEnd w:id="183"/>
    </w:p>
    <w:p>
      <w:pPr>
        <w:wordWrap w:val="0"/>
        <w:spacing w:beforeLines="25" w:afterLines="25" w:line="440" w:lineRule="exact"/>
        <w:ind w:firstLine="472" w:firstLineChars="196"/>
        <w:rPr>
          <w:b/>
          <w:sz w:val="24"/>
        </w:rPr>
      </w:pPr>
      <w:r>
        <w:rPr>
          <w:rFonts w:hint="eastAsia"/>
          <w:b/>
          <w:sz w:val="24"/>
        </w:rPr>
        <w:t>2.1生态恢复措施</w:t>
      </w:r>
    </w:p>
    <w:p>
      <w:pPr>
        <w:wordWrap w:val="0"/>
        <w:snapToGrid w:val="0"/>
        <w:spacing w:line="420" w:lineRule="exact"/>
        <w:ind w:firstLine="480" w:firstLineChars="200"/>
        <w:rPr>
          <w:sz w:val="24"/>
        </w:rPr>
      </w:pPr>
      <w:r>
        <w:rPr>
          <w:rFonts w:hint="eastAsia"/>
          <w:sz w:val="24"/>
        </w:rPr>
        <w:t>风电场的生态影响防护与恢复措施主要以施工期为主，风电场的水土保持防治措施根据不同的水土流失特点分别加以实施。风电场场址区以绿化为主，同时考虑与工程措施的协调，水土保持措施要围绕风电场存在的水土流失问题，因地制宜，因害设防。</w:t>
      </w:r>
    </w:p>
    <w:p>
      <w:pPr>
        <w:wordWrap w:val="0"/>
        <w:snapToGrid w:val="0"/>
        <w:spacing w:line="420" w:lineRule="exact"/>
        <w:ind w:firstLine="480" w:firstLineChars="200"/>
        <w:rPr>
          <w:sz w:val="24"/>
        </w:rPr>
      </w:pPr>
      <w:r>
        <w:rPr>
          <w:rFonts w:hint="eastAsia"/>
          <w:sz w:val="24"/>
        </w:rPr>
        <w:t>本工程的生态恢复措施体系分为三个防治区，即风力发电机组及箱变区、施工生产生活防治区、集电线路区、检修道路区。根据本工程水土流失特点、结合区域自然条件，主要采取工程措施、植物措施和临时措施。本项目生态恢复示意图见图10。</w:t>
      </w:r>
    </w:p>
    <w:p>
      <w:pPr>
        <w:wordWrap w:val="0"/>
        <w:spacing w:line="440" w:lineRule="exact"/>
        <w:ind w:firstLine="482" w:firstLineChars="200"/>
        <w:rPr>
          <w:b/>
          <w:sz w:val="24"/>
        </w:rPr>
      </w:pPr>
      <w:r>
        <w:rPr>
          <w:rFonts w:hint="eastAsia"/>
          <w:b/>
          <w:sz w:val="24"/>
        </w:rPr>
        <w:t>2.1.1</w:t>
      </w:r>
      <w:r>
        <w:rPr>
          <w:b/>
          <w:sz w:val="24"/>
        </w:rPr>
        <w:t>风力发电机组箱变</w:t>
      </w:r>
      <w:r>
        <w:rPr>
          <w:rFonts w:hint="eastAsia"/>
          <w:b/>
          <w:sz w:val="24"/>
        </w:rPr>
        <w:t>防治区</w:t>
      </w:r>
    </w:p>
    <w:p>
      <w:pPr>
        <w:wordWrap w:val="0"/>
        <w:snapToGrid w:val="0"/>
        <w:spacing w:line="420" w:lineRule="exact"/>
        <w:ind w:firstLine="480" w:firstLineChars="200"/>
        <w:rPr>
          <w:bCs/>
          <w:sz w:val="24"/>
        </w:rPr>
      </w:pPr>
      <w:r>
        <w:rPr>
          <w:rFonts w:hint="eastAsia"/>
          <w:sz w:val="24"/>
        </w:rPr>
        <w:t>（1）</w:t>
      </w:r>
      <w:r>
        <w:rPr>
          <w:sz w:val="24"/>
        </w:rPr>
        <w:t>工程措施</w:t>
      </w:r>
      <w:r>
        <w:rPr>
          <w:bCs/>
          <w:sz w:val="24"/>
        </w:rPr>
        <w:t>设计</w:t>
      </w:r>
      <w:r>
        <w:rPr>
          <w:rFonts w:hint="eastAsia"/>
          <w:bCs/>
          <w:sz w:val="24"/>
        </w:rPr>
        <w:t>：</w:t>
      </w:r>
      <w:r>
        <w:rPr>
          <w:bCs/>
          <w:sz w:val="24"/>
        </w:rPr>
        <w:t>施工前对该区域进行表土剥离，施工结束后将剥离土还原覆盖，并对风力发电机组周边土地进行整治，整治面积</w:t>
      </w:r>
      <w:r>
        <w:rPr>
          <w:rFonts w:hint="eastAsia"/>
          <w:bCs/>
          <w:sz w:val="24"/>
        </w:rPr>
        <w:t>4944m</w:t>
      </w:r>
      <w:r>
        <w:rPr>
          <w:rFonts w:hint="eastAsia"/>
          <w:bCs/>
          <w:sz w:val="24"/>
          <w:vertAlign w:val="superscript"/>
        </w:rPr>
        <w:t>2</w:t>
      </w:r>
      <w:r>
        <w:rPr>
          <w:bCs/>
          <w:sz w:val="24"/>
        </w:rPr>
        <w:t>。</w:t>
      </w:r>
    </w:p>
    <w:p>
      <w:pPr>
        <w:wordWrap w:val="0"/>
        <w:spacing w:line="420" w:lineRule="exact"/>
        <w:ind w:firstLine="200"/>
        <w:rPr>
          <w:bCs/>
          <w:sz w:val="24"/>
        </w:rPr>
      </w:pPr>
      <w:r>
        <w:rPr>
          <w:rFonts w:hint="eastAsia"/>
          <w:sz w:val="24"/>
        </w:rPr>
        <w:t>（2）</w:t>
      </w:r>
      <w:r>
        <w:rPr>
          <w:bCs/>
          <w:sz w:val="24"/>
        </w:rPr>
        <w:t>植物措施设计</w:t>
      </w:r>
      <w:r>
        <w:rPr>
          <w:rFonts w:hint="eastAsia"/>
          <w:bCs/>
          <w:sz w:val="24"/>
        </w:rPr>
        <w:t>：</w:t>
      </w:r>
      <w:r>
        <w:rPr>
          <w:bCs/>
          <w:sz w:val="24"/>
        </w:rPr>
        <w:t>吊装场地植被恢复</w:t>
      </w:r>
      <w:r>
        <w:rPr>
          <w:rFonts w:hint="eastAsia"/>
          <w:bCs/>
          <w:sz w:val="24"/>
        </w:rPr>
        <w:t>4944m</w:t>
      </w:r>
      <w:r>
        <w:rPr>
          <w:rFonts w:hint="eastAsia"/>
          <w:bCs/>
          <w:sz w:val="24"/>
          <w:vertAlign w:val="superscript"/>
        </w:rPr>
        <w:t>2</w:t>
      </w:r>
      <w:r>
        <w:rPr>
          <w:bCs/>
          <w:sz w:val="24"/>
        </w:rPr>
        <w:t>，撒播</w:t>
      </w:r>
      <w:r>
        <w:rPr>
          <w:rFonts w:hint="eastAsia"/>
          <w:bCs/>
          <w:sz w:val="24"/>
        </w:rPr>
        <w:t>披碱草草籽26.5</w:t>
      </w:r>
      <w:r>
        <w:rPr>
          <w:bCs/>
          <w:sz w:val="24"/>
        </w:rPr>
        <w:t xml:space="preserve">kg； </w:t>
      </w:r>
    </w:p>
    <w:p>
      <w:pPr>
        <w:wordWrap w:val="0"/>
        <w:spacing w:line="420" w:lineRule="exact"/>
        <w:ind w:firstLine="480" w:firstLineChars="200"/>
        <w:rPr>
          <w:sz w:val="24"/>
        </w:rPr>
      </w:pPr>
      <w:r>
        <w:rPr>
          <w:rFonts w:hint="eastAsia"/>
          <w:sz w:val="24"/>
        </w:rPr>
        <w:t>（3）</w:t>
      </w:r>
      <w:r>
        <w:rPr>
          <w:bCs/>
          <w:sz w:val="24"/>
        </w:rPr>
        <w:t>临时措施设计</w:t>
      </w:r>
      <w:r>
        <w:rPr>
          <w:rFonts w:hint="eastAsia"/>
          <w:bCs/>
          <w:sz w:val="24"/>
        </w:rPr>
        <w:t>：</w:t>
      </w:r>
      <w:r>
        <w:rPr>
          <w:sz w:val="24"/>
        </w:rPr>
        <w:t>风力发电机组基础土方回填料和箱变基础土方回填量（每个风力发电机组箱变区</w:t>
      </w:r>
      <w:r>
        <w:rPr>
          <w:rFonts w:hint="eastAsia"/>
          <w:sz w:val="24"/>
        </w:rPr>
        <w:t>352</w:t>
      </w:r>
      <w:r>
        <w:rPr>
          <w:sz w:val="24"/>
        </w:rPr>
        <w:t>m</w:t>
      </w:r>
      <w:r>
        <w:rPr>
          <w:sz w:val="24"/>
          <w:vertAlign w:val="superscript"/>
        </w:rPr>
        <w:t>2</w:t>
      </w:r>
      <w:r>
        <w:rPr>
          <w:sz w:val="24"/>
        </w:rPr>
        <w:t>）堆放在吊装场地基础开挖四周空地处，四周洒水并由铁锹拍实，并进行苫盖处理，单个吊装场地需防护网600m</w:t>
      </w:r>
      <w:r>
        <w:rPr>
          <w:sz w:val="24"/>
          <w:vertAlign w:val="superscript"/>
        </w:rPr>
        <w:t>2</w:t>
      </w:r>
      <w:r>
        <w:rPr>
          <w:sz w:val="24"/>
        </w:rPr>
        <w:t>。按照施工情况，设计</w:t>
      </w:r>
      <w:r>
        <w:rPr>
          <w:rFonts w:hint="eastAsia"/>
          <w:sz w:val="24"/>
        </w:rPr>
        <w:t>3</w:t>
      </w:r>
      <w:r>
        <w:rPr>
          <w:sz w:val="24"/>
        </w:rPr>
        <w:t>个风力发电机组吊装平台为一个施工周期，防护网重复利用，需要防护网合计</w:t>
      </w:r>
      <w:r>
        <w:rPr>
          <w:rFonts w:hint="eastAsia"/>
          <w:sz w:val="24"/>
        </w:rPr>
        <w:t>1800</w:t>
      </w:r>
      <w:r>
        <w:rPr>
          <w:sz w:val="24"/>
        </w:rPr>
        <w:t>m</w:t>
      </w:r>
      <w:r>
        <w:rPr>
          <w:sz w:val="24"/>
          <w:vertAlign w:val="superscript"/>
        </w:rPr>
        <w:t>2</w:t>
      </w:r>
      <w:r>
        <w:rPr>
          <w:sz w:val="24"/>
        </w:rPr>
        <w:t>。</w:t>
      </w:r>
    </w:p>
    <w:p>
      <w:pPr>
        <w:wordWrap w:val="0"/>
        <w:spacing w:line="440" w:lineRule="exact"/>
        <w:ind w:firstLine="482" w:firstLineChars="200"/>
        <w:rPr>
          <w:b/>
          <w:sz w:val="24"/>
        </w:rPr>
      </w:pPr>
      <w:r>
        <w:rPr>
          <w:rFonts w:hint="eastAsia"/>
          <w:b/>
          <w:sz w:val="24"/>
        </w:rPr>
        <w:t>2.1.3</w:t>
      </w:r>
      <w:r>
        <w:rPr>
          <w:b/>
          <w:sz w:val="24"/>
        </w:rPr>
        <w:t>施工生产生活防治区</w:t>
      </w:r>
    </w:p>
    <w:p>
      <w:pPr>
        <w:wordWrap w:val="0"/>
        <w:spacing w:line="420" w:lineRule="exact"/>
        <w:ind w:firstLine="480" w:firstLineChars="200"/>
        <w:rPr>
          <w:bCs/>
          <w:sz w:val="24"/>
        </w:rPr>
      </w:pPr>
      <w:r>
        <w:rPr>
          <w:rFonts w:hint="eastAsia"/>
          <w:bCs/>
          <w:sz w:val="24"/>
        </w:rPr>
        <w:t>施工期拟设一座施工生产生活区，位于封场F03机位附近扩建的道路东侧。</w:t>
      </w:r>
    </w:p>
    <w:p>
      <w:pPr>
        <w:wordWrap w:val="0"/>
        <w:spacing w:line="420" w:lineRule="exact"/>
        <w:ind w:firstLine="480" w:firstLineChars="200"/>
        <w:rPr>
          <w:sz w:val="24"/>
        </w:rPr>
      </w:pPr>
      <w:r>
        <w:rPr>
          <w:rFonts w:hint="eastAsia"/>
          <w:sz w:val="24"/>
        </w:rPr>
        <w:t>（1）</w:t>
      </w:r>
      <w:r>
        <w:rPr>
          <w:bCs/>
          <w:sz w:val="24"/>
        </w:rPr>
        <w:t>工程措施设计</w:t>
      </w:r>
      <w:r>
        <w:rPr>
          <w:rFonts w:hint="eastAsia"/>
          <w:bCs/>
          <w:sz w:val="24"/>
        </w:rPr>
        <w:t>：</w:t>
      </w:r>
      <w:r>
        <w:rPr>
          <w:bCs/>
          <w:sz w:val="24"/>
        </w:rPr>
        <w:t>施工前对施工生产生活区占压范围内要实施表土剥离，施工结束后将剥离土还原覆盖。</w:t>
      </w:r>
      <w:r>
        <w:rPr>
          <w:sz w:val="24"/>
        </w:rPr>
        <w:t>对施工临时占地进行全面整地，整地面积</w:t>
      </w:r>
      <w:r>
        <w:rPr>
          <w:rFonts w:hint="eastAsia"/>
          <w:sz w:val="24"/>
        </w:rPr>
        <w:t>6300</w:t>
      </w:r>
      <w:r>
        <w:rPr>
          <w:sz w:val="24"/>
        </w:rPr>
        <w:t>m</w:t>
      </w:r>
      <w:r>
        <w:rPr>
          <w:sz w:val="24"/>
          <w:vertAlign w:val="superscript"/>
        </w:rPr>
        <w:t>2</w:t>
      </w:r>
      <w:r>
        <w:rPr>
          <w:sz w:val="24"/>
        </w:rPr>
        <w:t>；</w:t>
      </w:r>
    </w:p>
    <w:p>
      <w:pPr>
        <w:wordWrap w:val="0"/>
        <w:spacing w:line="420" w:lineRule="exact"/>
        <w:ind w:firstLine="480" w:firstLineChars="200"/>
        <w:rPr>
          <w:sz w:val="24"/>
        </w:rPr>
      </w:pPr>
      <w:r>
        <w:rPr>
          <w:rFonts w:hint="eastAsia"/>
          <w:sz w:val="24"/>
        </w:rPr>
        <w:t>（2）</w:t>
      </w:r>
      <w:r>
        <w:rPr>
          <w:bCs/>
          <w:sz w:val="24"/>
        </w:rPr>
        <w:t>植被恢复</w:t>
      </w:r>
      <w:r>
        <w:rPr>
          <w:rFonts w:hint="eastAsia"/>
          <w:bCs/>
          <w:sz w:val="24"/>
        </w:rPr>
        <w:t>：</w:t>
      </w:r>
      <w:r>
        <w:rPr>
          <w:sz w:val="24"/>
        </w:rPr>
        <w:t>本方案设计对施工临时占地采用</w:t>
      </w:r>
      <w:r>
        <w:rPr>
          <w:rFonts w:hint="eastAsia"/>
          <w:sz w:val="24"/>
        </w:rPr>
        <w:t>撒草绿化的方式对其</w:t>
      </w:r>
      <w:r>
        <w:rPr>
          <w:sz w:val="24"/>
        </w:rPr>
        <w:t>进行植被恢复，</w:t>
      </w:r>
      <w:r>
        <w:rPr>
          <w:rFonts w:hint="eastAsia"/>
          <w:sz w:val="24"/>
        </w:rPr>
        <w:t>恢复</w:t>
      </w:r>
      <w:r>
        <w:rPr>
          <w:sz w:val="24"/>
        </w:rPr>
        <w:t>面积为</w:t>
      </w:r>
      <w:r>
        <w:rPr>
          <w:rFonts w:hint="eastAsia"/>
          <w:sz w:val="24"/>
        </w:rPr>
        <w:t>6300</w:t>
      </w:r>
      <w:r>
        <w:rPr>
          <w:sz w:val="24"/>
        </w:rPr>
        <w:t>m</w:t>
      </w:r>
      <w:r>
        <w:rPr>
          <w:sz w:val="24"/>
          <w:vertAlign w:val="superscript"/>
        </w:rPr>
        <w:t>2</w:t>
      </w:r>
      <w:r>
        <w:rPr>
          <w:sz w:val="24"/>
        </w:rPr>
        <w:t>。草种选择</w:t>
      </w:r>
      <w:r>
        <w:rPr>
          <w:rFonts w:hint="eastAsia"/>
          <w:sz w:val="24"/>
        </w:rPr>
        <w:t>无芒雀麦和</w:t>
      </w:r>
      <w:r>
        <w:rPr>
          <w:sz w:val="24"/>
        </w:rPr>
        <w:t>披碱草，选择品质优良的一级草籽，播种量50kg/hm</w:t>
      </w:r>
      <w:r>
        <w:rPr>
          <w:sz w:val="24"/>
          <w:vertAlign w:val="superscript"/>
        </w:rPr>
        <w:t>2</w:t>
      </w:r>
      <w:r>
        <w:rPr>
          <w:sz w:val="24"/>
        </w:rPr>
        <w:t>，共计撒播草籽</w:t>
      </w:r>
      <w:r>
        <w:rPr>
          <w:rFonts w:hint="eastAsia"/>
          <w:sz w:val="24"/>
        </w:rPr>
        <w:t>6300</w:t>
      </w:r>
      <w:r>
        <w:rPr>
          <w:sz w:val="24"/>
        </w:rPr>
        <w:t>m</w:t>
      </w:r>
      <w:r>
        <w:rPr>
          <w:sz w:val="24"/>
          <w:vertAlign w:val="superscript"/>
        </w:rPr>
        <w:t>2</w:t>
      </w:r>
      <w:r>
        <w:rPr>
          <w:sz w:val="24"/>
        </w:rPr>
        <w:t>，共需草籽</w:t>
      </w:r>
      <w:r>
        <w:rPr>
          <w:rFonts w:hint="eastAsia"/>
          <w:sz w:val="24"/>
        </w:rPr>
        <w:t>30</w:t>
      </w:r>
      <w:r>
        <w:rPr>
          <w:sz w:val="24"/>
        </w:rPr>
        <w:t>kg。</w:t>
      </w:r>
    </w:p>
    <w:p>
      <w:pPr>
        <w:wordWrap w:val="0"/>
        <w:spacing w:line="420" w:lineRule="exact"/>
        <w:ind w:firstLine="480" w:firstLineChars="200"/>
        <w:rPr>
          <w:sz w:val="24"/>
        </w:rPr>
      </w:pPr>
      <w:r>
        <w:rPr>
          <w:rFonts w:hint="eastAsia"/>
          <w:sz w:val="24"/>
        </w:rPr>
        <w:t>（3）</w:t>
      </w:r>
      <w:r>
        <w:rPr>
          <w:sz w:val="24"/>
        </w:rPr>
        <w:t>施工临时防护</w:t>
      </w:r>
      <w:r>
        <w:rPr>
          <w:rFonts w:hint="eastAsia"/>
          <w:sz w:val="24"/>
        </w:rPr>
        <w:t>：</w:t>
      </w:r>
      <w:r>
        <w:rPr>
          <w:sz w:val="24"/>
        </w:rPr>
        <w:t>施工生产生活区施工过程场地挖填容易造成水土流失，本方案设计在施工现场增加彩钢板临时拦挡，彩钢板高2m，防护长度</w:t>
      </w:r>
      <w:r>
        <w:rPr>
          <w:rFonts w:hint="eastAsia"/>
          <w:sz w:val="24"/>
        </w:rPr>
        <w:t>约</w:t>
      </w:r>
      <w:r>
        <w:rPr>
          <w:sz w:val="24"/>
        </w:rPr>
        <w:t>为4</w:t>
      </w:r>
      <w:r>
        <w:rPr>
          <w:rFonts w:hint="eastAsia"/>
          <w:sz w:val="24"/>
        </w:rPr>
        <w:t>00</w:t>
      </w:r>
      <w:r>
        <w:rPr>
          <w:sz w:val="24"/>
        </w:rPr>
        <w:t>m，需彩钢板面积</w:t>
      </w:r>
      <w:r>
        <w:rPr>
          <w:rFonts w:hint="eastAsia"/>
          <w:sz w:val="24"/>
        </w:rPr>
        <w:t>约1000</w:t>
      </w:r>
      <w:r>
        <w:rPr>
          <w:sz w:val="24"/>
        </w:rPr>
        <w:t>m</w:t>
      </w:r>
      <w:r>
        <w:rPr>
          <w:sz w:val="24"/>
          <w:vertAlign w:val="superscript"/>
        </w:rPr>
        <w:t>2</w:t>
      </w:r>
      <w:r>
        <w:rPr>
          <w:sz w:val="24"/>
        </w:rPr>
        <w:t>。</w:t>
      </w:r>
    </w:p>
    <w:p>
      <w:pPr>
        <w:wordWrap w:val="0"/>
        <w:spacing w:line="440" w:lineRule="exact"/>
        <w:ind w:firstLine="472" w:firstLineChars="196"/>
        <w:rPr>
          <w:b/>
          <w:sz w:val="24"/>
        </w:rPr>
      </w:pPr>
      <w:r>
        <w:rPr>
          <w:rFonts w:hint="eastAsia"/>
          <w:b/>
          <w:sz w:val="24"/>
        </w:rPr>
        <w:t>2.1.4集</w:t>
      </w:r>
      <w:r>
        <w:rPr>
          <w:b/>
          <w:sz w:val="24"/>
        </w:rPr>
        <w:t>电线路防治区</w:t>
      </w:r>
    </w:p>
    <w:p>
      <w:pPr>
        <w:wordWrap w:val="0"/>
        <w:spacing w:line="420" w:lineRule="exact"/>
        <w:ind w:firstLine="480" w:firstLineChars="200"/>
        <w:rPr>
          <w:bCs/>
          <w:sz w:val="24"/>
        </w:rPr>
      </w:pPr>
      <w:r>
        <w:rPr>
          <w:rFonts w:hint="eastAsia"/>
          <w:sz w:val="24"/>
        </w:rPr>
        <w:t>（1）</w:t>
      </w:r>
      <w:r>
        <w:rPr>
          <w:bCs/>
          <w:sz w:val="24"/>
        </w:rPr>
        <w:t>工程措施设计</w:t>
      </w:r>
      <w:r>
        <w:rPr>
          <w:rFonts w:hint="eastAsia"/>
          <w:bCs/>
          <w:sz w:val="24"/>
        </w:rPr>
        <w:t>：</w:t>
      </w:r>
      <w:r>
        <w:rPr>
          <w:bCs/>
          <w:sz w:val="24"/>
        </w:rPr>
        <w:t>施工前对塔基处周边临时占地进行表土剥离，施工结束后将剥离土还原覆盖进行整地，</w:t>
      </w:r>
      <w:r>
        <w:rPr>
          <w:rFonts w:hint="eastAsia"/>
          <w:bCs/>
          <w:sz w:val="24"/>
        </w:rPr>
        <w:t>本项目设三个铁塔，占地面积为15m×3.5m，</w:t>
      </w:r>
      <w:r>
        <w:rPr>
          <w:bCs/>
          <w:sz w:val="24"/>
        </w:rPr>
        <w:t>整地面积</w:t>
      </w:r>
      <w:r>
        <w:rPr>
          <w:rFonts w:hint="eastAsia"/>
          <w:bCs/>
          <w:sz w:val="24"/>
        </w:rPr>
        <w:t>157.5</w:t>
      </w:r>
      <w:r>
        <w:rPr>
          <w:bCs/>
          <w:sz w:val="24"/>
        </w:rPr>
        <w:t>m</w:t>
      </w:r>
      <w:r>
        <w:rPr>
          <w:bCs/>
          <w:sz w:val="24"/>
          <w:vertAlign w:val="superscript"/>
        </w:rPr>
        <w:t>2</w:t>
      </w:r>
      <w:r>
        <w:rPr>
          <w:bCs/>
          <w:sz w:val="24"/>
        </w:rPr>
        <w:t>；</w:t>
      </w:r>
    </w:p>
    <w:p>
      <w:pPr>
        <w:wordWrap w:val="0"/>
        <w:spacing w:line="420" w:lineRule="exact"/>
        <w:ind w:firstLine="480" w:firstLineChars="200"/>
        <w:rPr>
          <w:bCs/>
          <w:sz w:val="24"/>
        </w:rPr>
      </w:pPr>
      <w:r>
        <w:rPr>
          <w:rFonts w:hint="eastAsia"/>
          <w:sz w:val="24"/>
        </w:rPr>
        <w:t>（2）</w:t>
      </w:r>
      <w:r>
        <w:rPr>
          <w:bCs/>
          <w:sz w:val="24"/>
        </w:rPr>
        <w:t>植物措施</w:t>
      </w:r>
      <w:r>
        <w:rPr>
          <w:rFonts w:hint="eastAsia"/>
          <w:bCs/>
          <w:sz w:val="24"/>
        </w:rPr>
        <w:t>：临时占地进行植被恢复，恢复面积157.5m</w:t>
      </w:r>
      <w:r>
        <w:rPr>
          <w:rFonts w:hint="eastAsia"/>
          <w:bCs/>
          <w:sz w:val="24"/>
          <w:vertAlign w:val="superscript"/>
        </w:rPr>
        <w:t>2</w:t>
      </w:r>
      <w:r>
        <w:rPr>
          <w:rFonts w:hint="eastAsia"/>
          <w:bCs/>
          <w:sz w:val="24"/>
        </w:rPr>
        <w:t>。采用播撒草籽的方式，草种选择披碱草，选择品质优良的一级草籽，播种量50kg/hm</w:t>
      </w:r>
      <w:r>
        <w:rPr>
          <w:rFonts w:hint="eastAsia"/>
          <w:bCs/>
          <w:sz w:val="24"/>
          <w:vertAlign w:val="superscript"/>
        </w:rPr>
        <w:t>2</w:t>
      </w:r>
      <w:r>
        <w:rPr>
          <w:rFonts w:hint="eastAsia"/>
          <w:bCs/>
          <w:sz w:val="24"/>
        </w:rPr>
        <w:t>，共需草籽1.0kg。</w:t>
      </w:r>
    </w:p>
    <w:p>
      <w:pPr>
        <w:wordWrap w:val="0"/>
        <w:spacing w:line="440" w:lineRule="exact"/>
        <w:ind w:firstLine="482" w:firstLineChars="200"/>
        <w:rPr>
          <w:b/>
          <w:sz w:val="24"/>
        </w:rPr>
      </w:pPr>
      <w:r>
        <w:rPr>
          <w:rFonts w:hint="eastAsia"/>
          <w:b/>
          <w:sz w:val="24"/>
        </w:rPr>
        <w:t>2.1.5</w:t>
      </w:r>
      <w:r>
        <w:rPr>
          <w:b/>
          <w:sz w:val="24"/>
        </w:rPr>
        <w:t>交通道路防治区</w:t>
      </w:r>
    </w:p>
    <w:p>
      <w:pPr>
        <w:wordWrap w:val="0"/>
        <w:spacing w:line="420" w:lineRule="exact"/>
        <w:ind w:firstLine="480" w:firstLineChars="200"/>
        <w:rPr>
          <w:bCs/>
          <w:sz w:val="24"/>
        </w:rPr>
      </w:pPr>
      <w:r>
        <w:rPr>
          <w:rFonts w:hint="eastAsia"/>
          <w:sz w:val="24"/>
        </w:rPr>
        <w:t>（1）</w:t>
      </w:r>
      <w:r>
        <w:rPr>
          <w:bCs/>
          <w:sz w:val="24"/>
        </w:rPr>
        <w:t>工程措施设计</w:t>
      </w:r>
    </w:p>
    <w:p>
      <w:pPr>
        <w:wordWrap w:val="0"/>
        <w:spacing w:line="420" w:lineRule="exact"/>
        <w:ind w:firstLine="480" w:firstLineChars="200"/>
        <w:rPr>
          <w:bCs/>
          <w:sz w:val="24"/>
        </w:rPr>
      </w:pPr>
      <w:r>
        <w:rPr>
          <w:rFonts w:hint="eastAsia" w:cs="宋体"/>
          <w:bCs/>
          <w:sz w:val="24"/>
        </w:rPr>
        <w:t>①</w:t>
      </w:r>
      <w:r>
        <w:rPr>
          <w:bCs/>
          <w:sz w:val="24"/>
        </w:rPr>
        <w:t>施工检修道路修建</w:t>
      </w:r>
      <w:r>
        <w:rPr>
          <w:rFonts w:hint="eastAsia"/>
          <w:bCs/>
          <w:sz w:val="24"/>
        </w:rPr>
        <w:t>4.0k</w:t>
      </w:r>
      <w:r>
        <w:rPr>
          <w:bCs/>
          <w:sz w:val="24"/>
        </w:rPr>
        <w:t>m，将雨水径流排放至附近自然沟道。</w:t>
      </w:r>
      <w:r>
        <w:rPr>
          <w:rFonts w:hint="eastAsia"/>
          <w:bCs/>
          <w:sz w:val="24"/>
        </w:rPr>
        <w:t>在沿道路靠近山体一侧设置临时导排水沟。</w:t>
      </w:r>
    </w:p>
    <w:p>
      <w:pPr>
        <w:wordWrap w:val="0"/>
        <w:spacing w:line="420" w:lineRule="exact"/>
        <w:ind w:firstLine="480" w:firstLineChars="200"/>
        <w:rPr>
          <w:bCs/>
          <w:sz w:val="24"/>
        </w:rPr>
      </w:pPr>
      <w:r>
        <w:rPr>
          <w:rFonts w:hint="eastAsia" w:cs="宋体"/>
          <w:bCs/>
          <w:sz w:val="24"/>
        </w:rPr>
        <w:t>②</w:t>
      </w:r>
      <w:r>
        <w:rPr>
          <w:bCs/>
          <w:sz w:val="24"/>
        </w:rPr>
        <w:t>临时占地</w:t>
      </w:r>
      <w:r>
        <w:rPr>
          <w:rFonts w:hint="eastAsia"/>
          <w:bCs/>
          <w:sz w:val="24"/>
        </w:rPr>
        <w:t>：</w:t>
      </w:r>
      <w:r>
        <w:rPr>
          <w:bCs/>
          <w:sz w:val="24"/>
        </w:rPr>
        <w:t>全面整地</w:t>
      </w:r>
      <w:r>
        <w:rPr>
          <w:rFonts w:hint="eastAsia"/>
          <w:bCs/>
          <w:sz w:val="24"/>
        </w:rPr>
        <w:t>2.2</w:t>
      </w:r>
      <w:r>
        <w:rPr>
          <w:bCs/>
          <w:sz w:val="24"/>
        </w:rPr>
        <w:t>hm</w:t>
      </w:r>
      <w:r>
        <w:rPr>
          <w:bCs/>
          <w:sz w:val="24"/>
          <w:vertAlign w:val="superscript"/>
        </w:rPr>
        <w:t>2</w:t>
      </w:r>
      <w:r>
        <w:rPr>
          <w:bCs/>
          <w:sz w:val="24"/>
        </w:rPr>
        <w:t>；</w:t>
      </w:r>
    </w:p>
    <w:p>
      <w:pPr>
        <w:wordWrap w:val="0"/>
        <w:spacing w:line="420" w:lineRule="exact"/>
        <w:ind w:firstLine="480" w:firstLineChars="200"/>
        <w:rPr>
          <w:sz w:val="24"/>
        </w:rPr>
      </w:pPr>
      <w:r>
        <w:rPr>
          <w:rFonts w:hint="eastAsia"/>
          <w:sz w:val="24"/>
        </w:rPr>
        <w:t>（2）</w:t>
      </w:r>
      <w:r>
        <w:rPr>
          <w:rFonts w:hint="eastAsia"/>
          <w:bCs/>
          <w:sz w:val="24"/>
        </w:rPr>
        <w:t>植物措施：</w:t>
      </w:r>
      <w:r>
        <w:rPr>
          <w:sz w:val="24"/>
        </w:rPr>
        <w:t>施工结束后，对场内道路中的施工道路临时占地进行灌草结合植被恢复，面积为</w:t>
      </w:r>
      <w:r>
        <w:rPr>
          <w:rFonts w:hint="eastAsia"/>
          <w:sz w:val="24"/>
        </w:rPr>
        <w:t>2.2</w:t>
      </w:r>
      <w:r>
        <w:rPr>
          <w:sz w:val="24"/>
        </w:rPr>
        <w:t>hm</w:t>
      </w:r>
      <w:r>
        <w:rPr>
          <w:sz w:val="24"/>
          <w:vertAlign w:val="superscript"/>
        </w:rPr>
        <w:t>2</w:t>
      </w:r>
      <w:r>
        <w:rPr>
          <w:sz w:val="24"/>
        </w:rPr>
        <w:t>。灌木选用</w:t>
      </w:r>
      <w:r>
        <w:rPr>
          <w:rFonts w:hint="eastAsia"/>
          <w:sz w:val="24"/>
        </w:rPr>
        <w:t>50c</w:t>
      </w:r>
      <w:r>
        <w:rPr>
          <w:sz w:val="24"/>
        </w:rPr>
        <w:t>m高的</w:t>
      </w:r>
      <w:r>
        <w:rPr>
          <w:rFonts w:hint="eastAsia"/>
          <w:sz w:val="24"/>
        </w:rPr>
        <w:t>荆条</w:t>
      </w:r>
      <w:r>
        <w:rPr>
          <w:sz w:val="24"/>
        </w:rPr>
        <w:t>，种植标准为株行距1.5m×1.5m，采用穴状整地（</w:t>
      </w:r>
      <w:r>
        <w:rPr>
          <w:rFonts w:hint="eastAsia"/>
          <w:sz w:val="24"/>
        </w:rPr>
        <w:t>30</w:t>
      </w:r>
      <w:r>
        <w:rPr>
          <w:sz w:val="24"/>
        </w:rPr>
        <w:t>cm×</w:t>
      </w:r>
      <w:r>
        <w:rPr>
          <w:rFonts w:hint="eastAsia"/>
          <w:sz w:val="24"/>
        </w:rPr>
        <w:t>30</w:t>
      </w:r>
      <w:r>
        <w:rPr>
          <w:sz w:val="24"/>
        </w:rPr>
        <w:t>cm），</w:t>
      </w:r>
      <w:r>
        <w:rPr>
          <w:rFonts w:hint="eastAsia"/>
          <w:sz w:val="24"/>
        </w:rPr>
        <w:t>恢复灌木林地面积2.2</w:t>
      </w:r>
      <w:r>
        <w:rPr>
          <w:sz w:val="24"/>
        </w:rPr>
        <w:t>hm</w:t>
      </w:r>
      <w:r>
        <w:rPr>
          <w:sz w:val="24"/>
          <w:vertAlign w:val="superscript"/>
        </w:rPr>
        <w:t>2</w:t>
      </w:r>
      <w:r>
        <w:rPr>
          <w:sz w:val="24"/>
        </w:rPr>
        <w:t>，共需苗量</w:t>
      </w:r>
      <w:r>
        <w:rPr>
          <w:rFonts w:hint="eastAsia"/>
          <w:sz w:val="24"/>
        </w:rPr>
        <w:t>约8100</w:t>
      </w:r>
      <w:r>
        <w:rPr>
          <w:sz w:val="24"/>
        </w:rPr>
        <w:t>株（考虑</w:t>
      </w:r>
      <w:r>
        <w:rPr>
          <w:rFonts w:hint="eastAsia"/>
          <w:sz w:val="24"/>
        </w:rPr>
        <w:t>5</w:t>
      </w:r>
      <w:r>
        <w:rPr>
          <w:sz w:val="24"/>
        </w:rPr>
        <w:t>%的损耗）；草种选择</w:t>
      </w:r>
      <w:r>
        <w:rPr>
          <w:rFonts w:hint="eastAsia"/>
          <w:sz w:val="24"/>
        </w:rPr>
        <w:t>无芒雀麦和</w:t>
      </w:r>
      <w:r>
        <w:rPr>
          <w:sz w:val="24"/>
        </w:rPr>
        <w:t>披碱草，选择品质优良的一级草籽，播种量50kg/hm</w:t>
      </w:r>
      <w:r>
        <w:rPr>
          <w:sz w:val="24"/>
          <w:vertAlign w:val="superscript"/>
        </w:rPr>
        <w:t>2</w:t>
      </w:r>
      <w:r>
        <w:rPr>
          <w:sz w:val="24"/>
        </w:rPr>
        <w:t>，共计撒播草籽</w:t>
      </w:r>
      <w:r>
        <w:rPr>
          <w:rFonts w:hint="eastAsia"/>
          <w:sz w:val="24"/>
        </w:rPr>
        <w:t>2.2</w:t>
      </w:r>
      <w:r>
        <w:rPr>
          <w:sz w:val="24"/>
        </w:rPr>
        <w:t>hm</w:t>
      </w:r>
      <w:r>
        <w:rPr>
          <w:sz w:val="24"/>
          <w:vertAlign w:val="superscript"/>
        </w:rPr>
        <w:t>2</w:t>
      </w:r>
      <w:r>
        <w:rPr>
          <w:sz w:val="24"/>
        </w:rPr>
        <w:t>，共需披碱草草籽</w:t>
      </w:r>
      <w:r>
        <w:rPr>
          <w:rFonts w:hint="eastAsia"/>
          <w:sz w:val="24"/>
        </w:rPr>
        <w:t>110</w:t>
      </w:r>
      <w:r>
        <w:rPr>
          <w:sz w:val="24"/>
        </w:rPr>
        <w:t>kg。</w:t>
      </w:r>
    </w:p>
    <w:p>
      <w:pPr>
        <w:wordWrap w:val="0"/>
        <w:spacing w:line="440" w:lineRule="exact"/>
        <w:ind w:firstLine="482" w:firstLineChars="200"/>
        <w:rPr>
          <w:b/>
          <w:sz w:val="24"/>
        </w:rPr>
      </w:pPr>
      <w:r>
        <w:rPr>
          <w:rFonts w:hint="eastAsia"/>
          <w:b/>
          <w:sz w:val="24"/>
        </w:rPr>
        <w:t>2.1.6熟土层保护</w:t>
      </w:r>
    </w:p>
    <w:p>
      <w:pPr>
        <w:wordWrap w:val="0"/>
        <w:spacing w:line="420" w:lineRule="exact"/>
        <w:ind w:firstLine="480" w:firstLineChars="200"/>
        <w:rPr>
          <w:sz w:val="24"/>
        </w:rPr>
      </w:pPr>
      <w:r>
        <w:rPr>
          <w:rFonts w:hint="eastAsia"/>
          <w:sz w:val="24"/>
        </w:rPr>
        <w:t>地表清理的过程中，其熟土层应加以保护。</w:t>
      </w:r>
    </w:p>
    <w:p>
      <w:pPr>
        <w:wordWrap w:val="0"/>
        <w:spacing w:line="420" w:lineRule="exact"/>
        <w:ind w:firstLine="480" w:firstLineChars="200"/>
        <w:rPr>
          <w:sz w:val="24"/>
        </w:rPr>
      </w:pPr>
      <w:r>
        <w:rPr>
          <w:rFonts w:hint="eastAsia"/>
          <w:sz w:val="24"/>
        </w:rPr>
        <w:t>环评要求在施工过程中，每个风力发电机组座的熟土层分层堆放在就近的低洼处，并覆盖抑尘网，抑尘网同时起到标识的作用，以供后期植被恢复使用。回填时按照反序分层回填。</w:t>
      </w:r>
    </w:p>
    <w:p>
      <w:pPr>
        <w:wordWrap w:val="0"/>
        <w:spacing w:beforeLines="25" w:afterLines="25" w:line="440" w:lineRule="exact"/>
        <w:ind w:firstLine="472" w:firstLineChars="196"/>
        <w:rPr>
          <w:sz w:val="24"/>
        </w:rPr>
      </w:pPr>
      <w:r>
        <w:rPr>
          <w:rFonts w:hint="eastAsia"/>
          <w:b/>
          <w:sz w:val="24"/>
        </w:rPr>
        <w:t>2.2林地补偿措施</w:t>
      </w:r>
    </w:p>
    <w:p>
      <w:pPr>
        <w:spacing w:line="420" w:lineRule="exact"/>
        <w:ind w:firstLine="480" w:firstLineChars="200"/>
        <w:rPr>
          <w:sz w:val="24"/>
        </w:rPr>
      </w:pPr>
      <w:r>
        <w:rPr>
          <w:rFonts w:hint="eastAsia"/>
          <w:sz w:val="24"/>
        </w:rPr>
        <w:t>根据岢岚县林业局“关于岢岚分散式风电项目用地预审范围风机位置与各类保护区重叠情况复查的函”（岢林函【2018】8号）明确岢岚分散式风电项目用地预审范围风机位置与自然保护区、湿地公园、国家一级公益林、国家二级公益林、Ⅰ级保护林地、Ⅱ级保护林地、山西省永久生生态公益林没有重叠。</w:t>
      </w:r>
    </w:p>
    <w:p>
      <w:pPr>
        <w:spacing w:line="420" w:lineRule="exact"/>
        <w:ind w:firstLine="480" w:firstLineChars="200"/>
        <w:rPr>
          <w:rFonts w:hAnsi="宋体"/>
          <w:sz w:val="24"/>
        </w:rPr>
      </w:pPr>
      <w:r>
        <w:rPr>
          <w:rFonts w:hint="eastAsia" w:hAnsi="宋体"/>
          <w:sz w:val="24"/>
        </w:rPr>
        <w:t>本项目所涉及的林地权属为岢岚县集体林地，该项目核准后，依据《中华人民共和国森林法实施条例》和《建设项目使用林地审核审批管理办法》的规定，建设单位按实际占用林地情况编制《使用林地勘验报告》上报山西省林业厅审批。</w:t>
      </w:r>
    </w:p>
    <w:p>
      <w:pPr>
        <w:wordWrap w:val="0"/>
        <w:snapToGrid w:val="0"/>
        <w:spacing w:line="420" w:lineRule="exact"/>
        <w:ind w:firstLine="480" w:firstLineChars="200"/>
        <w:rPr>
          <w:sz w:val="24"/>
        </w:rPr>
      </w:pPr>
      <w:r>
        <w:rPr>
          <w:rFonts w:hint="eastAsia"/>
          <w:sz w:val="24"/>
        </w:rPr>
        <w:t>依据《使用林地勘验报告》勘验结果，根据《财政部、国家林业局关于调整森林植被恢复费征收标准引导节约利用林地的通知》（财税（2015）122号）和&lt;山西省财政厅、山西省林业厅关于转发《财政部、国家林业局关于调整森林植被恢复费征收标准引导节约利用林地的通知》的通知&gt;（晋财综（2016）14）号规定，建设工程征用林地经县级以上林业部门同意后，依照有关土地管理的法律、行政法规办理建设用地审批手续，并由用地单位依照国务院有关规定缴纳森林植被恢复费。森林植被恢复费专款专用，由林业主管部门依照有关规定统一安排植树造林，恢复森林植被，以及对林权所有者补偿。植树造林面积不得少于因占用、征用林地而减少的森林植被面积。</w:t>
      </w:r>
    </w:p>
    <w:p>
      <w:pPr>
        <w:wordWrap w:val="0"/>
        <w:snapToGrid w:val="0"/>
        <w:spacing w:line="420" w:lineRule="exact"/>
        <w:ind w:firstLine="480" w:firstLineChars="200"/>
        <w:rPr>
          <w:sz w:val="24"/>
        </w:rPr>
      </w:pPr>
      <w:r>
        <w:rPr>
          <w:rFonts w:hint="eastAsia"/>
          <w:sz w:val="24"/>
        </w:rPr>
        <w:t>根据同类风电场经验，为便于将来设备、风力发电机组拉运维修，检修道路两侧临时用地不宜种植乔木。由于乔木、灌木等会增加地面摩擦阻力，降低风力发电机组发电量，同时不利于检修，风力发电机组吊装平台区域植被恢复也以植草恢复为主。因此，本项目临时占用的少量林地在施工结束后以采用当地乡土草种进行恢复为主。同时，项目临时征占的林地还应按林业主管部门规定予以补偿和再造。</w:t>
      </w:r>
    </w:p>
    <w:p>
      <w:pPr>
        <w:wordWrap w:val="0"/>
        <w:spacing w:beforeLines="25" w:afterLines="25" w:line="440" w:lineRule="exact"/>
        <w:ind w:firstLine="472" w:firstLineChars="196"/>
        <w:rPr>
          <w:b/>
          <w:sz w:val="24"/>
        </w:rPr>
      </w:pPr>
      <w:r>
        <w:rPr>
          <w:rFonts w:hint="eastAsia"/>
          <w:b/>
          <w:sz w:val="24"/>
        </w:rPr>
        <w:t>2.3施工噪声的防治措施和预期治理效果</w:t>
      </w:r>
    </w:p>
    <w:p>
      <w:pPr>
        <w:pStyle w:val="29"/>
        <w:wordWrap w:val="0"/>
        <w:spacing w:before="0" w:beforeAutospacing="0" w:after="0" w:afterAutospacing="0" w:line="420" w:lineRule="exact"/>
        <w:ind w:firstLine="480" w:firstLineChars="200"/>
        <w:jc w:val="both"/>
        <w:rPr>
          <w:rFonts w:ascii="Times New Roman" w:hAnsi="Times New Roman" w:cs="Times New Roman"/>
          <w:kern w:val="2"/>
        </w:rPr>
      </w:pPr>
      <w:r>
        <w:rPr>
          <w:rFonts w:hint="eastAsia" w:ascii="Times New Roman" w:hAnsi="Times New Roman" w:cs="Times New Roman"/>
          <w:kern w:val="2"/>
        </w:rPr>
        <w:t>①施工机械尽量选用低噪声的机械设备，从噪声的源头上控制。</w:t>
      </w:r>
    </w:p>
    <w:p>
      <w:pPr>
        <w:pStyle w:val="29"/>
        <w:wordWrap w:val="0"/>
        <w:spacing w:before="0" w:beforeAutospacing="0" w:after="0" w:afterAutospacing="0" w:line="420" w:lineRule="exact"/>
        <w:ind w:firstLine="480" w:firstLineChars="200"/>
        <w:jc w:val="both"/>
        <w:rPr>
          <w:rFonts w:ascii="Times New Roman" w:hAnsi="Times New Roman" w:cs="Times New Roman"/>
          <w:kern w:val="2"/>
        </w:rPr>
      </w:pPr>
      <w:r>
        <w:rPr>
          <w:rFonts w:hint="eastAsia" w:ascii="Times New Roman" w:hAnsi="Times New Roman" w:cs="Times New Roman"/>
          <w:kern w:val="2"/>
        </w:rPr>
        <w:t>②要定期对机械设备进行维护和保养，使其一直保持良好的状态，减轻因设备运行状态不佳而造成的噪声污染。</w:t>
      </w:r>
    </w:p>
    <w:p>
      <w:pPr>
        <w:pStyle w:val="29"/>
        <w:wordWrap w:val="0"/>
        <w:spacing w:before="0" w:beforeAutospacing="0" w:after="0" w:afterAutospacing="0" w:line="420" w:lineRule="exact"/>
        <w:ind w:firstLine="480" w:firstLineChars="200"/>
        <w:jc w:val="both"/>
        <w:rPr>
          <w:rFonts w:ascii="Times New Roman" w:hAnsi="Times New Roman" w:cs="Times New Roman"/>
          <w:kern w:val="2"/>
        </w:rPr>
      </w:pPr>
      <w:r>
        <w:rPr>
          <w:rFonts w:hint="eastAsia" w:ascii="Times New Roman" w:hAnsi="Times New Roman" w:cs="Times New Roman"/>
          <w:kern w:val="2"/>
        </w:rPr>
        <w:t>③要优化施工时间，对强噪声的机械进行突击作业，缩短噪声污染的时间。</w:t>
      </w:r>
    </w:p>
    <w:p>
      <w:pPr>
        <w:wordWrap w:val="0"/>
        <w:spacing w:beforeLines="25" w:afterLines="25" w:line="440" w:lineRule="exact"/>
        <w:ind w:firstLine="472" w:firstLineChars="196"/>
        <w:rPr>
          <w:b/>
          <w:sz w:val="24"/>
        </w:rPr>
      </w:pPr>
      <w:r>
        <w:rPr>
          <w:rFonts w:hint="eastAsia"/>
          <w:b/>
          <w:sz w:val="24"/>
        </w:rPr>
        <w:t>2.4废水和污水</w:t>
      </w:r>
    </w:p>
    <w:p>
      <w:pPr>
        <w:pStyle w:val="29"/>
        <w:wordWrap w:val="0"/>
        <w:spacing w:before="0" w:beforeAutospacing="0" w:after="0" w:afterAutospacing="0" w:line="420" w:lineRule="exact"/>
        <w:ind w:firstLine="480" w:firstLineChars="200"/>
        <w:jc w:val="both"/>
        <w:rPr>
          <w:rFonts w:ascii="Times New Roman" w:hAnsi="Times New Roman" w:cs="Times New Roman"/>
          <w:kern w:val="2"/>
        </w:rPr>
      </w:pPr>
      <w:r>
        <w:rPr>
          <w:rFonts w:hint="eastAsia" w:ascii="Times New Roman" w:hAnsi="Times New Roman" w:cs="Times New Roman"/>
          <w:kern w:val="2"/>
        </w:rPr>
        <w:t>采取合理安排和严格管理用水，基本没有废水产生。施工人员生活污水收集到沉淀池中经沉淀后用于施工现场降尘、喷洒，对当地水环境质量影响很小。同时要求在生活区严格管理，旱厕粪便由周围村民定期清掏用于农田施肥，生活废水经污水暂存池收集后用于场地洒水扬尘，则施工期基本不会对当地的水环境产生影响。</w:t>
      </w:r>
    </w:p>
    <w:p>
      <w:pPr>
        <w:wordWrap w:val="0"/>
        <w:spacing w:beforeLines="25" w:afterLines="25" w:line="440" w:lineRule="exact"/>
        <w:ind w:firstLine="472" w:firstLineChars="196"/>
        <w:rPr>
          <w:b/>
          <w:sz w:val="24"/>
        </w:rPr>
      </w:pPr>
      <w:r>
        <w:rPr>
          <w:rFonts w:hint="eastAsia"/>
          <w:b/>
          <w:sz w:val="24"/>
        </w:rPr>
        <w:t>2.5施工废气</w:t>
      </w:r>
    </w:p>
    <w:p>
      <w:pPr>
        <w:wordWrap w:val="0"/>
        <w:snapToGrid w:val="0"/>
        <w:spacing w:line="420" w:lineRule="exact"/>
        <w:ind w:firstLine="480" w:firstLineChars="200"/>
        <w:rPr>
          <w:sz w:val="24"/>
        </w:rPr>
      </w:pPr>
      <w:r>
        <w:rPr>
          <w:rFonts w:hint="eastAsia"/>
          <w:sz w:val="24"/>
        </w:rPr>
        <w:t>（1）施工扬尘</w:t>
      </w:r>
    </w:p>
    <w:p>
      <w:pPr>
        <w:wordWrap w:val="0"/>
        <w:snapToGrid w:val="0"/>
        <w:spacing w:line="420" w:lineRule="exact"/>
        <w:ind w:firstLine="480" w:firstLineChars="200"/>
        <w:rPr>
          <w:sz w:val="24"/>
        </w:rPr>
      </w:pPr>
      <w:r>
        <w:rPr>
          <w:sz w:val="24"/>
        </w:rPr>
        <w:t>施工期对环境空气的影响主要表现在二次扬尘的影响，施工扬尘的主要来源有</w:t>
      </w:r>
      <w:r>
        <w:rPr>
          <w:rFonts w:hint="eastAsia"/>
          <w:sz w:val="24"/>
        </w:rPr>
        <w:t>：</w:t>
      </w:r>
      <w:r>
        <w:rPr>
          <w:sz w:val="24"/>
        </w:rPr>
        <w:t>场地平整、易起尘物料装卸及存储、土方工程及运输车辆行驶等。</w:t>
      </w:r>
      <w:r>
        <w:rPr>
          <w:rFonts w:hint="eastAsia"/>
          <w:sz w:val="24"/>
        </w:rPr>
        <w:t xml:space="preserve">     </w:t>
      </w:r>
    </w:p>
    <w:p>
      <w:pPr>
        <w:wordWrap w:val="0"/>
        <w:snapToGrid w:val="0"/>
        <w:spacing w:line="420" w:lineRule="exact"/>
        <w:ind w:firstLine="480" w:firstLineChars="200"/>
        <w:rPr>
          <w:sz w:val="24"/>
        </w:rPr>
      </w:pPr>
      <w:r>
        <w:rPr>
          <w:sz w:val="24"/>
        </w:rPr>
        <w:t>施工期间应严格按照《防治城市扬尘污染技术规范》（HJ/T393-2007）、环保局并环发[2010]18和19号文中的要求，采取防尘措施：</w:t>
      </w:r>
      <w:r>
        <w:rPr>
          <w:sz w:val="24"/>
        </w:rPr>
        <w:br/>
      </w:r>
      <w:r>
        <w:rPr>
          <w:rFonts w:hint="eastAsia"/>
          <w:sz w:val="24"/>
        </w:rPr>
        <w:t xml:space="preserve">    </w:t>
      </w:r>
      <w:r>
        <w:rPr>
          <w:rFonts w:hint="eastAsia" w:cs="宋体"/>
          <w:sz w:val="24"/>
        </w:rPr>
        <w:t>①</w:t>
      </w:r>
      <w:r>
        <w:rPr>
          <w:sz w:val="24"/>
        </w:rPr>
        <w:t>施工期间在工地建筑结构脚手架外侧设置有效抑尘的密闭防尘网，建筑物拆除应当采取湿式作业等防尘措施。</w:t>
      </w:r>
      <w:r>
        <w:rPr>
          <w:sz w:val="24"/>
        </w:rPr>
        <w:br/>
      </w:r>
      <w:r>
        <w:rPr>
          <w:rFonts w:hint="eastAsia"/>
          <w:sz w:val="24"/>
        </w:rPr>
        <w:t xml:space="preserve">    </w:t>
      </w:r>
      <w:r>
        <w:rPr>
          <w:rFonts w:hint="eastAsia" w:cs="宋体"/>
          <w:sz w:val="24"/>
        </w:rPr>
        <w:t>②</w:t>
      </w:r>
      <w:r>
        <w:rPr>
          <w:sz w:val="24"/>
        </w:rPr>
        <w:t>遇干燥、易起尘的土方工程作业时，应辅以洒水压尘，尽量缩短起尘操作时间；遇有4级以上大风天气，停止土方作业，同时作业处覆以防尘网，建筑物土方施工时，对作业面和土堆适当喷水，使其保持一定湿度，以减少扬尘量；施工弃土及建筑垃圾要及时运走，以防长期堆放表面干燥而起尘或被雨水冲刷。</w:t>
      </w:r>
      <w:r>
        <w:rPr>
          <w:sz w:val="24"/>
        </w:rPr>
        <w:br/>
      </w:r>
      <w:r>
        <w:rPr>
          <w:rFonts w:hint="eastAsia"/>
          <w:sz w:val="24"/>
        </w:rPr>
        <w:t xml:space="preserve">    </w:t>
      </w:r>
      <w:r>
        <w:rPr>
          <w:rFonts w:hint="eastAsia" w:cs="宋体"/>
          <w:sz w:val="24"/>
        </w:rPr>
        <w:t>③</w:t>
      </w:r>
      <w:r>
        <w:rPr>
          <w:sz w:val="24"/>
        </w:rPr>
        <w:t>施工单位应对施工现场内的施工道路进行硬质覆盖；对砂石、灰土等物料予以封闭、遮盖；施工期应在物料、渣土等运输车辆的出口内侧设洗车平台，车辆驶离工地前应在洗车平台清洗轮胎及车身，确保车辆不带泥土驶出工地；建筑物拆除应当采取湿式作业等防尘措施，确保建筑工地扬尘污染控制达到“5个100％”，即：工地沙土100％覆盖，工地路面100％硬化，出工地车辆100％冲洗车轮，拆迁工地100%洒水压尘，暂不开发处100％绿化，有效控制建设项目施工期间对环境造成的影响。</w:t>
      </w:r>
      <w:r>
        <w:rPr>
          <w:sz w:val="24"/>
        </w:rPr>
        <w:br/>
      </w:r>
      <w:r>
        <w:rPr>
          <w:rFonts w:hint="eastAsia"/>
          <w:sz w:val="24"/>
        </w:rPr>
        <w:t xml:space="preserve">    </w:t>
      </w:r>
      <w:r>
        <w:rPr>
          <w:rFonts w:hint="eastAsia" w:cs="宋体"/>
          <w:sz w:val="24"/>
        </w:rPr>
        <w:t>④</w:t>
      </w:r>
      <w:r>
        <w:rPr>
          <w:sz w:val="24"/>
        </w:rPr>
        <w:t>运输车辆应保持工况良好，不应超载运输，采取遮盖、密闭措施，保证物料、渣土等不露出；及时清扫散落在路面上的泥土和建筑材料，定时洒水压尘，减少运输扬尘。</w:t>
      </w:r>
      <w:r>
        <w:rPr>
          <w:sz w:val="24"/>
        </w:rPr>
        <w:br/>
      </w:r>
      <w:r>
        <w:rPr>
          <w:rFonts w:hint="eastAsia"/>
          <w:sz w:val="24"/>
        </w:rPr>
        <w:t xml:space="preserve">    </w:t>
      </w:r>
      <w:r>
        <w:rPr>
          <w:rFonts w:hint="eastAsia" w:cs="宋体"/>
          <w:sz w:val="24"/>
        </w:rPr>
        <w:t>⑤</w:t>
      </w:r>
      <w:r>
        <w:rPr>
          <w:sz w:val="24"/>
        </w:rPr>
        <w:t>施工现场尽量实施建材料统一堆放管理，水泥等易产生扬尘的建筑物料应采取密闭储存，或防尘布遮盖等有效防尘措施。项目施工过程中使用商品混凝土，严禁在施工现场搅拌水泥砂浆。</w:t>
      </w:r>
      <w:r>
        <w:rPr>
          <w:sz w:val="24"/>
        </w:rPr>
        <w:br/>
      </w:r>
      <w:r>
        <w:rPr>
          <w:rFonts w:hint="eastAsia"/>
          <w:sz w:val="24"/>
        </w:rPr>
        <w:t xml:space="preserve">    </w:t>
      </w:r>
      <w:r>
        <w:rPr>
          <w:rFonts w:hint="eastAsia" w:cs="宋体"/>
          <w:sz w:val="24"/>
        </w:rPr>
        <w:t>⑥</w:t>
      </w:r>
      <w:r>
        <w:rPr>
          <w:sz w:val="24"/>
        </w:rPr>
        <w:t>对于施工工地内部裸地，施工方应根据具体情况采取以下防尘措施之一：覆盖防尘布或防尘网；晴朗天气每周等时间间隔洒水二至七次，扬尘严重时应加大洒水频次；植被绿化或其它有效的防尘措施。</w:t>
      </w:r>
      <w:r>
        <w:rPr>
          <w:sz w:val="24"/>
        </w:rPr>
        <w:br/>
      </w:r>
      <w:r>
        <w:rPr>
          <w:rFonts w:hint="eastAsia"/>
          <w:sz w:val="24"/>
        </w:rPr>
        <w:t xml:space="preserve">    </w:t>
      </w:r>
      <w:r>
        <w:rPr>
          <w:rFonts w:hint="eastAsia" w:cs="宋体"/>
          <w:sz w:val="24"/>
        </w:rPr>
        <w:t>⑦</w:t>
      </w:r>
      <w:r>
        <w:rPr>
          <w:sz w:val="24"/>
        </w:rPr>
        <w:t>施工单位应划定保洁责任区，一般施工工地周围20m的范围。</w:t>
      </w:r>
      <w:r>
        <w:rPr>
          <w:sz w:val="24"/>
        </w:rPr>
        <w:br/>
      </w:r>
      <w:r>
        <w:rPr>
          <w:rFonts w:hint="eastAsia"/>
          <w:sz w:val="24"/>
        </w:rPr>
        <w:t xml:space="preserve">    </w:t>
      </w:r>
      <w:r>
        <w:rPr>
          <w:rFonts w:hint="eastAsia" w:cs="宋体"/>
          <w:sz w:val="24"/>
        </w:rPr>
        <w:t>⑧</w:t>
      </w:r>
      <w:r>
        <w:rPr>
          <w:sz w:val="24"/>
        </w:rPr>
        <w:t>施工建设使用预拌商品混凝土，并采用密闭罐车运输，不得现场露天搅拌混凝土、消化石灰及拌石灰土等。</w:t>
      </w:r>
      <w:r>
        <w:rPr>
          <w:sz w:val="24"/>
        </w:rPr>
        <w:br/>
      </w:r>
      <w:r>
        <w:rPr>
          <w:rFonts w:hint="eastAsia"/>
          <w:sz w:val="24"/>
        </w:rPr>
        <w:t xml:space="preserve">    </w:t>
      </w:r>
      <w:r>
        <w:rPr>
          <w:rFonts w:hint="eastAsia" w:cs="宋体"/>
          <w:sz w:val="24"/>
        </w:rPr>
        <w:t>⑨</w:t>
      </w:r>
      <w:r>
        <w:rPr>
          <w:sz w:val="24"/>
        </w:rPr>
        <w:t>施工期间，工地内从建筑上层将具有粉尘逸散性物料、渣土或废弃物输送至地面或地下楼层时，可从建筑物内部管道或密闭输送管道输送，或打包装框搬运，不得凌空抛洒。</w:t>
      </w:r>
      <w:r>
        <w:rPr>
          <w:sz w:val="24"/>
        </w:rPr>
        <w:br/>
      </w:r>
      <w:r>
        <w:rPr>
          <w:rFonts w:hint="eastAsia"/>
          <w:sz w:val="24"/>
        </w:rPr>
        <w:t xml:space="preserve">    </w:t>
      </w:r>
      <w:r>
        <w:rPr>
          <w:rFonts w:hint="eastAsia" w:cs="宋体"/>
          <w:sz w:val="24"/>
        </w:rPr>
        <w:t>⑩</w:t>
      </w:r>
      <w:r>
        <w:rPr>
          <w:sz w:val="24"/>
        </w:rPr>
        <w:t>接受</w:t>
      </w:r>
      <w:r>
        <w:rPr>
          <w:rFonts w:hint="eastAsia"/>
          <w:sz w:val="24"/>
        </w:rPr>
        <w:t>岢岚县</w:t>
      </w:r>
      <w:r>
        <w:rPr>
          <w:sz w:val="24"/>
        </w:rPr>
        <w:t>环保部门依法对建筑工地的扬尘污染监督管理，在项目开工前向</w:t>
      </w:r>
      <w:r>
        <w:rPr>
          <w:rFonts w:hint="eastAsia"/>
          <w:sz w:val="24"/>
        </w:rPr>
        <w:t>县</w:t>
      </w:r>
      <w:r>
        <w:rPr>
          <w:sz w:val="24"/>
        </w:rPr>
        <w:t>环保部门提供扬尘污染防治方案，经审核批准后方可办理《施工许可证》；建设单位应按照相关规定，将防治扬尘污染的费用列入工程概算，并在与施工单位签订的施工承包合同中明确施工单位是全面落实扬尘污染防治方案的责任方，施工单位必须设置环境保护牌，标明扬尘防治措施、责任人及环保监督电话等；并严格按山西省环保厅《关于加强建筑施工扬尘排污费核定征收工作的通知》中的要求缴纳扬尘排污费，促进建筑工地扬尘污染防治。</w:t>
      </w:r>
    </w:p>
    <w:p>
      <w:pPr>
        <w:wordWrap w:val="0"/>
        <w:spacing w:line="420" w:lineRule="exact"/>
        <w:ind w:firstLine="470" w:firstLineChars="196"/>
        <w:rPr>
          <w:sz w:val="24"/>
        </w:rPr>
      </w:pPr>
      <w:r>
        <w:rPr>
          <w:rFonts w:hint="eastAsia"/>
          <w:sz w:val="24"/>
        </w:rPr>
        <w:t>（2）施工车辆废气和柴油发电机组</w:t>
      </w:r>
    </w:p>
    <w:p>
      <w:pPr>
        <w:wordWrap w:val="0"/>
        <w:snapToGrid w:val="0"/>
        <w:spacing w:line="420" w:lineRule="exact"/>
        <w:ind w:firstLine="480" w:firstLineChars="200"/>
        <w:rPr>
          <w:sz w:val="24"/>
        </w:rPr>
      </w:pPr>
      <w:r>
        <w:rPr>
          <w:rFonts w:hint="eastAsia"/>
          <w:bCs/>
          <w:sz w:val="24"/>
        </w:rPr>
        <w:t>环评报告要求施工期</w:t>
      </w:r>
      <w:r>
        <w:rPr>
          <w:rFonts w:hint="eastAsia"/>
          <w:sz w:val="24"/>
        </w:rPr>
        <w:t>施工单位必须使用污染物排放符合国家标准的运输车辆和柴油发电机组，加强车辆和柴油发电机组的保养，使车辆和柴油发电机组处于良好的工作状态，严禁使用报废车辆和柴油发电机组，以减少施工对周围环境的影响。</w:t>
      </w:r>
    </w:p>
    <w:p>
      <w:pPr>
        <w:wordWrap w:val="0"/>
        <w:spacing w:beforeLines="25" w:afterLines="25" w:line="440" w:lineRule="exact"/>
        <w:ind w:firstLine="472" w:firstLineChars="196"/>
        <w:rPr>
          <w:b/>
          <w:sz w:val="24"/>
        </w:rPr>
      </w:pPr>
      <w:r>
        <w:rPr>
          <w:rFonts w:hint="eastAsia"/>
          <w:b/>
          <w:sz w:val="24"/>
        </w:rPr>
        <w:t>2.6固体废物</w:t>
      </w:r>
    </w:p>
    <w:p>
      <w:pPr>
        <w:wordWrap w:val="0"/>
        <w:snapToGrid w:val="0"/>
        <w:spacing w:line="420" w:lineRule="exact"/>
        <w:ind w:firstLine="480" w:firstLineChars="200"/>
        <w:rPr>
          <w:sz w:val="24"/>
        </w:rPr>
      </w:pPr>
      <w:r>
        <w:rPr>
          <w:rFonts w:hint="eastAsia"/>
          <w:sz w:val="24"/>
        </w:rPr>
        <w:t>施工人员产生的生活垃圾统一收集后送往指定部门处理。</w:t>
      </w:r>
    </w:p>
    <w:p>
      <w:pPr>
        <w:wordWrap w:val="0"/>
        <w:snapToGrid w:val="0"/>
        <w:spacing w:line="420" w:lineRule="exact"/>
        <w:ind w:firstLine="480" w:firstLineChars="200"/>
        <w:rPr>
          <w:sz w:val="24"/>
        </w:rPr>
      </w:pPr>
      <w:r>
        <w:rPr>
          <w:rFonts w:hint="eastAsia"/>
          <w:sz w:val="24"/>
        </w:rPr>
        <w:t>施工过程中风电机—箱变基础及集电线路塔基建设的土方余方量为1.8万m</w:t>
      </w:r>
      <w:r>
        <w:rPr>
          <w:rFonts w:hint="eastAsia"/>
          <w:sz w:val="24"/>
          <w:vertAlign w:val="superscript"/>
        </w:rPr>
        <w:t>3</w:t>
      </w:r>
      <w:r>
        <w:rPr>
          <w:rFonts w:hint="eastAsia"/>
          <w:sz w:val="24"/>
        </w:rPr>
        <w:t>，全部用于场地平整及检修道路的平整，并恢复植被，不产生工程土石弃方。</w:t>
      </w:r>
    </w:p>
    <w:p>
      <w:pPr>
        <w:wordWrap w:val="0"/>
        <w:spacing w:beforeLines="25" w:afterLines="25" w:line="440" w:lineRule="exact"/>
        <w:ind w:firstLine="472" w:firstLineChars="196"/>
        <w:rPr>
          <w:b/>
          <w:sz w:val="24"/>
        </w:rPr>
      </w:pPr>
      <w:r>
        <w:rPr>
          <w:rFonts w:hint="eastAsia"/>
          <w:b/>
          <w:sz w:val="24"/>
        </w:rPr>
        <w:t>2.7环境监理</w:t>
      </w:r>
    </w:p>
    <w:p>
      <w:pPr>
        <w:wordWrap w:val="0"/>
        <w:snapToGrid w:val="0"/>
        <w:spacing w:line="420" w:lineRule="exact"/>
        <w:ind w:firstLine="480" w:firstLineChars="200"/>
        <w:rPr>
          <w:sz w:val="24"/>
        </w:rPr>
      </w:pPr>
      <w:r>
        <w:rPr>
          <w:rFonts w:hint="eastAsia"/>
          <w:sz w:val="24"/>
        </w:rPr>
        <w:t>环境监理是依据国家和相关主管部门制定、颁发的有关法律、法规、政策、技术标准以及经批准的设计文件、投标文件和依法签订的监理、施工承包合同。按环境监理服务的范围和内容，履行环境监理义务，独立﹑公正﹑科学﹑有效的服务于工程，实施全面环境监理，使工程在设计﹑施工﹑营运等方面达到环境保护要求。</w:t>
      </w:r>
    </w:p>
    <w:p>
      <w:pPr>
        <w:wordWrap w:val="0"/>
        <w:snapToGrid w:val="0"/>
        <w:spacing w:line="420" w:lineRule="exact"/>
        <w:ind w:firstLine="480" w:firstLineChars="200"/>
        <w:rPr>
          <w:sz w:val="24"/>
        </w:rPr>
      </w:pPr>
      <w:r>
        <w:rPr>
          <w:rFonts w:hint="eastAsia"/>
          <w:sz w:val="24"/>
        </w:rPr>
        <w:t>施工期环境监理由工程建设指挥部委托具有工程监理资质并经环境保护业务培训的单位对设计文件中环境保护措施的实施情况进行工程环境监理。为保证计划的执行，建设单位应在施工前与监理单位签定建设期的环境监理合同。风电场施工中建设单位及施工监理应根据本报告表提出的监理类型及重点完善环境监理内容，将生态恢复指标及水土保持措施落实在施工期环境监理日常工作中，确保施工期各项环保措施的实施。</w:t>
      </w:r>
    </w:p>
    <w:p>
      <w:pPr>
        <w:adjustRightInd w:val="0"/>
        <w:snapToGrid w:val="0"/>
        <w:spacing w:line="420" w:lineRule="exact"/>
        <w:ind w:firstLine="480" w:firstLineChars="200"/>
        <w:rPr>
          <w:sz w:val="24"/>
        </w:rPr>
      </w:pPr>
      <w:r>
        <w:rPr>
          <w:rFonts w:hint="eastAsia"/>
          <w:sz w:val="24"/>
        </w:rPr>
        <w:t>本工程环境监理的技术要点是：施工初期主要检查对生态环境的保护措施；中期主要检查施工噪声、施工及生活污水排放，取弃土工程行为及其防护情况等；后期检查植被恢复情况等。本项目施工期监理要求见表22，</w:t>
      </w:r>
      <w:r>
        <w:rPr>
          <w:sz w:val="24"/>
        </w:rPr>
        <w:t>各施工环境监理技术要点</w:t>
      </w:r>
      <w:r>
        <w:rPr>
          <w:rFonts w:hint="eastAsia"/>
          <w:sz w:val="24"/>
        </w:rPr>
        <w:t>见</w:t>
      </w:r>
      <w:r>
        <w:rPr>
          <w:sz w:val="24"/>
        </w:rPr>
        <w:t>表</w:t>
      </w:r>
      <w:r>
        <w:rPr>
          <w:rFonts w:hint="eastAsia"/>
          <w:sz w:val="24"/>
        </w:rPr>
        <w:t>23</w:t>
      </w:r>
      <w:r>
        <w:rPr>
          <w:sz w:val="24"/>
        </w:rPr>
        <w:t>。</w:t>
      </w:r>
    </w:p>
    <w:p>
      <w:pPr>
        <w:pStyle w:val="15"/>
        <w:adjustRightInd w:val="0"/>
        <w:snapToGrid w:val="0"/>
        <w:spacing w:line="420" w:lineRule="exact"/>
        <w:jc w:val="center"/>
        <w:rPr>
          <w:rFonts w:ascii="Times New Roman" w:hAnsi="Times New Roman" w:cs="宋体"/>
          <w:kern w:val="32"/>
          <w:sz w:val="24"/>
          <w:szCs w:val="24"/>
        </w:rPr>
      </w:pPr>
      <w:r>
        <w:rPr>
          <w:rFonts w:hint="eastAsia" w:ascii="Times New Roman" w:hAnsi="Times New Roman" w:cs="宋体"/>
          <w:kern w:val="32"/>
          <w:sz w:val="24"/>
          <w:szCs w:val="24"/>
        </w:rPr>
        <w:t>表22   施工期环境监理技术要点</w:t>
      </w:r>
    </w:p>
    <w:tbl>
      <w:tblPr>
        <w:tblW w:w="9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660"/>
        <w:gridCol w:w="1387"/>
        <w:gridCol w:w="7033"/>
      </w:tblGrid>
      <w:tr>
        <w:trPr>
          <w:trHeight w:val="140" w:hRule="atLeast"/>
        </w:trPr>
        <w:tc>
          <w:tcPr>
            <w:tcW w:w="660"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时段</w:t>
            </w:r>
          </w:p>
        </w:tc>
        <w:tc>
          <w:tcPr>
            <w:tcW w:w="1387" w:type="dxa"/>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监理重点</w:t>
            </w:r>
          </w:p>
        </w:tc>
        <w:tc>
          <w:tcPr>
            <w:tcW w:w="7033" w:type="dxa"/>
            <w:vAlign w:val="center"/>
          </w:tcPr>
          <w:p>
            <w:pPr>
              <w:pStyle w:val="29"/>
              <w:wordWrap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监理内容</w:t>
            </w:r>
          </w:p>
        </w:tc>
      </w:tr>
      <w:tr>
        <w:trPr>
          <w:trHeight w:val="510" w:hRule="atLeast"/>
        </w:trPr>
        <w:tc>
          <w:tcPr>
            <w:tcW w:w="660"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前期</w:t>
            </w:r>
          </w:p>
        </w:tc>
        <w:tc>
          <w:tcPr>
            <w:tcW w:w="1387"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生态保护</w:t>
            </w: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施工前应合理选址选线，以最小的生态破坏为施工前提，加强施工人员的环保教育，禁止野蛮施工。</w:t>
            </w:r>
          </w:p>
        </w:tc>
      </w:tr>
      <w:tr>
        <w:trPr>
          <w:trHeight w:val="510" w:hRule="atLeast"/>
        </w:trPr>
        <w:tc>
          <w:tcPr>
            <w:tcW w:w="660"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387"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施工前对永久占地处原有覆盖植被区域的表层土壤进行剥离并暂时存放，作为施工结束后的植被恢复用土。</w:t>
            </w:r>
          </w:p>
        </w:tc>
      </w:tr>
      <w:tr>
        <w:trPr>
          <w:trHeight w:val="168" w:hRule="atLeast"/>
        </w:trPr>
        <w:tc>
          <w:tcPr>
            <w:tcW w:w="660"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387"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检修道路两侧按需要设置护坡及排水沟，防止施工中水土流失加剧。</w:t>
            </w:r>
          </w:p>
        </w:tc>
      </w:tr>
      <w:tr>
        <w:trPr>
          <w:trHeight w:val="510" w:hRule="atLeast"/>
        </w:trPr>
        <w:tc>
          <w:tcPr>
            <w:tcW w:w="660" w:type="dxa"/>
            <w:vMerge w:val="restart"/>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中期</w:t>
            </w:r>
          </w:p>
        </w:tc>
        <w:tc>
          <w:tcPr>
            <w:tcW w:w="1387"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施工噪声</w:t>
            </w: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合理安排作业时间，经常对设备进行检修维护，夜间应停止施工，尽量减少施工噪声影响。</w:t>
            </w:r>
          </w:p>
        </w:tc>
      </w:tr>
      <w:tr>
        <w:trPr>
          <w:trHeight w:val="276" w:hRule="atLeast"/>
        </w:trPr>
        <w:tc>
          <w:tcPr>
            <w:tcW w:w="660"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387"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施工废水</w:t>
            </w: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设沉淀池，废水经收集沉淀后可用于降尘洒水等；严禁随地泼洒污水。</w:t>
            </w:r>
          </w:p>
        </w:tc>
      </w:tr>
      <w:tr>
        <w:trPr>
          <w:trHeight w:val="510" w:hRule="atLeast"/>
        </w:trPr>
        <w:tc>
          <w:tcPr>
            <w:tcW w:w="660"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387"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施工扬尘</w:t>
            </w: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规范运输路线，运输加盖篷布，土方堆放点要相对集中，易产生扬尘的堆放材料应采取覆盖措施，大风时停止施工。食堂燃用液化气。</w:t>
            </w:r>
          </w:p>
        </w:tc>
      </w:tr>
      <w:tr>
        <w:trPr>
          <w:trHeight w:val="264" w:hRule="atLeast"/>
        </w:trPr>
        <w:tc>
          <w:tcPr>
            <w:tcW w:w="660" w:type="dxa"/>
            <w:vMerge w:val="continue"/>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p>
        </w:tc>
        <w:tc>
          <w:tcPr>
            <w:tcW w:w="1387"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施工固废</w:t>
            </w: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合理安排工程土石方调度，做到土石方平衡，不产生土石弃方。</w:t>
            </w:r>
          </w:p>
        </w:tc>
      </w:tr>
      <w:tr>
        <w:trPr>
          <w:trHeight w:val="510" w:hRule="atLeast"/>
        </w:trPr>
        <w:tc>
          <w:tcPr>
            <w:tcW w:w="660"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w:t>
            </w:r>
          </w:p>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后期</w:t>
            </w:r>
          </w:p>
        </w:tc>
        <w:tc>
          <w:tcPr>
            <w:tcW w:w="1387"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植被恢复</w:t>
            </w:r>
          </w:p>
        </w:tc>
        <w:tc>
          <w:tcPr>
            <w:tcW w:w="7033" w:type="dxa"/>
            <w:vAlign w:val="center"/>
          </w:tcPr>
          <w:p>
            <w:pPr>
              <w:pStyle w:val="29"/>
              <w:wordWrap w:val="0"/>
              <w:adjustRightInd w:val="0"/>
              <w:snapToGrid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施工结束后应立即进行临时用地植被恢复和绿化。植被恢复使用施工前剥离的表层土壤。项目建设中破坏的地表植被，应积极配合进行播种恢复。</w:t>
            </w:r>
          </w:p>
        </w:tc>
      </w:tr>
    </w:tbl>
    <w:p>
      <w:pPr>
        <w:spacing w:line="420" w:lineRule="exact"/>
        <w:jc w:val="center"/>
        <w:rPr>
          <w:sz w:val="24"/>
        </w:rPr>
      </w:pPr>
      <w:bookmarkStart w:id="184" w:name="_Toc396142008"/>
      <w:bookmarkStart w:id="185" w:name="_Toc396142823"/>
      <w:bookmarkStart w:id="186" w:name="_Toc401731116"/>
      <w:bookmarkStart w:id="187" w:name="_Toc406057638"/>
      <w:bookmarkStart w:id="188" w:name="_Toc406057746"/>
      <w:bookmarkStart w:id="189" w:name="_Toc406057943"/>
      <w:bookmarkStart w:id="190" w:name="_Toc409679618"/>
      <w:bookmarkStart w:id="191" w:name="_Toc409679745"/>
      <w:bookmarkStart w:id="192" w:name="_Toc436993096"/>
      <w:bookmarkStart w:id="193" w:name="_Toc479326685"/>
      <w:r>
        <w:rPr>
          <w:sz w:val="24"/>
        </w:rPr>
        <w:t>表</w:t>
      </w:r>
      <w:r>
        <w:rPr>
          <w:rFonts w:hint="eastAsia"/>
          <w:sz w:val="24"/>
        </w:rPr>
        <w:t xml:space="preserve">23  </w:t>
      </w:r>
      <w:r>
        <w:rPr>
          <w:sz w:val="24"/>
        </w:rPr>
        <w:t>各施工环境监理技术要点</w:t>
      </w:r>
    </w:p>
    <w:tbl>
      <w:tblPr>
        <w:tblW w:w="92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744"/>
        <w:gridCol w:w="2087"/>
        <w:gridCol w:w="4420"/>
        <w:gridCol w:w="2035"/>
      </w:tblGrid>
      <w:tr>
        <w:trPr>
          <w:cantSplit/>
          <w:trHeight w:val="20" w:hRule="atLeast"/>
          <w:jc w:val="center"/>
        </w:trPr>
        <w:tc>
          <w:tcPr>
            <w:tcW w:w="744" w:type="dxa"/>
            <w:vMerge w:val="restart"/>
            <w:vAlign w:val="center"/>
          </w:tcPr>
          <w:p>
            <w:pPr>
              <w:adjustRightInd w:val="0"/>
              <w:snapToGrid w:val="0"/>
              <w:jc w:val="center"/>
              <w:rPr>
                <w:kern w:val="0"/>
                <w:szCs w:val="21"/>
              </w:rPr>
            </w:pPr>
            <w:r>
              <w:rPr>
                <w:kern w:val="0"/>
                <w:szCs w:val="21"/>
              </w:rPr>
              <w:t>监理区域</w:t>
            </w:r>
          </w:p>
        </w:tc>
        <w:tc>
          <w:tcPr>
            <w:tcW w:w="8542" w:type="dxa"/>
            <w:gridSpan w:val="3"/>
            <w:vAlign w:val="center"/>
          </w:tcPr>
          <w:p>
            <w:pPr>
              <w:snapToGrid w:val="0"/>
              <w:jc w:val="center"/>
              <w:rPr>
                <w:kern w:val="0"/>
                <w:szCs w:val="21"/>
              </w:rPr>
            </w:pPr>
            <w:r>
              <w:rPr>
                <w:kern w:val="0"/>
                <w:szCs w:val="21"/>
              </w:rPr>
              <w:t>环境监理时段</w:t>
            </w:r>
          </w:p>
        </w:tc>
      </w:tr>
      <w:tr>
        <w:trPr>
          <w:cantSplit/>
          <w:trHeight w:val="20" w:hRule="atLeast"/>
          <w:jc w:val="center"/>
        </w:trPr>
        <w:tc>
          <w:tcPr>
            <w:tcW w:w="744" w:type="dxa"/>
            <w:vMerge w:val="continue"/>
            <w:vAlign w:val="center"/>
          </w:tcPr>
          <w:p>
            <w:pPr>
              <w:snapToGrid w:val="0"/>
              <w:jc w:val="center"/>
              <w:rPr>
                <w:szCs w:val="21"/>
              </w:rPr>
            </w:pPr>
          </w:p>
        </w:tc>
        <w:tc>
          <w:tcPr>
            <w:tcW w:w="2087" w:type="dxa"/>
            <w:vAlign w:val="center"/>
          </w:tcPr>
          <w:p>
            <w:pPr>
              <w:snapToGrid w:val="0"/>
              <w:jc w:val="center"/>
              <w:rPr>
                <w:kern w:val="0"/>
                <w:szCs w:val="21"/>
              </w:rPr>
            </w:pPr>
            <w:r>
              <w:rPr>
                <w:kern w:val="0"/>
                <w:szCs w:val="21"/>
              </w:rPr>
              <w:t>施工前期</w:t>
            </w:r>
          </w:p>
        </w:tc>
        <w:tc>
          <w:tcPr>
            <w:tcW w:w="4420" w:type="dxa"/>
            <w:vAlign w:val="center"/>
          </w:tcPr>
          <w:p>
            <w:pPr>
              <w:snapToGrid w:val="0"/>
              <w:jc w:val="center"/>
              <w:rPr>
                <w:kern w:val="0"/>
                <w:szCs w:val="21"/>
              </w:rPr>
            </w:pPr>
            <w:r>
              <w:rPr>
                <w:kern w:val="0"/>
                <w:szCs w:val="21"/>
              </w:rPr>
              <w:t>施工中期</w:t>
            </w:r>
          </w:p>
        </w:tc>
        <w:tc>
          <w:tcPr>
            <w:tcW w:w="2035" w:type="dxa"/>
            <w:vAlign w:val="center"/>
          </w:tcPr>
          <w:p>
            <w:pPr>
              <w:snapToGrid w:val="0"/>
              <w:jc w:val="center"/>
              <w:rPr>
                <w:kern w:val="0"/>
                <w:szCs w:val="21"/>
              </w:rPr>
            </w:pPr>
            <w:r>
              <w:rPr>
                <w:kern w:val="0"/>
                <w:szCs w:val="21"/>
              </w:rPr>
              <w:t>施工后期</w:t>
            </w:r>
          </w:p>
        </w:tc>
      </w:tr>
      <w:tr>
        <w:trPr>
          <w:cantSplit/>
          <w:trHeight w:val="20" w:hRule="atLeast"/>
          <w:jc w:val="center"/>
        </w:trPr>
        <w:tc>
          <w:tcPr>
            <w:tcW w:w="744" w:type="dxa"/>
            <w:vAlign w:val="center"/>
          </w:tcPr>
          <w:p>
            <w:pPr>
              <w:adjustRightInd w:val="0"/>
              <w:snapToGrid w:val="0"/>
              <w:jc w:val="center"/>
              <w:rPr>
                <w:kern w:val="0"/>
                <w:szCs w:val="21"/>
              </w:rPr>
            </w:pPr>
            <w:r>
              <w:rPr>
                <w:kern w:val="0"/>
                <w:szCs w:val="21"/>
              </w:rPr>
              <w:t>风机箱变区</w:t>
            </w:r>
          </w:p>
        </w:tc>
        <w:tc>
          <w:tcPr>
            <w:tcW w:w="2087" w:type="dxa"/>
            <w:vAlign w:val="center"/>
          </w:tcPr>
          <w:p>
            <w:pPr>
              <w:adjustRightInd w:val="0"/>
              <w:snapToGrid w:val="0"/>
              <w:jc w:val="center"/>
              <w:rPr>
                <w:kern w:val="0"/>
                <w:szCs w:val="21"/>
              </w:rPr>
            </w:pPr>
            <w:r>
              <w:rPr>
                <w:kern w:val="0"/>
                <w:szCs w:val="21"/>
              </w:rPr>
              <w:t>1、按实际占地进一步合理选址，避让林地；2、对占地范围内的植被覆盖区的表土剥离并暂存；</w:t>
            </w:r>
          </w:p>
          <w:p>
            <w:pPr>
              <w:adjustRightInd w:val="0"/>
              <w:snapToGrid w:val="0"/>
              <w:jc w:val="center"/>
              <w:rPr>
                <w:kern w:val="0"/>
                <w:szCs w:val="21"/>
              </w:rPr>
            </w:pPr>
            <w:r>
              <w:rPr>
                <w:kern w:val="0"/>
                <w:szCs w:val="21"/>
              </w:rPr>
              <w:t>3、加强施工人员环保教育。</w:t>
            </w:r>
          </w:p>
        </w:tc>
        <w:tc>
          <w:tcPr>
            <w:tcW w:w="4420" w:type="dxa"/>
            <w:vAlign w:val="center"/>
          </w:tcPr>
          <w:p>
            <w:pPr>
              <w:adjustRightInd w:val="0"/>
              <w:snapToGrid w:val="0"/>
              <w:jc w:val="center"/>
              <w:rPr>
                <w:kern w:val="0"/>
                <w:szCs w:val="21"/>
              </w:rPr>
            </w:pPr>
            <w:r>
              <w:rPr>
                <w:kern w:val="0"/>
                <w:szCs w:val="21"/>
              </w:rPr>
              <w:t>1、严格按照施工范围施工、减少扰动区域面积；</w:t>
            </w:r>
          </w:p>
          <w:p>
            <w:pPr>
              <w:adjustRightInd w:val="0"/>
              <w:snapToGrid w:val="0"/>
              <w:jc w:val="center"/>
              <w:rPr>
                <w:kern w:val="0"/>
                <w:szCs w:val="21"/>
              </w:rPr>
            </w:pPr>
            <w:r>
              <w:rPr>
                <w:kern w:val="0"/>
                <w:szCs w:val="21"/>
              </w:rPr>
              <w:t>2、禁止施工人员野蛮施工；</w:t>
            </w:r>
          </w:p>
          <w:p>
            <w:pPr>
              <w:adjustRightInd w:val="0"/>
              <w:snapToGrid w:val="0"/>
              <w:jc w:val="center"/>
              <w:rPr>
                <w:kern w:val="0"/>
                <w:szCs w:val="21"/>
              </w:rPr>
            </w:pPr>
            <w:r>
              <w:rPr>
                <w:kern w:val="0"/>
                <w:szCs w:val="21"/>
              </w:rPr>
              <w:t>3、吊装平台设边坡防护，严禁顺坡倾倒土石方；</w:t>
            </w:r>
          </w:p>
          <w:p>
            <w:pPr>
              <w:adjustRightInd w:val="0"/>
              <w:snapToGrid w:val="0"/>
              <w:jc w:val="center"/>
              <w:rPr>
                <w:kern w:val="0"/>
                <w:szCs w:val="21"/>
              </w:rPr>
            </w:pPr>
            <w:r>
              <w:rPr>
                <w:kern w:val="0"/>
                <w:szCs w:val="21"/>
              </w:rPr>
              <w:t>4、临时堆放的土石余方集中堆放，并采取苫盖措施；</w:t>
            </w:r>
          </w:p>
          <w:p>
            <w:pPr>
              <w:adjustRightInd w:val="0"/>
              <w:snapToGrid w:val="0"/>
              <w:jc w:val="center"/>
              <w:rPr>
                <w:kern w:val="0"/>
                <w:szCs w:val="21"/>
              </w:rPr>
            </w:pPr>
            <w:r>
              <w:rPr>
                <w:kern w:val="0"/>
                <w:szCs w:val="21"/>
              </w:rPr>
              <w:t>5、加强设备检修维护，合理安排施工时间，夜间停止施工。</w:t>
            </w:r>
          </w:p>
        </w:tc>
        <w:tc>
          <w:tcPr>
            <w:tcW w:w="2035" w:type="dxa"/>
            <w:vAlign w:val="center"/>
          </w:tcPr>
          <w:p>
            <w:pPr>
              <w:adjustRightInd w:val="0"/>
              <w:snapToGrid w:val="0"/>
              <w:jc w:val="center"/>
              <w:rPr>
                <w:kern w:val="0"/>
                <w:szCs w:val="21"/>
              </w:rPr>
            </w:pPr>
            <w:r>
              <w:rPr>
                <w:kern w:val="0"/>
                <w:szCs w:val="21"/>
              </w:rPr>
              <w:t>1、对扰动的土地及时进行平整；</w:t>
            </w:r>
          </w:p>
          <w:p>
            <w:pPr>
              <w:adjustRightInd w:val="0"/>
              <w:snapToGrid w:val="0"/>
              <w:jc w:val="center"/>
              <w:rPr>
                <w:kern w:val="0"/>
                <w:szCs w:val="21"/>
              </w:rPr>
            </w:pPr>
            <w:r>
              <w:rPr>
                <w:kern w:val="0"/>
                <w:szCs w:val="21"/>
              </w:rPr>
              <w:t>2、风机安装完成后立即对吊装平台进行植被恢复；</w:t>
            </w:r>
          </w:p>
          <w:p>
            <w:pPr>
              <w:adjustRightInd w:val="0"/>
              <w:snapToGrid w:val="0"/>
              <w:jc w:val="center"/>
              <w:rPr>
                <w:kern w:val="0"/>
                <w:szCs w:val="21"/>
              </w:rPr>
            </w:pPr>
            <w:r>
              <w:rPr>
                <w:kern w:val="0"/>
                <w:szCs w:val="21"/>
              </w:rPr>
              <w:t>3、绿化覆土利用施工前期剥离保存的表土。</w:t>
            </w:r>
          </w:p>
        </w:tc>
      </w:tr>
    </w:tbl>
    <w:p>
      <w:pPr>
        <w:wordWrap w:val="0"/>
        <w:spacing w:beforeLines="25" w:afterLines="25" w:line="440" w:lineRule="exact"/>
        <w:ind w:firstLine="472" w:firstLineChars="196"/>
        <w:rPr>
          <w:b/>
          <w:sz w:val="24"/>
        </w:rPr>
      </w:pPr>
      <w:r>
        <w:rPr>
          <w:rFonts w:hint="eastAsia"/>
          <w:b/>
          <w:sz w:val="24"/>
        </w:rPr>
        <w:t>3．运行期的环境影响分析</w:t>
      </w:r>
      <w:bookmarkEnd w:id="184"/>
      <w:bookmarkEnd w:id="185"/>
      <w:bookmarkEnd w:id="186"/>
      <w:bookmarkEnd w:id="187"/>
      <w:bookmarkEnd w:id="188"/>
      <w:bookmarkEnd w:id="189"/>
      <w:bookmarkEnd w:id="190"/>
      <w:bookmarkEnd w:id="191"/>
      <w:bookmarkEnd w:id="192"/>
      <w:bookmarkEnd w:id="193"/>
    </w:p>
    <w:p>
      <w:pPr>
        <w:wordWrap w:val="0"/>
        <w:spacing w:beforeLines="25" w:afterLines="25" w:line="440" w:lineRule="exact"/>
        <w:ind w:firstLine="482" w:firstLineChars="200"/>
        <w:rPr>
          <w:b/>
          <w:sz w:val="24"/>
        </w:rPr>
      </w:pPr>
      <w:r>
        <w:rPr>
          <w:b/>
          <w:sz w:val="24"/>
        </w:rPr>
        <w:t>3.</w:t>
      </w:r>
      <w:r>
        <w:rPr>
          <w:rFonts w:hint="eastAsia"/>
          <w:b/>
          <w:sz w:val="24"/>
        </w:rPr>
        <w:t>1</w:t>
      </w:r>
      <w:r>
        <w:rPr>
          <w:b/>
          <w:sz w:val="24"/>
        </w:rPr>
        <w:t>声环境</w:t>
      </w:r>
    </w:p>
    <w:p>
      <w:pPr>
        <w:pStyle w:val="29"/>
        <w:wordWrap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kern w:val="2"/>
        </w:rPr>
        <w:t>（1）</w:t>
      </w:r>
      <w:r>
        <w:rPr>
          <w:rFonts w:hint="eastAsia" w:ascii="Times New Roman" w:hAnsi="Times New Roman"/>
        </w:rPr>
        <w:t>噪声影响分析：</w:t>
      </w:r>
      <w:bookmarkStart w:id="194" w:name="_Toc396142009"/>
      <w:bookmarkStart w:id="195" w:name="_Toc396142824"/>
      <w:bookmarkStart w:id="196" w:name="_Toc397355468"/>
      <w:bookmarkStart w:id="197" w:name="_Toc401731117"/>
      <w:bookmarkStart w:id="198" w:name="_Toc406057639"/>
      <w:bookmarkStart w:id="199" w:name="_Toc406057747"/>
      <w:bookmarkStart w:id="200" w:name="_Toc406057944"/>
      <w:bookmarkStart w:id="201" w:name="_Toc409679619"/>
      <w:bookmarkStart w:id="202" w:name="_Toc409679746"/>
      <w:bookmarkStart w:id="203" w:name="_Toc436993097"/>
      <w:bookmarkStart w:id="204" w:name="_Toc479326686"/>
      <w:bookmarkStart w:id="205" w:name="_Toc396142010"/>
      <w:bookmarkStart w:id="206" w:name="_Toc396142825"/>
      <w:r>
        <w:rPr>
          <w:rFonts w:hint="eastAsia" w:ascii="Times New Roman" w:hAnsi="Times New Roman"/>
        </w:rPr>
        <w:t>根据《环境影响评价技术导则 声环境》(HJ2.4-2009)，依据建设项目声源计算得到的贡献值到200m处，仍不能满足相应功能区标准时，应将评价范围扩大到满足标准值的距离。本项目风力发电机组噪声在300m处噪声衰减值已满足《声环境质量标准》（GB3096-2008）的1类声功能区限值，因此风力发电机组噪声的评价范围为以风力发电机组为圆心，半径300m的区域范围。</w:t>
      </w:r>
      <w:bookmarkEnd w:id="194"/>
      <w:bookmarkEnd w:id="195"/>
      <w:bookmarkEnd w:id="196"/>
      <w:bookmarkEnd w:id="197"/>
      <w:bookmarkEnd w:id="198"/>
      <w:bookmarkEnd w:id="199"/>
      <w:bookmarkEnd w:id="200"/>
      <w:bookmarkEnd w:id="201"/>
      <w:bookmarkEnd w:id="202"/>
      <w:bookmarkEnd w:id="203"/>
      <w:bookmarkEnd w:id="204"/>
    </w:p>
    <w:p>
      <w:pPr>
        <w:pStyle w:val="29"/>
        <w:wordWrap w:val="0"/>
        <w:spacing w:before="0" w:beforeAutospacing="0" w:after="0" w:afterAutospacing="0" w:line="420" w:lineRule="exact"/>
        <w:ind w:firstLine="480" w:firstLineChars="200"/>
        <w:jc w:val="both"/>
        <w:rPr>
          <w:rFonts w:ascii="Times New Roman" w:hAnsi="Times New Roman"/>
          <w:kern w:val="2"/>
        </w:rPr>
      </w:pPr>
      <w:bookmarkStart w:id="207" w:name="_Toc401731118"/>
      <w:bookmarkStart w:id="208" w:name="_Toc406057640"/>
      <w:bookmarkStart w:id="209" w:name="_Toc406057748"/>
      <w:bookmarkStart w:id="210" w:name="_Toc406057945"/>
      <w:bookmarkStart w:id="211" w:name="_Toc409679620"/>
      <w:bookmarkStart w:id="212" w:name="_Toc409679747"/>
      <w:bookmarkStart w:id="213" w:name="_Toc436993098"/>
      <w:bookmarkStart w:id="214" w:name="_Toc479326687"/>
      <w:r>
        <w:rPr>
          <w:rFonts w:hint="eastAsia" w:ascii="Times New Roman" w:hAnsi="Times New Roman"/>
          <w:kern w:val="2"/>
        </w:rPr>
        <w:t>①风力发电机组噪声</w:t>
      </w:r>
      <w:bookmarkEnd w:id="205"/>
      <w:bookmarkEnd w:id="206"/>
      <w:bookmarkEnd w:id="207"/>
      <w:bookmarkEnd w:id="208"/>
      <w:bookmarkEnd w:id="209"/>
      <w:bookmarkEnd w:id="210"/>
      <w:bookmarkEnd w:id="211"/>
      <w:bookmarkEnd w:id="212"/>
      <w:bookmarkEnd w:id="213"/>
      <w:bookmarkEnd w:id="214"/>
    </w:p>
    <w:p>
      <w:pPr>
        <w:pStyle w:val="29"/>
        <w:wordWrap w:val="0"/>
        <w:spacing w:before="0" w:beforeAutospacing="0" w:after="0" w:afterAutospacing="0" w:line="420" w:lineRule="exact"/>
        <w:ind w:firstLine="480" w:firstLineChars="200"/>
        <w:jc w:val="both"/>
        <w:rPr>
          <w:rFonts w:ascii="Times New Roman" w:hAnsi="Times New Roman"/>
          <w:kern w:val="2"/>
        </w:rPr>
      </w:pPr>
      <w:r>
        <w:rPr>
          <w:rFonts w:hint="eastAsia" w:ascii="Times New Roman" w:hAnsi="Times New Roman"/>
          <w:kern w:val="2"/>
        </w:rPr>
        <w:t>风力发电机组在运转过程中产生的噪声来自于叶片扫风的空气动力噪声和机组内部机械运转的机械噪声。其中以发电机组内部的机械噪声为主，本工程风力发电机组采用2000kW风力发电机组，噪声源强声功率级按104dB(A)考虑，由于风电机之间相距较远，每个风电机可视为一个点声源，对单台风电机噪声衰减进行预测。计算公式如下：</w:t>
      </w:r>
    </w:p>
    <w:p>
      <w:pPr>
        <w:pStyle w:val="29"/>
        <w:wordWrap w:val="0"/>
        <w:spacing w:before="0" w:beforeAutospacing="0" w:after="0" w:afterAutospacing="0" w:line="420" w:lineRule="exact"/>
        <w:ind w:firstLine="480" w:firstLineChars="200"/>
        <w:jc w:val="both"/>
        <w:rPr>
          <w:rFonts w:ascii="Times New Roman" w:hAnsi="Times New Roman"/>
          <w:kern w:val="2"/>
        </w:rPr>
      </w:pPr>
      <w:r>
        <w:rPr>
          <w:rFonts w:hint="eastAsia" w:ascii="Times New Roman" w:hAnsi="Times New Roman"/>
          <w:kern w:val="2"/>
        </w:rPr>
        <w:t xml:space="preserve">按点声源的A声功率级，声源处于全自由空间，则其距离衰减公式： </w:t>
      </w:r>
    </w:p>
    <w:p>
      <w:pPr>
        <w:pStyle w:val="29"/>
        <w:wordWrap w:val="0"/>
        <w:spacing w:before="0" w:beforeAutospacing="0" w:after="0" w:afterAutospacing="0" w:line="420" w:lineRule="exact"/>
        <w:ind w:firstLine="1920" w:firstLineChars="800"/>
        <w:jc w:val="both"/>
        <w:rPr>
          <w:rFonts w:ascii="Times New Roman" w:hAnsi="Times New Roman"/>
        </w:rPr>
      </w:pPr>
      <w:r>
        <w:rPr>
          <w:rFonts w:hint="eastAsia" w:ascii="Times New Roman" w:hAnsi="Times New Roman"/>
        </w:rPr>
        <w:t>L</w:t>
      </w:r>
      <w:r>
        <w:rPr>
          <w:rFonts w:hint="eastAsia" w:ascii="Times New Roman" w:hAnsi="Times New Roman"/>
          <w:vertAlign w:val="subscript"/>
        </w:rPr>
        <w:t>A</w:t>
      </w:r>
      <w:r>
        <w:rPr>
          <w:rFonts w:hint="eastAsia" w:ascii="Times New Roman" w:hAnsi="Times New Roman"/>
        </w:rPr>
        <w:t>(r)= L</w:t>
      </w:r>
      <w:r>
        <w:rPr>
          <w:rFonts w:hint="eastAsia" w:ascii="Times New Roman" w:hAnsi="Times New Roman"/>
          <w:spacing w:val="-10"/>
          <w:vertAlign w:val="subscript"/>
        </w:rPr>
        <w:t>AW</w:t>
      </w:r>
      <w:r>
        <w:rPr>
          <w:rFonts w:hint="eastAsia" w:ascii="Times New Roman" w:hAnsi="Times New Roman"/>
        </w:rPr>
        <w:t>-20Lgr-11</w:t>
      </w:r>
    </w:p>
    <w:p>
      <w:pPr>
        <w:pStyle w:val="29"/>
        <w:wordWrap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rPr>
        <w:t>式中：L</w:t>
      </w:r>
      <w:r>
        <w:rPr>
          <w:rFonts w:hint="eastAsia" w:ascii="Times New Roman" w:hAnsi="Times New Roman"/>
          <w:vertAlign w:val="subscript"/>
        </w:rPr>
        <w:t>A</w:t>
      </w:r>
      <w:r>
        <w:rPr>
          <w:rFonts w:hint="eastAsia" w:ascii="Times New Roman" w:hAnsi="Times New Roman"/>
        </w:rPr>
        <w:t>(r)－距声源r处声压级，dB(A)；</w:t>
      </w:r>
    </w:p>
    <w:p>
      <w:pPr>
        <w:pStyle w:val="29"/>
        <w:wordWrap w:val="0"/>
        <w:spacing w:before="0" w:beforeAutospacing="0" w:after="0" w:afterAutospacing="0" w:line="420" w:lineRule="exact"/>
        <w:ind w:firstLine="480" w:firstLineChars="200"/>
        <w:jc w:val="both"/>
        <w:rPr>
          <w:rFonts w:ascii="Times New Roman" w:hAnsi="Times New Roman"/>
        </w:rPr>
      </w:pPr>
      <w:r>
        <w:rPr>
          <w:rFonts w:hint="eastAsia" w:ascii="Times New Roman" w:hAnsi="Times New Roman"/>
        </w:rPr>
        <w:t>　　　L</w:t>
      </w:r>
      <w:r>
        <w:rPr>
          <w:rFonts w:hint="eastAsia" w:ascii="Times New Roman" w:hAnsi="Times New Roman"/>
          <w:spacing w:val="-10"/>
          <w:vertAlign w:val="subscript"/>
        </w:rPr>
        <w:t>AW</w:t>
      </w:r>
      <w:r>
        <w:rPr>
          <w:rFonts w:hint="eastAsia" w:ascii="Times New Roman" w:hAnsi="Times New Roman"/>
        </w:rPr>
        <w:t>－距声源r</w:t>
      </w:r>
      <w:r>
        <w:rPr>
          <w:rFonts w:hint="eastAsia" w:ascii="Times New Roman" w:hAnsi="Times New Roman"/>
          <w:vertAlign w:val="subscript"/>
        </w:rPr>
        <w:t>0</w:t>
      </w:r>
      <w:r>
        <w:rPr>
          <w:rFonts w:hint="eastAsia" w:ascii="Times New Roman" w:hAnsi="Times New Roman"/>
        </w:rPr>
        <w:t>处声功率级，dB(A)；</w:t>
      </w:r>
    </w:p>
    <w:p>
      <w:pPr>
        <w:pStyle w:val="29"/>
        <w:wordWrap w:val="0"/>
        <w:spacing w:before="0" w:beforeAutospacing="0" w:after="0" w:afterAutospacing="0" w:line="420" w:lineRule="exact"/>
        <w:ind w:firstLine="480" w:firstLineChars="200"/>
        <w:jc w:val="both"/>
        <w:rPr>
          <w:rFonts w:ascii="Times New Roman" w:hAnsi="Times New Roman"/>
          <w:bCs/>
        </w:rPr>
      </w:pPr>
      <w:r>
        <w:rPr>
          <w:rFonts w:hint="eastAsia" w:ascii="Times New Roman" w:hAnsi="Times New Roman"/>
        </w:rPr>
        <w:t>噪声</w:t>
      </w:r>
      <w:r>
        <w:rPr>
          <w:rFonts w:hint="eastAsia" w:ascii="Times New Roman" w:hAnsi="Times New Roman"/>
          <w:bCs/>
        </w:rPr>
        <w:t>衰减预测结果列于表24。</w:t>
      </w:r>
    </w:p>
    <w:p>
      <w:pPr>
        <w:pStyle w:val="15"/>
        <w:adjustRightInd w:val="0"/>
        <w:snapToGrid w:val="0"/>
        <w:spacing w:line="420" w:lineRule="exact"/>
        <w:jc w:val="center"/>
        <w:rPr>
          <w:rFonts w:ascii="Times New Roman" w:hAnsi="Times New Roman" w:cs="宋体"/>
          <w:kern w:val="32"/>
          <w:sz w:val="24"/>
          <w:szCs w:val="24"/>
        </w:rPr>
      </w:pPr>
      <w:r>
        <w:rPr>
          <w:rFonts w:hint="eastAsia" w:ascii="Times New Roman" w:hAnsi="Times New Roman" w:cs="宋体"/>
          <w:kern w:val="32"/>
          <w:sz w:val="24"/>
          <w:szCs w:val="24"/>
        </w:rPr>
        <w:t>表24　   单台风电机噪声衰减预测结果</w:t>
      </w:r>
    </w:p>
    <w:tbl>
      <w:tblPr>
        <w:tblW w:w="928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108" w:type="dxa"/>
          <w:right w:w="108" w:type="dxa"/>
        </w:tblCellMar>
      </w:tblPr>
      <w:tblGrid>
        <w:gridCol w:w="2262"/>
        <w:gridCol w:w="1402"/>
        <w:gridCol w:w="1406"/>
        <w:gridCol w:w="1406"/>
        <w:gridCol w:w="1406"/>
        <w:gridCol w:w="1404"/>
      </w:tblGrid>
      <w:tr>
        <w:tc>
          <w:tcPr>
            <w:tcW w:w="2262" w:type="dxa"/>
            <w:tcBorders>
              <w:tl2br w:val="nil"/>
              <w:tr2bl w:val="nil"/>
            </w:tcBorders>
            <w:vAlign w:val="center"/>
          </w:tcPr>
          <w:p>
            <w:pPr>
              <w:wordWrap w:val="0"/>
              <w:spacing w:line="360" w:lineRule="exact"/>
              <w:jc w:val="center"/>
              <w:rPr>
                <w:szCs w:val="21"/>
              </w:rPr>
            </w:pPr>
            <w:r>
              <w:rPr>
                <w:szCs w:val="21"/>
              </w:rPr>
              <w:t>距离(m)</w:t>
            </w:r>
          </w:p>
        </w:tc>
        <w:tc>
          <w:tcPr>
            <w:tcW w:w="1402" w:type="dxa"/>
            <w:tcBorders>
              <w:tl2br w:val="nil"/>
              <w:tr2bl w:val="nil"/>
            </w:tcBorders>
            <w:vAlign w:val="center"/>
          </w:tcPr>
          <w:p>
            <w:pPr>
              <w:wordWrap w:val="0"/>
              <w:spacing w:line="360" w:lineRule="exact"/>
              <w:jc w:val="center"/>
              <w:rPr>
                <w:szCs w:val="21"/>
              </w:rPr>
            </w:pPr>
            <w:r>
              <w:rPr>
                <w:szCs w:val="21"/>
              </w:rPr>
              <w:t>100</w:t>
            </w:r>
          </w:p>
        </w:tc>
        <w:tc>
          <w:tcPr>
            <w:tcW w:w="1406" w:type="dxa"/>
            <w:tcBorders>
              <w:tl2br w:val="nil"/>
              <w:tr2bl w:val="nil"/>
            </w:tcBorders>
            <w:vAlign w:val="center"/>
          </w:tcPr>
          <w:p>
            <w:pPr>
              <w:wordWrap w:val="0"/>
              <w:spacing w:line="360" w:lineRule="exact"/>
              <w:jc w:val="center"/>
              <w:rPr>
                <w:szCs w:val="21"/>
              </w:rPr>
            </w:pPr>
            <w:r>
              <w:rPr>
                <w:szCs w:val="21"/>
              </w:rPr>
              <w:t>200</w:t>
            </w:r>
          </w:p>
        </w:tc>
        <w:tc>
          <w:tcPr>
            <w:tcW w:w="1406" w:type="dxa"/>
            <w:tcBorders>
              <w:tl2br w:val="nil"/>
              <w:tr2bl w:val="nil"/>
            </w:tcBorders>
            <w:vAlign w:val="center"/>
          </w:tcPr>
          <w:p>
            <w:pPr>
              <w:wordWrap w:val="0"/>
              <w:spacing w:line="360" w:lineRule="exact"/>
              <w:jc w:val="center"/>
              <w:rPr>
                <w:szCs w:val="21"/>
              </w:rPr>
            </w:pPr>
            <w:r>
              <w:rPr>
                <w:szCs w:val="21"/>
              </w:rPr>
              <w:t>300</w:t>
            </w:r>
          </w:p>
        </w:tc>
        <w:tc>
          <w:tcPr>
            <w:tcW w:w="1406" w:type="dxa"/>
            <w:tcBorders>
              <w:tl2br w:val="nil"/>
              <w:tr2bl w:val="nil"/>
            </w:tcBorders>
            <w:vAlign w:val="center"/>
          </w:tcPr>
          <w:p>
            <w:pPr>
              <w:wordWrap w:val="0"/>
              <w:spacing w:line="360" w:lineRule="exact"/>
              <w:jc w:val="center"/>
              <w:rPr>
                <w:szCs w:val="21"/>
              </w:rPr>
            </w:pPr>
            <w:r>
              <w:rPr>
                <w:szCs w:val="21"/>
              </w:rPr>
              <w:t>400</w:t>
            </w:r>
          </w:p>
        </w:tc>
        <w:tc>
          <w:tcPr>
            <w:tcW w:w="1404" w:type="dxa"/>
            <w:tcBorders>
              <w:tl2br w:val="nil"/>
              <w:tr2bl w:val="nil"/>
            </w:tcBorders>
            <w:vAlign w:val="center"/>
          </w:tcPr>
          <w:p>
            <w:pPr>
              <w:wordWrap w:val="0"/>
              <w:spacing w:line="360" w:lineRule="exact"/>
              <w:jc w:val="center"/>
              <w:rPr>
                <w:szCs w:val="21"/>
              </w:rPr>
            </w:pPr>
            <w:r>
              <w:rPr>
                <w:szCs w:val="21"/>
              </w:rPr>
              <w:t>500</w:t>
            </w:r>
          </w:p>
        </w:tc>
      </w:tr>
      <w:tr>
        <w:tc>
          <w:tcPr>
            <w:tcW w:w="2262" w:type="dxa"/>
            <w:tcBorders>
              <w:tl2br w:val="nil"/>
              <w:tr2bl w:val="nil"/>
            </w:tcBorders>
            <w:vAlign w:val="center"/>
          </w:tcPr>
          <w:p>
            <w:pPr>
              <w:wordWrap w:val="0"/>
              <w:spacing w:line="360" w:lineRule="exact"/>
              <w:jc w:val="center"/>
              <w:rPr>
                <w:szCs w:val="21"/>
              </w:rPr>
            </w:pPr>
            <w:r>
              <w:rPr>
                <w:szCs w:val="21"/>
              </w:rPr>
              <w:t>声压级（dB(A)）</w:t>
            </w:r>
          </w:p>
        </w:tc>
        <w:tc>
          <w:tcPr>
            <w:tcW w:w="1402" w:type="dxa"/>
            <w:tcBorders>
              <w:tl2br w:val="nil"/>
              <w:tr2bl w:val="nil"/>
            </w:tcBorders>
            <w:vAlign w:val="center"/>
          </w:tcPr>
          <w:p>
            <w:pPr>
              <w:wordWrap w:val="0"/>
              <w:spacing w:line="360" w:lineRule="exact"/>
              <w:jc w:val="center"/>
              <w:rPr>
                <w:szCs w:val="21"/>
              </w:rPr>
            </w:pPr>
            <w:r>
              <w:rPr>
                <w:rFonts w:hint="eastAsia"/>
                <w:szCs w:val="21"/>
              </w:rPr>
              <w:t>53.0</w:t>
            </w:r>
          </w:p>
        </w:tc>
        <w:tc>
          <w:tcPr>
            <w:tcW w:w="1406" w:type="dxa"/>
            <w:tcBorders>
              <w:tl2br w:val="nil"/>
              <w:tr2bl w:val="nil"/>
            </w:tcBorders>
            <w:vAlign w:val="center"/>
          </w:tcPr>
          <w:p>
            <w:pPr>
              <w:wordWrap w:val="0"/>
              <w:spacing w:line="360" w:lineRule="exact"/>
              <w:jc w:val="center"/>
              <w:rPr>
                <w:szCs w:val="21"/>
              </w:rPr>
            </w:pPr>
            <w:r>
              <w:rPr>
                <w:rFonts w:hint="eastAsia"/>
                <w:szCs w:val="21"/>
              </w:rPr>
              <w:t>47.0</w:t>
            </w:r>
          </w:p>
        </w:tc>
        <w:tc>
          <w:tcPr>
            <w:tcW w:w="1406" w:type="dxa"/>
            <w:tcBorders>
              <w:tl2br w:val="nil"/>
              <w:tr2bl w:val="nil"/>
            </w:tcBorders>
            <w:vAlign w:val="center"/>
          </w:tcPr>
          <w:p>
            <w:pPr>
              <w:wordWrap w:val="0"/>
              <w:spacing w:line="360" w:lineRule="exact"/>
              <w:jc w:val="center"/>
              <w:rPr>
                <w:szCs w:val="21"/>
              </w:rPr>
            </w:pPr>
            <w:r>
              <w:rPr>
                <w:rFonts w:hint="eastAsia"/>
                <w:szCs w:val="21"/>
              </w:rPr>
              <w:t>43.5</w:t>
            </w:r>
          </w:p>
        </w:tc>
        <w:tc>
          <w:tcPr>
            <w:tcW w:w="1406" w:type="dxa"/>
            <w:tcBorders>
              <w:tl2br w:val="nil"/>
              <w:tr2bl w:val="nil"/>
            </w:tcBorders>
            <w:vAlign w:val="center"/>
          </w:tcPr>
          <w:p>
            <w:pPr>
              <w:wordWrap w:val="0"/>
              <w:spacing w:line="360" w:lineRule="exact"/>
              <w:jc w:val="center"/>
              <w:rPr>
                <w:szCs w:val="21"/>
              </w:rPr>
            </w:pPr>
            <w:r>
              <w:rPr>
                <w:rFonts w:hint="eastAsia"/>
                <w:szCs w:val="21"/>
              </w:rPr>
              <w:t>41.0</w:t>
            </w:r>
          </w:p>
        </w:tc>
        <w:tc>
          <w:tcPr>
            <w:tcW w:w="1404" w:type="dxa"/>
            <w:tcBorders>
              <w:tl2br w:val="nil"/>
              <w:tr2bl w:val="nil"/>
            </w:tcBorders>
            <w:vAlign w:val="center"/>
          </w:tcPr>
          <w:p>
            <w:pPr>
              <w:wordWrap w:val="0"/>
              <w:spacing w:line="360" w:lineRule="exact"/>
              <w:jc w:val="center"/>
              <w:rPr>
                <w:szCs w:val="21"/>
              </w:rPr>
            </w:pPr>
            <w:r>
              <w:rPr>
                <w:rFonts w:hint="eastAsia"/>
                <w:szCs w:val="21"/>
              </w:rPr>
              <w:t>39.0</w:t>
            </w:r>
          </w:p>
        </w:tc>
      </w:tr>
    </w:tbl>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由表</w:t>
      </w:r>
      <w:r>
        <w:rPr>
          <w:rFonts w:hint="eastAsia" w:ascii="Times New Roman" w:hAnsi="Times New Roman" w:cs="Times New Roman"/>
        </w:rPr>
        <w:t>26</w:t>
      </w:r>
      <w:r>
        <w:rPr>
          <w:rFonts w:ascii="Times New Roman" w:hAnsi="Times New Roman" w:cs="Times New Roman"/>
        </w:rPr>
        <w:t>可知，按单台风力发电机组点声源考虑，风电机外</w:t>
      </w:r>
      <w:r>
        <w:rPr>
          <w:rFonts w:hint="eastAsia" w:ascii="Times New Roman" w:hAnsi="Times New Roman" w:cs="Times New Roman"/>
        </w:rPr>
        <w:t>300</w:t>
      </w:r>
      <w:r>
        <w:rPr>
          <w:rFonts w:ascii="Times New Roman" w:hAnsi="Times New Roman" w:cs="Times New Roman"/>
        </w:rPr>
        <w:t>m噪声衰减值已满足《声环境质量标准》(GB3096-2008)的</w:t>
      </w:r>
      <w:r>
        <w:rPr>
          <w:rFonts w:hint="eastAsia" w:ascii="Times New Roman" w:hAnsi="Times New Roman" w:cs="Times New Roman"/>
        </w:rPr>
        <w:t>2</w:t>
      </w:r>
      <w:r>
        <w:rPr>
          <w:rFonts w:ascii="Times New Roman" w:hAnsi="Times New Roman" w:cs="Times New Roman"/>
        </w:rPr>
        <w:t>类区标准要求。</w:t>
      </w:r>
      <w:r>
        <w:rPr>
          <w:rFonts w:hint="eastAsia" w:ascii="Times New Roman" w:hAnsi="Times New Roman" w:cs="Times New Roman"/>
        </w:rPr>
        <w:t>由于本期风场周边300m范围内无村庄分布，因此不会对村庄产生影响。</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风电场为开放形式，不设场边界</w:t>
      </w:r>
      <w:r>
        <w:rPr>
          <w:rFonts w:hint="eastAsia" w:ascii="Times New Roman" w:hAnsi="Times New Roman" w:cs="Times New Roman"/>
        </w:rPr>
        <w:t>，为避免新的声环境敏感点在风力发电机组附近建设引发新的噪声污染情况出现，应在风力发电机组周边300m范围内设置噪声隔离区</w:t>
      </w:r>
      <w:r>
        <w:rPr>
          <w:rFonts w:ascii="Times New Roman" w:hAnsi="Times New Roman" w:cs="Times New Roman"/>
        </w:rPr>
        <w:t>，</w:t>
      </w:r>
      <w:r>
        <w:rPr>
          <w:rFonts w:hint="eastAsia" w:ascii="Times New Roman" w:hAnsi="Times New Roman" w:cs="Times New Roman"/>
        </w:rPr>
        <w:t>在划定的噪声隔离区内，</w:t>
      </w:r>
      <w:r>
        <w:rPr>
          <w:rFonts w:ascii="Times New Roman" w:hAnsi="Times New Roman" w:cs="Times New Roman"/>
        </w:rPr>
        <w:t>禁止建设住宅、学校、医院等噪声敏感建筑物，并在风电机所在区域提高植被覆盖度，减小噪声影响</w:t>
      </w:r>
      <w:r>
        <w:rPr>
          <w:rFonts w:hint="eastAsia" w:ascii="Times New Roman" w:hAnsi="Times New Roman" w:cs="Times New Roman"/>
        </w:rPr>
        <w:t>。</w:t>
      </w:r>
    </w:p>
    <w:p>
      <w:pPr>
        <w:wordWrap w:val="0"/>
        <w:spacing w:beforeLines="25" w:afterLines="25" w:line="440" w:lineRule="exact"/>
        <w:ind w:firstLine="472" w:firstLineChars="196"/>
        <w:rPr>
          <w:b/>
          <w:sz w:val="24"/>
        </w:rPr>
      </w:pPr>
      <w:r>
        <w:rPr>
          <w:rFonts w:hint="eastAsia"/>
          <w:b/>
          <w:sz w:val="24"/>
        </w:rPr>
        <w:t>3.5</w:t>
      </w:r>
      <w:r>
        <w:rPr>
          <w:b/>
          <w:sz w:val="24"/>
        </w:rPr>
        <w:t>生态影响</w:t>
      </w:r>
    </w:p>
    <w:p>
      <w:pPr>
        <w:pStyle w:val="29"/>
        <w:wordWrap w:val="0"/>
        <w:spacing w:before="0" w:beforeAutospacing="0" w:after="0" w:afterAutospacing="0" w:line="420" w:lineRule="exact"/>
        <w:ind w:firstLine="480" w:firstLineChars="200"/>
        <w:jc w:val="both"/>
        <w:rPr>
          <w:rFonts w:ascii="Times New Roman" w:hAnsi="Times New Roman" w:cs="Times New Roman"/>
        </w:rPr>
      </w:pPr>
      <w:r>
        <w:rPr>
          <w:rFonts w:ascii="Times New Roman" w:hAnsi="Times New Roman" w:cs="Times New Roman"/>
        </w:rPr>
        <w:t>风电场运行期的生态影响主要表现在对鸟类活动可能产生一定的影响。主要影响有风轮转动及产生的噪声对鸟类低飞起到驱赶和惊扰作用。根据鸟类的习性一般是在雾天和低云天气时，可能发生鸟类低空飞行碰撞风轮叶片的现象。但是，根据已运行风电场对鸟类影响的初步调查，风轮叶片击中飞鸟的现象很少发生，所以，风电场对鸟类飞行的影响很小。风电场所在区不是候鸟的栖息地和迁徙通道，不会影响候鸟迁徙。风电场运行后，采取生态恢复措施，生态环境与建场前基本相同，对野生动物基本没有影响。</w:t>
      </w:r>
    </w:p>
    <w:p>
      <w:pPr>
        <w:wordWrap w:val="0"/>
        <w:spacing w:beforeLines="25" w:afterLines="25" w:line="440" w:lineRule="exact"/>
        <w:ind w:firstLine="472" w:firstLineChars="196"/>
        <w:rPr>
          <w:b/>
          <w:sz w:val="24"/>
        </w:rPr>
      </w:pPr>
      <w:r>
        <w:rPr>
          <w:rFonts w:hint="eastAsia"/>
          <w:b/>
          <w:sz w:val="24"/>
        </w:rPr>
        <w:t>3.6</w:t>
      </w:r>
      <w:r>
        <w:rPr>
          <w:b/>
          <w:sz w:val="24"/>
        </w:rPr>
        <w:t>区域景观影响</w:t>
      </w:r>
    </w:p>
    <w:p>
      <w:pPr>
        <w:pStyle w:val="29"/>
        <w:wordWrap w:val="0"/>
        <w:spacing w:before="0" w:beforeAutospacing="0" w:after="0" w:afterAutospacing="0" w:line="440" w:lineRule="exact"/>
        <w:ind w:firstLine="480" w:firstLineChars="200"/>
        <w:jc w:val="both"/>
        <w:rPr>
          <w:rFonts w:ascii="Times New Roman" w:hAnsi="Times New Roman" w:cs="Times New Roman"/>
        </w:rPr>
      </w:pPr>
      <w:r>
        <w:rPr>
          <w:rFonts w:ascii="Times New Roman" w:hAnsi="Times New Roman" w:cs="Times New Roman"/>
        </w:rPr>
        <w:t>风电场投入运行后，夏季场区为绿色的丘陵草原，冬季雪后为白雪覆盖，风电机点缀其间，风轮缓缓转动，可作为当地一处优美的景点。风电场在保证安全正常发电的前提下，可作为本区一个很好的高科技生态环保主题旅游景点，助于当地旅游业的进一步发展。</w:t>
      </w:r>
    </w:p>
    <w:p>
      <w:pPr>
        <w:pStyle w:val="29"/>
        <w:wordWrap w:val="0"/>
        <w:spacing w:before="0" w:beforeAutospacing="0" w:after="0" w:afterAutospacing="0" w:line="440" w:lineRule="exact"/>
        <w:ind w:firstLine="480" w:firstLineChars="200"/>
        <w:jc w:val="both"/>
        <w:rPr>
          <w:rFonts w:ascii="Times New Roman" w:hAnsi="Times New Roman" w:cs="Times New Roman"/>
        </w:rPr>
      </w:pPr>
      <w:r>
        <w:rPr>
          <w:rFonts w:ascii="Times New Roman" w:hAnsi="Times New Roman" w:cs="Times New Roman"/>
        </w:rPr>
        <w:t>本项目施工期、运营期生态恢复措施及污染防治措施汇总表见表</w:t>
      </w:r>
      <w:r>
        <w:rPr>
          <w:rFonts w:hint="eastAsia" w:ascii="Times New Roman" w:hAnsi="Times New Roman" w:cs="Times New Roman"/>
        </w:rPr>
        <w:t>25</w:t>
      </w:r>
      <w:r>
        <w:rPr>
          <w:rFonts w:ascii="Times New Roman" w:hAnsi="Times New Roman" w:cs="Times New Roman"/>
        </w:rPr>
        <w:t>。</w:t>
      </w:r>
    </w:p>
    <w:p>
      <w:pPr>
        <w:wordWrap w:val="0"/>
        <w:spacing w:beforeLines="25" w:afterLines="25" w:line="440" w:lineRule="exact"/>
        <w:ind w:firstLine="472" w:firstLineChars="196"/>
        <w:rPr>
          <w:b/>
          <w:sz w:val="24"/>
        </w:rPr>
      </w:pPr>
      <w:r>
        <w:rPr>
          <w:rFonts w:hint="eastAsia"/>
          <w:b/>
          <w:sz w:val="24"/>
        </w:rPr>
        <w:t>3.7光污染</w:t>
      </w:r>
    </w:p>
    <w:p>
      <w:pPr>
        <w:pStyle w:val="29"/>
        <w:wordWrap w:val="0"/>
        <w:spacing w:before="0" w:beforeAutospacing="0" w:after="0" w:afterAutospacing="0" w:line="420" w:lineRule="atLeast"/>
        <w:ind w:firstLine="480" w:firstLineChars="200"/>
        <w:jc w:val="both"/>
        <w:rPr>
          <w:rFonts w:ascii="Times New Roman" w:hAnsi="Times New Roman"/>
        </w:rPr>
      </w:pPr>
      <w:r>
        <w:rPr>
          <w:rFonts w:hint="eastAsia" w:ascii="Times New Roman" w:hAnsi="Times New Roman"/>
        </w:rPr>
        <w:t>光污染：本风电场拟安装3台单机容量为2000kW的风机，风机轮毂中心高度90m。风机叶片在运转时将在近距离内产生频闪阴影和频闪反射，长时间近距离观看会使人产生眩晕感，同时风机的旋转闪烁阴影如投射到人群活动区域，亦会产生感官上的不适影响。</w:t>
      </w:r>
    </w:p>
    <w:p>
      <w:pPr>
        <w:pStyle w:val="29"/>
        <w:wordWrap w:val="0"/>
        <w:spacing w:before="0" w:beforeAutospacing="0" w:after="0" w:afterAutospacing="0" w:line="420" w:lineRule="atLeast"/>
        <w:ind w:firstLine="480" w:firstLineChars="200"/>
        <w:jc w:val="both"/>
        <w:rPr>
          <w:rFonts w:ascii="Times New Roman" w:hAnsi="Times New Roman"/>
        </w:rPr>
      </w:pPr>
      <w:r>
        <w:rPr>
          <w:rFonts w:hint="eastAsia" w:ascii="Times New Roman" w:hAnsi="Times New Roman"/>
        </w:rPr>
        <w:t>风机光影的影响范围主要有风机的阴影长度决定，阴影长度计算公式如下:</w:t>
      </w:r>
    </w:p>
    <w:p>
      <w:pPr>
        <w:pStyle w:val="29"/>
        <w:wordWrap w:val="0"/>
        <w:spacing w:before="0" w:beforeAutospacing="0" w:after="0" w:afterAutospacing="0" w:line="420" w:lineRule="atLeast"/>
        <w:ind w:firstLine="480" w:firstLineChars="200"/>
        <w:jc w:val="both"/>
        <w:rPr>
          <w:rFonts w:ascii="Times New Roman" w:hAnsi="Times New Roman"/>
        </w:rPr>
      </w:pPr>
      <w:r>
        <w:rPr>
          <w:rFonts w:hint="eastAsia" w:ascii="Times New Roman" w:hAnsi="Times New Roman"/>
        </w:rPr>
        <w:t>L=D/tgh</w:t>
      </w:r>
      <w:r>
        <w:rPr>
          <w:rFonts w:hint="eastAsia" w:ascii="Times New Roman" w:hAnsi="Times New Roman"/>
          <w:vertAlign w:val="subscript"/>
        </w:rPr>
        <w:t>o</w:t>
      </w:r>
    </w:p>
    <w:p>
      <w:pPr>
        <w:pStyle w:val="29"/>
        <w:wordWrap w:val="0"/>
        <w:spacing w:before="0" w:beforeAutospacing="0" w:after="0" w:afterAutospacing="0" w:line="420" w:lineRule="atLeast"/>
        <w:ind w:firstLine="480" w:firstLineChars="200"/>
        <w:jc w:val="both"/>
        <w:rPr>
          <w:rFonts w:ascii="Times New Roman" w:hAnsi="Times New Roman"/>
        </w:rPr>
      </w:pPr>
      <w:r>
        <w:rPr>
          <w:rFonts w:hint="eastAsia" w:ascii="Times New Roman" w:hAnsi="Times New Roman"/>
        </w:rPr>
        <w:t>式中：</w:t>
      </w:r>
    </w:p>
    <w:p>
      <w:pPr>
        <w:pStyle w:val="29"/>
        <w:wordWrap w:val="0"/>
        <w:spacing w:before="0" w:beforeAutospacing="0" w:after="0" w:afterAutospacing="0" w:line="420" w:lineRule="atLeast"/>
        <w:ind w:left="420" w:leftChars="200" w:firstLine="480" w:firstLineChars="200"/>
        <w:jc w:val="both"/>
        <w:rPr>
          <w:rFonts w:ascii="Times New Roman" w:hAnsi="Times New Roman"/>
        </w:rPr>
      </w:pPr>
      <w:r>
        <w:rPr>
          <w:rFonts w:hint="eastAsia" w:ascii="Times New Roman" w:hAnsi="Times New Roman"/>
        </w:rPr>
        <w:t>L——阴影长度，m；</w:t>
      </w:r>
    </w:p>
    <w:p>
      <w:pPr>
        <w:pStyle w:val="29"/>
        <w:wordWrap w:val="0"/>
        <w:spacing w:before="0" w:beforeAutospacing="0" w:after="0" w:afterAutospacing="0" w:line="420" w:lineRule="atLeast"/>
        <w:ind w:left="420" w:leftChars="200" w:firstLine="480" w:firstLineChars="200"/>
        <w:jc w:val="both"/>
        <w:rPr>
          <w:rFonts w:ascii="Times New Roman" w:hAnsi="Times New Roman"/>
        </w:rPr>
      </w:pPr>
      <w:r>
        <w:rPr>
          <w:rFonts w:hint="eastAsia" w:ascii="Times New Roman" w:hAnsi="Times New Roman"/>
        </w:rPr>
        <w:t>D——风机高度，m；</w:t>
      </w:r>
    </w:p>
    <w:p>
      <w:pPr>
        <w:pStyle w:val="29"/>
        <w:wordWrap w:val="0"/>
        <w:spacing w:before="0" w:beforeAutospacing="0" w:after="0" w:afterAutospacing="0" w:line="420" w:lineRule="atLeast"/>
        <w:ind w:left="420" w:leftChars="200" w:firstLine="480" w:firstLineChars="200"/>
        <w:jc w:val="both"/>
        <w:rPr>
          <w:rFonts w:ascii="Times New Roman" w:hAnsi="Times New Roman"/>
        </w:rPr>
      </w:pPr>
      <w:r>
        <w:rPr>
          <w:rFonts w:hint="eastAsia" w:ascii="Times New Roman" w:hAnsi="Times New Roman"/>
        </w:rPr>
        <w:t>ho一一太阳高度角。</w:t>
      </w:r>
    </w:p>
    <w:p>
      <w:pPr>
        <w:pStyle w:val="29"/>
        <w:wordWrap w:val="0"/>
        <w:spacing w:before="0" w:beforeAutospacing="0" w:after="0" w:afterAutospacing="0" w:line="420" w:lineRule="atLeast"/>
        <w:ind w:firstLine="480" w:firstLineChars="200"/>
        <w:jc w:val="both"/>
        <w:rPr>
          <w:rFonts w:ascii="Times New Roman" w:hAnsi="Times New Roman"/>
        </w:rPr>
      </w:pPr>
      <w:r>
        <w:rPr>
          <w:rFonts w:hint="eastAsia" w:ascii="Times New Roman" w:hAnsi="Times New Roman"/>
        </w:rPr>
        <w:t>h</w:t>
      </w:r>
      <w:r>
        <w:rPr>
          <w:rFonts w:hint="eastAsia" w:ascii="Times New Roman" w:hAnsi="Times New Roman"/>
          <w:vertAlign w:val="subscript"/>
        </w:rPr>
        <w:t>o</w:t>
      </w:r>
      <w:r>
        <w:rPr>
          <w:rFonts w:hint="eastAsia" w:ascii="Times New Roman" w:hAnsi="Times New Roman"/>
        </w:rPr>
        <w:t>=90--(l+23.5)</w:t>
      </w:r>
    </w:p>
    <w:p>
      <w:pPr>
        <w:pStyle w:val="29"/>
        <w:wordWrap w:val="0"/>
        <w:spacing w:before="0" w:beforeAutospacing="0" w:after="0" w:afterAutospacing="0" w:line="420" w:lineRule="atLeast"/>
        <w:ind w:firstLine="480" w:firstLineChars="200"/>
        <w:jc w:val="both"/>
        <w:rPr>
          <w:rFonts w:ascii="Times New Roman" w:hAnsi="Times New Roman"/>
        </w:rPr>
      </w:pPr>
      <w:r>
        <w:rPr>
          <w:rFonts w:hint="eastAsia" w:ascii="Times New Roman" w:hAnsi="Times New Roman"/>
        </w:rPr>
        <w:t>式中：</w:t>
      </w:r>
    </w:p>
    <w:p>
      <w:pPr>
        <w:pStyle w:val="29"/>
        <w:wordWrap w:val="0"/>
        <w:spacing w:before="0" w:beforeAutospacing="0" w:after="0" w:afterAutospacing="0" w:line="420" w:lineRule="atLeast"/>
        <w:ind w:left="420" w:leftChars="200" w:firstLine="480" w:firstLineChars="200"/>
        <w:jc w:val="both"/>
        <w:rPr>
          <w:rFonts w:ascii="Times New Roman" w:hAnsi="Times New Roman"/>
        </w:rPr>
      </w:pPr>
      <w:r>
        <w:rPr>
          <w:rFonts w:hint="eastAsia" w:ascii="Times New Roman" w:hAnsi="Times New Roman"/>
        </w:rPr>
        <w:t>h</w:t>
      </w:r>
      <w:r>
        <w:rPr>
          <w:rFonts w:hint="eastAsia" w:ascii="Times New Roman" w:hAnsi="Times New Roman"/>
          <w:vertAlign w:val="subscript"/>
        </w:rPr>
        <w:t>o</w:t>
      </w:r>
      <w:r>
        <w:rPr>
          <w:rFonts w:hint="eastAsia" w:ascii="Times New Roman" w:hAnsi="Times New Roman"/>
        </w:rPr>
        <w:t>——太阳高度角；</w:t>
      </w:r>
    </w:p>
    <w:p>
      <w:pPr>
        <w:pStyle w:val="29"/>
        <w:wordWrap w:val="0"/>
        <w:spacing w:before="0" w:beforeAutospacing="0" w:after="0" w:afterAutospacing="0" w:line="420" w:lineRule="atLeast"/>
        <w:ind w:left="420" w:leftChars="200" w:firstLine="480" w:firstLineChars="200"/>
        <w:jc w:val="both"/>
        <w:rPr>
          <w:rFonts w:ascii="Times New Roman" w:hAnsi="Times New Roman"/>
        </w:rPr>
      </w:pPr>
      <w:r>
        <w:rPr>
          <w:rFonts w:hint="eastAsia" w:ascii="Times New Roman" w:hAnsi="Times New Roman"/>
        </w:rPr>
        <w:t>l——风电场地理纬度。</w:t>
      </w:r>
    </w:p>
    <w:p>
      <w:pPr>
        <w:pStyle w:val="29"/>
        <w:wordWrap w:val="0"/>
        <w:spacing w:before="0" w:beforeAutospacing="0" w:after="0" w:afterAutospacing="0" w:line="440" w:lineRule="exact"/>
        <w:ind w:firstLine="480" w:firstLineChars="200"/>
        <w:jc w:val="both"/>
        <w:rPr>
          <w:rFonts w:ascii="Times New Roman" w:hAnsi="Times New Roman" w:cs="Times New Roman"/>
        </w:rPr>
      </w:pPr>
      <w:r>
        <w:rPr>
          <w:rFonts w:hint="eastAsia" w:ascii="Times New Roman" w:hAnsi="Times New Roman"/>
        </w:rPr>
        <w:t>据计算，风电场太阳高度角为44.13°（包括地形高差)，与周边居民点最近的风机高度为90m（包括地形高差），则阴影长度为96m。本项目风机与周边居民点的最近距离约为1.4km，因此拟建项目产生的光污染不会影响到居民区。</w:t>
      </w:r>
    </w:p>
    <w:p>
      <w:pPr>
        <w:wordWrap w:val="0"/>
        <w:autoSpaceDE w:val="0"/>
        <w:autoSpaceDN w:val="0"/>
        <w:adjustRightInd w:val="0"/>
        <w:snapToGrid w:val="0"/>
        <w:spacing w:line="440" w:lineRule="exact"/>
        <w:ind w:firstLine="482" w:firstLineChars="200"/>
        <w:rPr>
          <w:b/>
          <w:kern w:val="0"/>
          <w:sz w:val="24"/>
        </w:rPr>
      </w:pPr>
      <w:bookmarkStart w:id="215" w:name="_Toc396142016"/>
      <w:bookmarkStart w:id="216" w:name="_Toc396142831"/>
      <w:bookmarkStart w:id="217" w:name="_Toc401731123"/>
      <w:bookmarkStart w:id="218" w:name="_Toc406057645"/>
      <w:bookmarkStart w:id="219" w:name="_Toc406057753"/>
      <w:bookmarkStart w:id="220" w:name="_Toc406057950"/>
      <w:bookmarkStart w:id="221" w:name="_Toc409679625"/>
      <w:bookmarkStart w:id="222" w:name="_Toc409679752"/>
      <w:bookmarkStart w:id="223" w:name="_Toc436993103"/>
      <w:bookmarkStart w:id="224" w:name="_Toc479326692"/>
      <w:r>
        <w:rPr>
          <w:rFonts w:hint="eastAsia"/>
          <w:b/>
          <w:kern w:val="0"/>
          <w:sz w:val="24"/>
        </w:rPr>
        <w:t>4．</w:t>
      </w:r>
      <w:bookmarkEnd w:id="215"/>
      <w:bookmarkEnd w:id="216"/>
      <w:bookmarkEnd w:id="217"/>
      <w:bookmarkEnd w:id="218"/>
      <w:bookmarkEnd w:id="219"/>
      <w:bookmarkEnd w:id="220"/>
      <w:bookmarkEnd w:id="221"/>
      <w:bookmarkEnd w:id="222"/>
      <w:bookmarkEnd w:id="223"/>
      <w:bookmarkEnd w:id="224"/>
      <w:r>
        <w:rPr>
          <w:rFonts w:hint="eastAsia"/>
          <w:b/>
          <w:kern w:val="0"/>
          <w:sz w:val="24"/>
        </w:rPr>
        <w:t>污染物排放清单</w:t>
      </w:r>
    </w:p>
    <w:p>
      <w:pPr>
        <w:pStyle w:val="29"/>
        <w:wordWrap w:val="0"/>
        <w:spacing w:before="0" w:beforeAutospacing="0" w:after="0" w:afterAutospacing="0" w:line="440" w:lineRule="exact"/>
        <w:ind w:firstLine="480" w:firstLineChars="200"/>
        <w:jc w:val="both"/>
        <w:rPr>
          <w:rFonts w:ascii="Times New Roman" w:hAnsi="Times New Roman" w:cs="Times New Roman"/>
        </w:rPr>
      </w:pPr>
      <w:r>
        <w:rPr>
          <w:rFonts w:hint="eastAsia" w:ascii="Times New Roman" w:hAnsi="Times New Roman" w:cs="Times New Roman"/>
        </w:rPr>
        <w:t>建设单位签订的施工监理合同应明确环境监理内容，将生态恢复措施落实在施工期环境监理日常工作中。本项目施工期应有专人负责环境保护措施的监理工作，确保施工期各项环保措施的实施，对施工过程是否造成水土流失加剧和生态环境破坏，是否符合国家有关环保法律、法规等进行监理。本项目竣工后，建设单位应向审批本项目环境影响报告表的环境保护行政主管部门，申请本项目需要配套建设的环境保护设施竣工验收。</w:t>
      </w:r>
      <w:r>
        <w:rPr>
          <w:rFonts w:ascii="Times New Roman" w:hAnsi="Times New Roman" w:cs="Times New Roman"/>
        </w:rPr>
        <w:t>本项目</w:t>
      </w:r>
      <w:r>
        <w:rPr>
          <w:rFonts w:hint="eastAsia" w:ascii="Times New Roman" w:hAnsi="Times New Roman" w:cs="Times New Roman"/>
        </w:rPr>
        <w:t>污染物排放清单见</w:t>
      </w:r>
      <w:r>
        <w:rPr>
          <w:rFonts w:ascii="Times New Roman" w:hAnsi="Times New Roman" w:cs="Times New Roman"/>
        </w:rPr>
        <w:t>表</w:t>
      </w:r>
      <w:r>
        <w:rPr>
          <w:rFonts w:hint="eastAsia" w:ascii="Times New Roman" w:hAnsi="Times New Roman" w:cs="Times New Roman"/>
        </w:rPr>
        <w:t>26</w:t>
      </w:r>
      <w:r>
        <w:rPr>
          <w:rFonts w:ascii="Times New Roman" w:hAnsi="Times New Roman" w:cs="Times New Roman"/>
        </w:rPr>
        <w:t>。</w:t>
      </w:r>
    </w:p>
    <w:p>
      <w:pPr>
        <w:pStyle w:val="29"/>
        <w:wordWrap w:val="0"/>
        <w:spacing w:before="0" w:beforeAutospacing="0" w:after="0" w:afterAutospacing="0" w:line="440" w:lineRule="exact"/>
        <w:jc w:val="both"/>
        <w:rPr>
          <w:rFonts w:ascii="Times New Roman" w:hAnsi="Times New Roman" w:cs="Times New Roman"/>
        </w:rPr>
        <w:sectPr>
          <w:pgSz w:w="11906" w:h="16838"/>
          <w:pgMar w:top="1418" w:right="1418" w:bottom="1418" w:left="1418" w:header="851" w:footer="851" w:gutter="0"/>
          <w:cols w:space="720" w:num="1"/>
          <w:docGrid w:type="lines" w:linePitch="312"/>
        </w:sectPr>
      </w:pPr>
    </w:p>
    <w:p>
      <w:pPr>
        <w:pStyle w:val="29"/>
        <w:spacing w:before="0" w:beforeAutospacing="0" w:after="0" w:afterAutospacing="0" w:line="440" w:lineRule="exact"/>
        <w:ind w:firstLine="480" w:firstLineChars="200"/>
        <w:jc w:val="center"/>
        <w:rPr>
          <w:rFonts w:ascii="Times New Roman" w:hAnsi="Times New Roman" w:cs="Times New Roman"/>
        </w:rPr>
      </w:pPr>
      <w:r>
        <w:rPr>
          <w:rFonts w:ascii="Times New Roman" w:hAnsi="Times New Roman" w:cs="Times New Roman"/>
        </w:rPr>
        <w:t>表</w:t>
      </w:r>
      <w:r>
        <w:rPr>
          <w:rFonts w:hint="eastAsia" w:ascii="Times New Roman" w:hAnsi="Times New Roman" w:cs="Times New Roman"/>
        </w:rPr>
        <w:t xml:space="preserve">25   </w:t>
      </w:r>
      <w:r>
        <w:rPr>
          <w:rFonts w:ascii="Times New Roman" w:hAnsi="Times New Roman" w:cs="Times New Roman"/>
        </w:rPr>
        <w:t>本项目</w:t>
      </w:r>
      <w:r>
        <w:rPr>
          <w:rFonts w:hint="eastAsia" w:ascii="Times New Roman" w:hAnsi="Times New Roman" w:cs="Times New Roman"/>
        </w:rPr>
        <w:t>施工期、运营期生态恢复措施及</w:t>
      </w:r>
      <w:r>
        <w:rPr>
          <w:rFonts w:ascii="Times New Roman" w:hAnsi="Times New Roman" w:cs="Times New Roman"/>
        </w:rPr>
        <w:t>污染防治措施</w:t>
      </w:r>
      <w:r>
        <w:rPr>
          <w:rFonts w:hint="eastAsia" w:ascii="Times New Roman" w:hAnsi="Times New Roman" w:cs="Times New Roman"/>
        </w:rPr>
        <w:t>汇总</w:t>
      </w:r>
      <w:r>
        <w:rPr>
          <w:rFonts w:ascii="Times New Roman" w:hAnsi="Times New Roman" w:cs="Times New Roman"/>
        </w:rPr>
        <w:t>表</w:t>
      </w:r>
    </w:p>
    <w:tbl>
      <w:tblPr>
        <w:tblW w:w="9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693"/>
        <w:gridCol w:w="578"/>
        <w:gridCol w:w="1554"/>
        <w:gridCol w:w="6461"/>
      </w:tblGrid>
      <w:tr>
        <w:trPr>
          <w:trHeight w:val="458" w:hRule="atLeast"/>
        </w:trPr>
        <w:tc>
          <w:tcPr>
            <w:tcW w:w="693" w:type="dxa"/>
            <w:vAlign w:val="center"/>
          </w:tcPr>
          <w:p>
            <w:pPr>
              <w:adjustRightInd w:val="0"/>
              <w:snapToGrid w:val="0"/>
              <w:spacing w:line="360" w:lineRule="exact"/>
              <w:jc w:val="center"/>
              <w:rPr>
                <w:szCs w:val="21"/>
              </w:rPr>
            </w:pPr>
            <w:r>
              <w:rPr>
                <w:szCs w:val="21"/>
              </w:rPr>
              <w:t>时间</w:t>
            </w:r>
          </w:p>
        </w:tc>
        <w:tc>
          <w:tcPr>
            <w:tcW w:w="578" w:type="dxa"/>
            <w:vAlign w:val="center"/>
          </w:tcPr>
          <w:p>
            <w:pPr>
              <w:adjustRightInd w:val="0"/>
              <w:snapToGrid w:val="0"/>
              <w:spacing w:line="360" w:lineRule="exact"/>
              <w:jc w:val="center"/>
              <w:rPr>
                <w:szCs w:val="21"/>
              </w:rPr>
            </w:pPr>
            <w:r>
              <w:rPr>
                <w:szCs w:val="21"/>
              </w:rPr>
              <w:t>类型</w:t>
            </w:r>
          </w:p>
        </w:tc>
        <w:tc>
          <w:tcPr>
            <w:tcW w:w="1554" w:type="dxa"/>
            <w:vAlign w:val="center"/>
          </w:tcPr>
          <w:p>
            <w:pPr>
              <w:adjustRightInd w:val="0"/>
              <w:snapToGrid w:val="0"/>
              <w:spacing w:line="360" w:lineRule="exact"/>
              <w:jc w:val="center"/>
              <w:rPr>
                <w:szCs w:val="21"/>
              </w:rPr>
            </w:pPr>
            <w:r>
              <w:rPr>
                <w:szCs w:val="21"/>
              </w:rPr>
              <w:t>污染源</w:t>
            </w:r>
          </w:p>
        </w:tc>
        <w:tc>
          <w:tcPr>
            <w:tcW w:w="6461" w:type="dxa"/>
            <w:vAlign w:val="center"/>
          </w:tcPr>
          <w:p>
            <w:pPr>
              <w:adjustRightInd w:val="0"/>
              <w:snapToGrid w:val="0"/>
              <w:spacing w:line="360" w:lineRule="exact"/>
              <w:ind w:firstLine="315" w:firstLineChars="150"/>
              <w:jc w:val="center"/>
              <w:rPr>
                <w:szCs w:val="21"/>
              </w:rPr>
            </w:pPr>
            <w:r>
              <w:rPr>
                <w:szCs w:val="21"/>
              </w:rPr>
              <w:t>生态恢复措施及污染防治措施</w:t>
            </w:r>
          </w:p>
        </w:tc>
      </w:tr>
      <w:tr>
        <w:trPr>
          <w:trHeight w:val="458" w:hRule="atLeast"/>
        </w:trPr>
        <w:tc>
          <w:tcPr>
            <w:tcW w:w="693" w:type="dxa"/>
            <w:vMerge w:val="restart"/>
            <w:vAlign w:val="center"/>
          </w:tcPr>
          <w:p>
            <w:pPr>
              <w:adjustRightInd w:val="0"/>
              <w:snapToGrid w:val="0"/>
              <w:spacing w:line="360" w:lineRule="exact"/>
              <w:jc w:val="center"/>
              <w:rPr>
                <w:szCs w:val="21"/>
              </w:rPr>
            </w:pPr>
            <w:r>
              <w:rPr>
                <w:szCs w:val="21"/>
              </w:rPr>
              <w:t>施</w:t>
            </w:r>
          </w:p>
          <w:p>
            <w:pPr>
              <w:adjustRightInd w:val="0"/>
              <w:snapToGrid w:val="0"/>
              <w:spacing w:line="360" w:lineRule="exact"/>
              <w:jc w:val="center"/>
              <w:rPr>
                <w:szCs w:val="21"/>
              </w:rPr>
            </w:pPr>
            <w:r>
              <w:rPr>
                <w:szCs w:val="21"/>
              </w:rPr>
              <w:t>工</w:t>
            </w:r>
          </w:p>
          <w:p>
            <w:pPr>
              <w:adjustRightInd w:val="0"/>
              <w:snapToGrid w:val="0"/>
              <w:spacing w:line="360" w:lineRule="exact"/>
              <w:jc w:val="center"/>
              <w:rPr>
                <w:szCs w:val="21"/>
              </w:rPr>
            </w:pPr>
            <w:r>
              <w:rPr>
                <w:szCs w:val="21"/>
              </w:rPr>
              <w:t>期</w:t>
            </w:r>
          </w:p>
        </w:tc>
        <w:tc>
          <w:tcPr>
            <w:tcW w:w="578" w:type="dxa"/>
            <w:vMerge w:val="restart"/>
            <w:vAlign w:val="center"/>
          </w:tcPr>
          <w:p>
            <w:pPr>
              <w:adjustRightInd w:val="0"/>
              <w:snapToGrid w:val="0"/>
              <w:spacing w:line="360" w:lineRule="exact"/>
              <w:jc w:val="center"/>
              <w:rPr>
                <w:szCs w:val="21"/>
              </w:rPr>
            </w:pPr>
            <w:r>
              <w:rPr>
                <w:szCs w:val="21"/>
              </w:rPr>
              <w:t>生</w:t>
            </w:r>
          </w:p>
          <w:p>
            <w:pPr>
              <w:adjustRightInd w:val="0"/>
              <w:snapToGrid w:val="0"/>
              <w:spacing w:line="360" w:lineRule="exact"/>
              <w:jc w:val="center"/>
              <w:rPr>
                <w:szCs w:val="21"/>
              </w:rPr>
            </w:pPr>
            <w:r>
              <w:rPr>
                <w:szCs w:val="21"/>
              </w:rPr>
              <w:t>态</w:t>
            </w:r>
          </w:p>
        </w:tc>
        <w:tc>
          <w:tcPr>
            <w:tcW w:w="1554" w:type="dxa"/>
            <w:vAlign w:val="center"/>
          </w:tcPr>
          <w:p>
            <w:pPr>
              <w:adjustRightInd w:val="0"/>
              <w:snapToGrid w:val="0"/>
              <w:spacing w:line="360" w:lineRule="exact"/>
              <w:jc w:val="center"/>
              <w:rPr>
                <w:szCs w:val="21"/>
              </w:rPr>
            </w:pPr>
            <w:r>
              <w:rPr>
                <w:szCs w:val="21"/>
              </w:rPr>
              <w:t>风力发电机组机组及箱变区</w:t>
            </w:r>
          </w:p>
        </w:tc>
        <w:tc>
          <w:tcPr>
            <w:tcW w:w="6461" w:type="dxa"/>
            <w:vAlign w:val="center"/>
          </w:tcPr>
          <w:p>
            <w:pPr>
              <w:adjustRightInd w:val="0"/>
              <w:snapToGrid w:val="0"/>
              <w:spacing w:line="360" w:lineRule="exact"/>
              <w:ind w:left="10" w:hanging="10" w:hangingChars="5"/>
              <w:jc w:val="center"/>
              <w:rPr>
                <w:szCs w:val="21"/>
              </w:rPr>
            </w:pPr>
            <w:r>
              <w:rPr>
                <w:szCs w:val="21"/>
              </w:rPr>
              <w:t>临时措施：临时防护措施主要是针对临时堆放的土方，临时堆放的土石方一定要就近集中堆放，并采取临时覆盖措施；</w:t>
            </w:r>
          </w:p>
          <w:p>
            <w:pPr>
              <w:adjustRightInd w:val="0"/>
              <w:snapToGrid w:val="0"/>
              <w:spacing w:line="360" w:lineRule="exact"/>
              <w:jc w:val="center"/>
              <w:rPr>
                <w:szCs w:val="21"/>
              </w:rPr>
            </w:pPr>
            <w:r>
              <w:rPr>
                <w:szCs w:val="21"/>
              </w:rPr>
              <w:t>植物措施：在风电机组和箱式变压站基础周边的区域绿化，拟采用采用播撒草籽的方式的方式进行绿化，</w:t>
            </w:r>
            <w:r>
              <w:rPr>
                <w:rFonts w:hint="eastAsia"/>
                <w:szCs w:val="21"/>
              </w:rPr>
              <w:t>采取灌草混交的方式进行植被恢复，</w:t>
            </w:r>
            <w:r>
              <w:rPr>
                <w:szCs w:val="21"/>
              </w:rPr>
              <w:t>工程竣工验收时植被恢复率达到97</w:t>
            </w:r>
            <w:r>
              <w:rPr>
                <w:rFonts w:hint="eastAsia"/>
                <w:szCs w:val="21"/>
              </w:rPr>
              <w:t>%</w:t>
            </w:r>
            <w:r>
              <w:rPr>
                <w:szCs w:val="21"/>
              </w:rPr>
              <w:t>。</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578" w:type="dxa"/>
            <w:vMerge w:val="continue"/>
            <w:vAlign w:val="center"/>
          </w:tcPr>
          <w:p>
            <w:pPr>
              <w:adjustRightInd w:val="0"/>
              <w:snapToGrid w:val="0"/>
              <w:spacing w:line="360" w:lineRule="exact"/>
              <w:jc w:val="center"/>
              <w:rPr>
                <w:szCs w:val="21"/>
              </w:rPr>
            </w:pPr>
          </w:p>
        </w:tc>
        <w:tc>
          <w:tcPr>
            <w:tcW w:w="1554" w:type="dxa"/>
            <w:vAlign w:val="center"/>
          </w:tcPr>
          <w:p>
            <w:pPr>
              <w:adjustRightInd w:val="0"/>
              <w:snapToGrid w:val="0"/>
              <w:spacing w:line="360" w:lineRule="exact"/>
              <w:jc w:val="center"/>
              <w:rPr>
                <w:szCs w:val="21"/>
              </w:rPr>
            </w:pPr>
            <w:r>
              <w:rPr>
                <w:szCs w:val="21"/>
              </w:rPr>
              <w:t>集电线路区</w:t>
            </w:r>
          </w:p>
        </w:tc>
        <w:tc>
          <w:tcPr>
            <w:tcW w:w="6461" w:type="dxa"/>
            <w:vAlign w:val="center"/>
          </w:tcPr>
          <w:p>
            <w:pPr>
              <w:adjustRightInd w:val="0"/>
              <w:snapToGrid w:val="0"/>
              <w:spacing w:line="360" w:lineRule="exact"/>
              <w:jc w:val="center"/>
              <w:rPr>
                <w:szCs w:val="21"/>
              </w:rPr>
            </w:pPr>
            <w:r>
              <w:rPr>
                <w:szCs w:val="21"/>
              </w:rPr>
              <w:t>对于临时堆放的土方采取临时覆盖措施，</w:t>
            </w:r>
            <w:r>
              <w:rPr>
                <w:rFonts w:hint="eastAsia"/>
                <w:szCs w:val="21"/>
              </w:rPr>
              <w:t>采用乔、灌、草结合进行</w:t>
            </w:r>
          </w:p>
          <w:p>
            <w:pPr>
              <w:adjustRightInd w:val="0"/>
              <w:snapToGrid w:val="0"/>
              <w:spacing w:line="360" w:lineRule="exact"/>
              <w:jc w:val="center"/>
              <w:rPr>
                <w:szCs w:val="21"/>
              </w:rPr>
            </w:pPr>
            <w:r>
              <w:rPr>
                <w:rFonts w:hint="eastAsia"/>
                <w:szCs w:val="21"/>
              </w:rPr>
              <w:t>植被恢复</w:t>
            </w:r>
            <w:r>
              <w:rPr>
                <w:szCs w:val="21"/>
              </w:rPr>
              <w:t>，草种选择当地适生草种，林草植被恢复率达到97％。</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578" w:type="dxa"/>
            <w:vMerge w:val="continue"/>
            <w:vAlign w:val="center"/>
          </w:tcPr>
          <w:p>
            <w:pPr>
              <w:adjustRightInd w:val="0"/>
              <w:snapToGrid w:val="0"/>
              <w:spacing w:line="360" w:lineRule="exact"/>
              <w:jc w:val="center"/>
              <w:rPr>
                <w:szCs w:val="21"/>
              </w:rPr>
            </w:pPr>
          </w:p>
        </w:tc>
        <w:tc>
          <w:tcPr>
            <w:tcW w:w="1554" w:type="dxa"/>
            <w:vAlign w:val="center"/>
          </w:tcPr>
          <w:p>
            <w:pPr>
              <w:adjustRightInd w:val="0"/>
              <w:snapToGrid w:val="0"/>
              <w:spacing w:line="360" w:lineRule="exact"/>
              <w:jc w:val="center"/>
              <w:rPr>
                <w:szCs w:val="21"/>
              </w:rPr>
            </w:pPr>
            <w:r>
              <w:rPr>
                <w:szCs w:val="21"/>
              </w:rPr>
              <w:t>检修道路区</w:t>
            </w:r>
          </w:p>
        </w:tc>
        <w:tc>
          <w:tcPr>
            <w:tcW w:w="6461" w:type="dxa"/>
            <w:vAlign w:val="center"/>
          </w:tcPr>
          <w:p>
            <w:pPr>
              <w:adjustRightInd w:val="0"/>
              <w:snapToGrid w:val="0"/>
              <w:spacing w:line="360" w:lineRule="exact"/>
              <w:jc w:val="center"/>
              <w:rPr>
                <w:szCs w:val="21"/>
              </w:rPr>
            </w:pPr>
            <w:r>
              <w:rPr>
                <w:szCs w:val="21"/>
              </w:rPr>
              <w:t>检修道路宽</w:t>
            </w:r>
            <w:r>
              <w:rPr>
                <w:rFonts w:hint="eastAsia"/>
                <w:szCs w:val="21"/>
              </w:rPr>
              <w:t>4.5</w:t>
            </w:r>
            <w:r>
              <w:rPr>
                <w:szCs w:val="21"/>
              </w:rPr>
              <w:t>m，</w:t>
            </w:r>
            <w:r>
              <w:rPr>
                <w:bCs/>
                <w:szCs w:val="21"/>
              </w:rPr>
              <w:t>检修道路靠山体侧开挖排水沟</w:t>
            </w:r>
            <w:r>
              <w:rPr>
                <w:szCs w:val="21"/>
              </w:rPr>
              <w:t>，同时采取植物措施对道路两侧临时占地进行绿化，灌木种选用</w:t>
            </w:r>
            <w:r>
              <w:rPr>
                <w:rFonts w:hint="eastAsia"/>
                <w:szCs w:val="21"/>
              </w:rPr>
              <w:t>草灌结合的方式进行绿化</w:t>
            </w:r>
            <w:r>
              <w:rPr>
                <w:szCs w:val="21"/>
              </w:rPr>
              <w:t>，工程竣工验收时林草植被恢复率达到97</w:t>
            </w:r>
            <w:r>
              <w:rPr>
                <w:rFonts w:hint="eastAsia"/>
                <w:szCs w:val="21"/>
              </w:rPr>
              <w:t>%</w:t>
            </w:r>
            <w:r>
              <w:rPr>
                <w:szCs w:val="21"/>
              </w:rPr>
              <w:t>。</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578" w:type="dxa"/>
            <w:vMerge w:val="continue"/>
            <w:vAlign w:val="center"/>
          </w:tcPr>
          <w:p>
            <w:pPr>
              <w:adjustRightInd w:val="0"/>
              <w:snapToGrid w:val="0"/>
              <w:spacing w:line="360" w:lineRule="exact"/>
              <w:jc w:val="center"/>
              <w:rPr>
                <w:szCs w:val="21"/>
              </w:rPr>
            </w:pPr>
          </w:p>
        </w:tc>
        <w:tc>
          <w:tcPr>
            <w:tcW w:w="1554" w:type="dxa"/>
            <w:vAlign w:val="center"/>
          </w:tcPr>
          <w:p>
            <w:pPr>
              <w:adjustRightInd w:val="0"/>
              <w:snapToGrid w:val="0"/>
              <w:spacing w:line="360" w:lineRule="exact"/>
              <w:jc w:val="center"/>
              <w:rPr>
                <w:szCs w:val="21"/>
              </w:rPr>
            </w:pPr>
            <w:r>
              <w:rPr>
                <w:szCs w:val="21"/>
              </w:rPr>
              <w:t>施工场地</w:t>
            </w:r>
          </w:p>
        </w:tc>
        <w:tc>
          <w:tcPr>
            <w:tcW w:w="6461" w:type="dxa"/>
            <w:vAlign w:val="center"/>
          </w:tcPr>
          <w:p>
            <w:pPr>
              <w:adjustRightInd w:val="0"/>
              <w:snapToGrid w:val="0"/>
              <w:spacing w:line="360" w:lineRule="exact"/>
              <w:jc w:val="center"/>
              <w:rPr>
                <w:szCs w:val="21"/>
              </w:rPr>
            </w:pPr>
            <w:r>
              <w:rPr>
                <w:szCs w:val="21"/>
              </w:rPr>
              <w:t>施工结束后及时进行土地整理和表土回填，本期工程施工结束后采用</w:t>
            </w:r>
            <w:r>
              <w:rPr>
                <w:rFonts w:hint="eastAsia"/>
                <w:szCs w:val="21"/>
              </w:rPr>
              <w:t>草灌结合的方式</w:t>
            </w:r>
            <w:r>
              <w:rPr>
                <w:szCs w:val="21"/>
              </w:rPr>
              <w:t>进行植被重建恢复。</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2132" w:type="dxa"/>
            <w:gridSpan w:val="2"/>
            <w:vAlign w:val="center"/>
          </w:tcPr>
          <w:p>
            <w:pPr>
              <w:adjustRightInd w:val="0"/>
              <w:snapToGrid w:val="0"/>
              <w:spacing w:line="360" w:lineRule="exact"/>
              <w:jc w:val="center"/>
              <w:rPr>
                <w:szCs w:val="21"/>
              </w:rPr>
            </w:pPr>
            <w:r>
              <w:rPr>
                <w:szCs w:val="21"/>
              </w:rPr>
              <w:t>环境监理</w:t>
            </w:r>
          </w:p>
        </w:tc>
        <w:tc>
          <w:tcPr>
            <w:tcW w:w="6461" w:type="dxa"/>
            <w:vAlign w:val="center"/>
          </w:tcPr>
          <w:p>
            <w:pPr>
              <w:adjustRightInd w:val="0"/>
              <w:snapToGrid w:val="0"/>
              <w:spacing w:line="360" w:lineRule="exact"/>
              <w:jc w:val="center"/>
              <w:rPr>
                <w:szCs w:val="21"/>
              </w:rPr>
            </w:pPr>
            <w:r>
              <w:rPr>
                <w:szCs w:val="21"/>
              </w:rPr>
              <w:t>建设单位签订的施工监理合同应明确环境监理内容，将生态恢复措施落实在施工期环境监理日常工作中。本项目施工期应有专人负责环境保护措施的监理工作，确保施工期各项环保措施的实施，对施工过程是否造成水土流失加剧和生态环境破坏，是否符合国家有关环保法律、法规等进行监理。</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2132" w:type="dxa"/>
            <w:gridSpan w:val="2"/>
            <w:vAlign w:val="center"/>
          </w:tcPr>
          <w:p>
            <w:pPr>
              <w:adjustRightInd w:val="0"/>
              <w:snapToGrid w:val="0"/>
              <w:spacing w:line="360" w:lineRule="exact"/>
              <w:jc w:val="center"/>
              <w:rPr>
                <w:szCs w:val="21"/>
              </w:rPr>
            </w:pPr>
            <w:r>
              <w:rPr>
                <w:szCs w:val="21"/>
              </w:rPr>
              <w:t>施工噪声</w:t>
            </w:r>
          </w:p>
        </w:tc>
        <w:tc>
          <w:tcPr>
            <w:tcW w:w="6461" w:type="dxa"/>
            <w:vAlign w:val="center"/>
          </w:tcPr>
          <w:p>
            <w:pPr>
              <w:adjustRightInd w:val="0"/>
              <w:snapToGrid w:val="0"/>
              <w:spacing w:line="360" w:lineRule="exact"/>
              <w:jc w:val="center"/>
              <w:rPr>
                <w:szCs w:val="21"/>
              </w:rPr>
            </w:pPr>
            <w:r>
              <w:rPr>
                <w:szCs w:val="21"/>
              </w:rPr>
              <w:t>选用低噪声的机械设备，要定期对机械设备进行维护和保养，要优化施工时间。</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2132" w:type="dxa"/>
            <w:gridSpan w:val="2"/>
            <w:vAlign w:val="center"/>
          </w:tcPr>
          <w:p>
            <w:pPr>
              <w:adjustRightInd w:val="0"/>
              <w:snapToGrid w:val="0"/>
              <w:spacing w:line="360" w:lineRule="exact"/>
              <w:jc w:val="center"/>
              <w:rPr>
                <w:szCs w:val="21"/>
              </w:rPr>
            </w:pPr>
            <w:r>
              <w:rPr>
                <w:szCs w:val="21"/>
              </w:rPr>
              <w:t>施工废水</w:t>
            </w:r>
          </w:p>
        </w:tc>
        <w:tc>
          <w:tcPr>
            <w:tcW w:w="6461" w:type="dxa"/>
            <w:vAlign w:val="center"/>
          </w:tcPr>
          <w:p>
            <w:pPr>
              <w:adjustRightInd w:val="0"/>
              <w:snapToGrid w:val="0"/>
              <w:spacing w:line="360" w:lineRule="exact"/>
              <w:jc w:val="center"/>
              <w:rPr>
                <w:szCs w:val="21"/>
              </w:rPr>
            </w:pPr>
            <w:r>
              <w:rPr>
                <w:szCs w:val="21"/>
              </w:rPr>
              <w:t>经沉淀等初步处理后喷洒抑尘。在生活区严格管理，严禁随地泼洒污水。</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2132" w:type="dxa"/>
            <w:gridSpan w:val="2"/>
            <w:vAlign w:val="center"/>
          </w:tcPr>
          <w:p>
            <w:pPr>
              <w:adjustRightInd w:val="0"/>
              <w:snapToGrid w:val="0"/>
              <w:spacing w:line="360" w:lineRule="exact"/>
              <w:jc w:val="center"/>
              <w:rPr>
                <w:szCs w:val="21"/>
              </w:rPr>
            </w:pPr>
            <w:r>
              <w:rPr>
                <w:szCs w:val="21"/>
              </w:rPr>
              <w:t>施工</w:t>
            </w:r>
            <w:r>
              <w:rPr>
                <w:rFonts w:hint="eastAsia"/>
                <w:szCs w:val="21"/>
              </w:rPr>
              <w:t>废气</w:t>
            </w:r>
          </w:p>
        </w:tc>
        <w:tc>
          <w:tcPr>
            <w:tcW w:w="6461" w:type="dxa"/>
            <w:vAlign w:val="center"/>
          </w:tcPr>
          <w:p>
            <w:pPr>
              <w:adjustRightInd w:val="0"/>
              <w:snapToGrid w:val="0"/>
              <w:spacing w:line="360" w:lineRule="exact"/>
              <w:jc w:val="center"/>
              <w:rPr>
                <w:szCs w:val="21"/>
              </w:rPr>
            </w:pPr>
            <w:r>
              <w:rPr>
                <w:szCs w:val="21"/>
              </w:rPr>
              <w:t>专人负责管理；设置防尘网等；运输车辆苫布遮盖；采用洒水湿式施工方式；建筑垃圾及时清运</w:t>
            </w:r>
            <w:r>
              <w:rPr>
                <w:rFonts w:hint="eastAsia"/>
                <w:szCs w:val="21"/>
              </w:rPr>
              <w:t>。</w:t>
            </w:r>
          </w:p>
        </w:tc>
      </w:tr>
      <w:tr>
        <w:trPr>
          <w:trHeight w:val="458" w:hRule="atLeast"/>
        </w:trPr>
        <w:tc>
          <w:tcPr>
            <w:tcW w:w="693" w:type="dxa"/>
            <w:vMerge w:val="continue"/>
            <w:vAlign w:val="center"/>
          </w:tcPr>
          <w:p>
            <w:pPr>
              <w:adjustRightInd w:val="0"/>
              <w:snapToGrid w:val="0"/>
              <w:spacing w:line="360" w:lineRule="exact"/>
              <w:jc w:val="center"/>
              <w:rPr>
                <w:szCs w:val="21"/>
              </w:rPr>
            </w:pPr>
          </w:p>
        </w:tc>
        <w:tc>
          <w:tcPr>
            <w:tcW w:w="2132" w:type="dxa"/>
            <w:gridSpan w:val="2"/>
            <w:vAlign w:val="center"/>
          </w:tcPr>
          <w:p>
            <w:pPr>
              <w:adjustRightInd w:val="0"/>
              <w:snapToGrid w:val="0"/>
              <w:spacing w:line="360" w:lineRule="exact"/>
              <w:jc w:val="center"/>
              <w:rPr>
                <w:szCs w:val="21"/>
              </w:rPr>
            </w:pPr>
            <w:r>
              <w:rPr>
                <w:szCs w:val="21"/>
              </w:rPr>
              <w:t>施工固废</w:t>
            </w:r>
          </w:p>
        </w:tc>
        <w:tc>
          <w:tcPr>
            <w:tcW w:w="6461" w:type="dxa"/>
            <w:vAlign w:val="center"/>
          </w:tcPr>
          <w:p>
            <w:pPr>
              <w:adjustRightInd w:val="0"/>
              <w:snapToGrid w:val="0"/>
              <w:spacing w:line="360" w:lineRule="exact"/>
              <w:jc w:val="center"/>
              <w:rPr>
                <w:szCs w:val="21"/>
              </w:rPr>
            </w:pPr>
            <w:r>
              <w:rPr>
                <w:szCs w:val="21"/>
              </w:rPr>
              <w:t>土方余方量全部用于各施工工段的场地平整回填。</w:t>
            </w:r>
          </w:p>
        </w:tc>
      </w:tr>
      <w:tr>
        <w:tc>
          <w:tcPr>
            <w:tcW w:w="693" w:type="dxa"/>
            <w:vAlign w:val="center"/>
          </w:tcPr>
          <w:p>
            <w:pPr>
              <w:adjustRightInd w:val="0"/>
              <w:snapToGrid w:val="0"/>
              <w:spacing w:line="360" w:lineRule="exact"/>
              <w:ind w:left="-105" w:leftChars="-50" w:right="-105" w:rightChars="-50"/>
              <w:jc w:val="center"/>
              <w:rPr>
                <w:szCs w:val="21"/>
              </w:rPr>
            </w:pPr>
            <w:r>
              <w:rPr>
                <w:szCs w:val="21"/>
              </w:rPr>
              <w:t>运营</w:t>
            </w:r>
          </w:p>
          <w:p>
            <w:pPr>
              <w:adjustRightInd w:val="0"/>
              <w:snapToGrid w:val="0"/>
              <w:spacing w:line="360" w:lineRule="exact"/>
              <w:ind w:left="-105" w:leftChars="-50" w:right="-105" w:rightChars="-50"/>
              <w:jc w:val="center"/>
              <w:rPr>
                <w:szCs w:val="21"/>
              </w:rPr>
            </w:pPr>
            <w:r>
              <w:rPr>
                <w:szCs w:val="21"/>
              </w:rPr>
              <w:t>期</w:t>
            </w:r>
          </w:p>
        </w:tc>
        <w:tc>
          <w:tcPr>
            <w:tcW w:w="578" w:type="dxa"/>
            <w:vAlign w:val="center"/>
          </w:tcPr>
          <w:p>
            <w:pPr>
              <w:adjustRightInd w:val="0"/>
              <w:snapToGrid w:val="0"/>
              <w:spacing w:line="360" w:lineRule="exact"/>
              <w:jc w:val="center"/>
              <w:rPr>
                <w:szCs w:val="21"/>
              </w:rPr>
            </w:pPr>
            <w:r>
              <w:rPr>
                <w:szCs w:val="21"/>
              </w:rPr>
              <w:t>噪声</w:t>
            </w:r>
          </w:p>
        </w:tc>
        <w:tc>
          <w:tcPr>
            <w:tcW w:w="1554" w:type="dxa"/>
            <w:vAlign w:val="center"/>
          </w:tcPr>
          <w:p>
            <w:pPr>
              <w:adjustRightInd w:val="0"/>
              <w:snapToGrid w:val="0"/>
              <w:spacing w:line="360" w:lineRule="exact"/>
              <w:jc w:val="center"/>
              <w:rPr>
                <w:szCs w:val="21"/>
              </w:rPr>
            </w:pPr>
            <w:r>
              <w:rPr>
                <w:szCs w:val="21"/>
              </w:rPr>
              <w:t>风力发电机组</w:t>
            </w:r>
          </w:p>
        </w:tc>
        <w:tc>
          <w:tcPr>
            <w:tcW w:w="6461" w:type="dxa"/>
            <w:vAlign w:val="center"/>
          </w:tcPr>
          <w:p>
            <w:pPr>
              <w:adjustRightInd w:val="0"/>
              <w:snapToGrid w:val="0"/>
              <w:spacing w:line="360" w:lineRule="exact"/>
              <w:jc w:val="center"/>
              <w:rPr>
                <w:szCs w:val="21"/>
              </w:rPr>
            </w:pPr>
            <w:r>
              <w:rPr>
                <w:szCs w:val="21"/>
              </w:rPr>
              <w:t>各风力发电机组周围300m设置隔离带禁止建设学校、村庄等。</w:t>
            </w:r>
          </w:p>
        </w:tc>
      </w:tr>
    </w:tbl>
    <w:p>
      <w:pPr>
        <w:pStyle w:val="29"/>
        <w:spacing w:before="0" w:beforeAutospacing="0" w:after="0" w:afterAutospacing="0" w:line="440" w:lineRule="exact"/>
        <w:ind w:firstLine="480" w:firstLineChars="200"/>
        <w:jc w:val="center"/>
        <w:rPr>
          <w:rFonts w:ascii="Times New Roman" w:hAnsi="Times New Roman" w:cs="Times New Roman"/>
        </w:rPr>
      </w:pPr>
      <w:r>
        <w:rPr>
          <w:rFonts w:ascii="Times New Roman" w:hAnsi="Times New Roman" w:cs="Times New Roman"/>
        </w:rPr>
        <w:t>表</w:t>
      </w:r>
      <w:r>
        <w:rPr>
          <w:rFonts w:hint="eastAsia" w:ascii="Times New Roman" w:hAnsi="Times New Roman" w:cs="Times New Roman"/>
        </w:rPr>
        <w:t xml:space="preserve">26    </w:t>
      </w:r>
      <w:r>
        <w:rPr>
          <w:rFonts w:ascii="Times New Roman" w:hAnsi="Times New Roman" w:cs="Times New Roman"/>
        </w:rPr>
        <w:t>本项目</w:t>
      </w:r>
      <w:r>
        <w:rPr>
          <w:rFonts w:hint="eastAsia" w:ascii="Times New Roman" w:hAnsi="Times New Roman" w:cs="Times New Roman"/>
        </w:rPr>
        <w:t>污染物排放清单</w:t>
      </w:r>
      <w:r>
        <w:rPr>
          <w:rFonts w:ascii="Times New Roman" w:hAnsi="Times New Roman" w:cs="Times New Roman"/>
        </w:rPr>
        <w:t>一览表</w:t>
      </w:r>
    </w:p>
    <w:tbl>
      <w:tblP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416"/>
        <w:gridCol w:w="416"/>
        <w:gridCol w:w="948"/>
        <w:gridCol w:w="3210"/>
        <w:gridCol w:w="2361"/>
        <w:gridCol w:w="1729"/>
      </w:tblGrid>
      <w:tr>
        <w:trPr>
          <w:trHeight w:val="567" w:hRule="atLeast"/>
          <w:jc w:val="center"/>
        </w:trPr>
        <w:tc>
          <w:tcPr>
            <w:tcW w:w="416" w:type="dxa"/>
            <w:vAlign w:val="center"/>
          </w:tcPr>
          <w:p>
            <w:pPr>
              <w:adjustRightInd w:val="0"/>
              <w:snapToGrid w:val="0"/>
              <w:spacing w:line="360" w:lineRule="exact"/>
              <w:jc w:val="center"/>
              <w:rPr>
                <w:szCs w:val="21"/>
              </w:rPr>
            </w:pPr>
            <w:r>
              <w:rPr>
                <w:rFonts w:hint="eastAsia"/>
                <w:szCs w:val="21"/>
              </w:rPr>
              <w:t>时间</w:t>
            </w:r>
          </w:p>
        </w:tc>
        <w:tc>
          <w:tcPr>
            <w:tcW w:w="416" w:type="dxa"/>
            <w:vAlign w:val="center"/>
          </w:tcPr>
          <w:p>
            <w:pPr>
              <w:adjustRightInd w:val="0"/>
              <w:snapToGrid w:val="0"/>
              <w:spacing w:line="360" w:lineRule="exact"/>
              <w:jc w:val="center"/>
              <w:rPr>
                <w:szCs w:val="21"/>
              </w:rPr>
            </w:pPr>
            <w:r>
              <w:rPr>
                <w:szCs w:val="21"/>
              </w:rPr>
              <w:t>类型</w:t>
            </w:r>
          </w:p>
        </w:tc>
        <w:tc>
          <w:tcPr>
            <w:tcW w:w="948" w:type="dxa"/>
            <w:vAlign w:val="center"/>
          </w:tcPr>
          <w:p>
            <w:pPr>
              <w:adjustRightInd w:val="0"/>
              <w:snapToGrid w:val="0"/>
              <w:spacing w:line="360" w:lineRule="exact"/>
              <w:jc w:val="center"/>
              <w:rPr>
                <w:szCs w:val="21"/>
              </w:rPr>
            </w:pPr>
            <w:r>
              <w:rPr>
                <w:szCs w:val="21"/>
              </w:rPr>
              <w:t>污染源</w:t>
            </w:r>
          </w:p>
        </w:tc>
        <w:tc>
          <w:tcPr>
            <w:tcW w:w="3210" w:type="dxa"/>
            <w:vAlign w:val="center"/>
          </w:tcPr>
          <w:p>
            <w:pPr>
              <w:adjustRightInd w:val="0"/>
              <w:snapToGrid w:val="0"/>
              <w:spacing w:line="360" w:lineRule="exact"/>
              <w:ind w:firstLine="315" w:firstLineChars="150"/>
              <w:jc w:val="center"/>
              <w:rPr>
                <w:szCs w:val="21"/>
              </w:rPr>
            </w:pPr>
            <w:r>
              <w:rPr>
                <w:szCs w:val="21"/>
              </w:rPr>
              <w:t>污染防治措施及处理效果</w:t>
            </w:r>
          </w:p>
        </w:tc>
        <w:tc>
          <w:tcPr>
            <w:tcW w:w="2361" w:type="dxa"/>
            <w:vAlign w:val="center"/>
          </w:tcPr>
          <w:p>
            <w:pPr>
              <w:adjustRightInd w:val="0"/>
              <w:snapToGrid w:val="0"/>
              <w:spacing w:line="360" w:lineRule="exact"/>
              <w:jc w:val="center"/>
              <w:rPr>
                <w:szCs w:val="21"/>
              </w:rPr>
            </w:pPr>
            <w:r>
              <w:rPr>
                <w:rFonts w:hint="eastAsia"/>
                <w:szCs w:val="21"/>
              </w:rPr>
              <w:t>植被恢复时限</w:t>
            </w:r>
          </w:p>
        </w:tc>
        <w:tc>
          <w:tcPr>
            <w:tcW w:w="1729" w:type="dxa"/>
            <w:vAlign w:val="center"/>
          </w:tcPr>
          <w:p>
            <w:pPr>
              <w:adjustRightInd w:val="0"/>
              <w:snapToGrid w:val="0"/>
              <w:spacing w:line="360" w:lineRule="exact"/>
              <w:jc w:val="center"/>
              <w:rPr>
                <w:szCs w:val="21"/>
              </w:rPr>
            </w:pPr>
            <w:r>
              <w:rPr>
                <w:rFonts w:hint="eastAsia"/>
                <w:szCs w:val="21"/>
              </w:rPr>
              <w:t>验收标准</w:t>
            </w:r>
          </w:p>
        </w:tc>
      </w:tr>
      <w:tr>
        <w:trPr>
          <w:trHeight w:val="567" w:hRule="atLeast"/>
          <w:jc w:val="center"/>
        </w:trPr>
        <w:tc>
          <w:tcPr>
            <w:tcW w:w="416" w:type="dxa"/>
            <w:vMerge w:val="restart"/>
            <w:vAlign w:val="center"/>
          </w:tcPr>
          <w:p>
            <w:pPr>
              <w:adjustRightInd w:val="0"/>
              <w:snapToGrid w:val="0"/>
              <w:spacing w:line="360" w:lineRule="exact"/>
              <w:jc w:val="center"/>
              <w:rPr>
                <w:szCs w:val="21"/>
              </w:rPr>
            </w:pPr>
            <w:r>
              <w:rPr>
                <w:rFonts w:hint="eastAsia"/>
                <w:szCs w:val="21"/>
              </w:rPr>
              <w:t>施工期</w:t>
            </w:r>
          </w:p>
        </w:tc>
        <w:tc>
          <w:tcPr>
            <w:tcW w:w="416" w:type="dxa"/>
            <w:vMerge w:val="restart"/>
            <w:vAlign w:val="center"/>
          </w:tcPr>
          <w:p>
            <w:pPr>
              <w:adjustRightInd w:val="0"/>
              <w:snapToGrid w:val="0"/>
              <w:spacing w:line="360" w:lineRule="exact"/>
              <w:jc w:val="center"/>
              <w:rPr>
                <w:szCs w:val="21"/>
              </w:rPr>
            </w:pPr>
            <w:r>
              <w:rPr>
                <w:szCs w:val="21"/>
              </w:rPr>
              <w:t>生</w:t>
            </w:r>
          </w:p>
          <w:p>
            <w:pPr>
              <w:adjustRightInd w:val="0"/>
              <w:snapToGrid w:val="0"/>
              <w:spacing w:line="360" w:lineRule="exact"/>
              <w:jc w:val="center"/>
              <w:rPr>
                <w:szCs w:val="21"/>
              </w:rPr>
            </w:pPr>
            <w:r>
              <w:rPr>
                <w:szCs w:val="21"/>
              </w:rPr>
              <w:t>态</w:t>
            </w:r>
          </w:p>
          <w:p>
            <w:pPr>
              <w:adjustRightInd w:val="0"/>
              <w:snapToGrid w:val="0"/>
              <w:spacing w:line="360" w:lineRule="exact"/>
              <w:jc w:val="center"/>
              <w:rPr>
                <w:szCs w:val="21"/>
              </w:rPr>
            </w:pPr>
            <w:r>
              <w:rPr>
                <w:szCs w:val="21"/>
              </w:rPr>
              <w:t>及</w:t>
            </w:r>
          </w:p>
          <w:p>
            <w:pPr>
              <w:adjustRightInd w:val="0"/>
              <w:snapToGrid w:val="0"/>
              <w:spacing w:line="360" w:lineRule="exact"/>
              <w:jc w:val="center"/>
              <w:rPr>
                <w:szCs w:val="21"/>
              </w:rPr>
            </w:pPr>
            <w:r>
              <w:rPr>
                <w:szCs w:val="21"/>
              </w:rPr>
              <w:t>水</w:t>
            </w:r>
          </w:p>
          <w:p>
            <w:pPr>
              <w:adjustRightInd w:val="0"/>
              <w:snapToGrid w:val="0"/>
              <w:spacing w:line="360" w:lineRule="exact"/>
              <w:jc w:val="center"/>
              <w:rPr>
                <w:szCs w:val="21"/>
              </w:rPr>
            </w:pPr>
            <w:r>
              <w:rPr>
                <w:szCs w:val="21"/>
              </w:rPr>
              <w:t>保</w:t>
            </w:r>
          </w:p>
        </w:tc>
        <w:tc>
          <w:tcPr>
            <w:tcW w:w="948" w:type="dxa"/>
            <w:vAlign w:val="center"/>
          </w:tcPr>
          <w:p>
            <w:pPr>
              <w:adjustRightInd w:val="0"/>
              <w:snapToGrid w:val="0"/>
              <w:spacing w:line="360" w:lineRule="exact"/>
              <w:jc w:val="center"/>
              <w:rPr>
                <w:szCs w:val="21"/>
              </w:rPr>
            </w:pPr>
            <w:r>
              <w:rPr>
                <w:szCs w:val="21"/>
              </w:rPr>
              <w:t>风力发电机组机组</w:t>
            </w:r>
            <w:r>
              <w:rPr>
                <w:rFonts w:hint="eastAsia"/>
                <w:szCs w:val="21"/>
              </w:rPr>
              <w:t>及箱变区</w:t>
            </w:r>
          </w:p>
        </w:tc>
        <w:tc>
          <w:tcPr>
            <w:tcW w:w="3210" w:type="dxa"/>
            <w:vAlign w:val="center"/>
          </w:tcPr>
          <w:p>
            <w:pPr>
              <w:adjustRightInd w:val="0"/>
              <w:snapToGrid w:val="0"/>
              <w:spacing w:line="360" w:lineRule="exact"/>
              <w:jc w:val="center"/>
              <w:rPr>
                <w:szCs w:val="21"/>
              </w:rPr>
            </w:pPr>
            <w:r>
              <w:rPr>
                <w:rFonts w:hint="eastAsia"/>
                <w:szCs w:val="21"/>
              </w:rPr>
              <w:t>在风电机组和箱式变基础周边的区域采取播撒草籽的方式进行植被恢复，恢复面积4944m</w:t>
            </w:r>
            <w:r>
              <w:rPr>
                <w:rFonts w:hint="eastAsia"/>
                <w:szCs w:val="21"/>
                <w:vertAlign w:val="superscript"/>
              </w:rPr>
              <w:t>2</w:t>
            </w:r>
            <w:r>
              <w:rPr>
                <w:rFonts w:hint="eastAsia"/>
                <w:szCs w:val="21"/>
              </w:rPr>
              <w:t>。</w:t>
            </w:r>
          </w:p>
        </w:tc>
        <w:tc>
          <w:tcPr>
            <w:tcW w:w="2361" w:type="dxa"/>
            <w:vAlign w:val="center"/>
          </w:tcPr>
          <w:p>
            <w:pPr>
              <w:adjustRightInd w:val="0"/>
              <w:snapToGrid w:val="0"/>
              <w:spacing w:line="360" w:lineRule="exact"/>
              <w:jc w:val="center"/>
              <w:rPr>
                <w:szCs w:val="21"/>
              </w:rPr>
            </w:pPr>
            <w:r>
              <w:rPr>
                <w:rFonts w:hint="eastAsia"/>
                <w:szCs w:val="21"/>
              </w:rPr>
              <w:t>每台机组与箱变安装完成，及时进行植被恢复，施工期结束后全部风力发电机组临时占地完成植被恢复。</w:t>
            </w:r>
          </w:p>
        </w:tc>
        <w:tc>
          <w:tcPr>
            <w:tcW w:w="1729" w:type="dxa"/>
            <w:vMerge w:val="restart"/>
            <w:vAlign w:val="center"/>
          </w:tcPr>
          <w:p>
            <w:pPr>
              <w:adjustRightInd w:val="0"/>
              <w:snapToGrid w:val="0"/>
              <w:spacing w:line="360" w:lineRule="exact"/>
              <w:jc w:val="center"/>
              <w:rPr>
                <w:szCs w:val="21"/>
              </w:rPr>
            </w:pPr>
            <w:r>
              <w:rPr>
                <w:rFonts w:hint="eastAsia"/>
                <w:szCs w:val="21"/>
              </w:rPr>
              <w:t>建设项目竣工环境保护验收技术规范  生态影响类</w:t>
            </w:r>
          </w:p>
          <w:p>
            <w:pPr>
              <w:adjustRightInd w:val="0"/>
              <w:snapToGrid w:val="0"/>
              <w:spacing w:line="360" w:lineRule="exact"/>
              <w:jc w:val="center"/>
              <w:rPr>
                <w:szCs w:val="21"/>
              </w:rPr>
            </w:pPr>
            <w:r>
              <w:rPr>
                <w:rFonts w:hint="eastAsia"/>
                <w:szCs w:val="21"/>
              </w:rPr>
              <w:t>（HJT394-2007）</w:t>
            </w: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Merge w:val="continue"/>
            <w:vAlign w:val="center"/>
          </w:tcPr>
          <w:p>
            <w:pPr>
              <w:adjustRightInd w:val="0"/>
              <w:snapToGrid w:val="0"/>
              <w:spacing w:line="360" w:lineRule="exact"/>
              <w:jc w:val="center"/>
              <w:rPr>
                <w:szCs w:val="21"/>
              </w:rPr>
            </w:pPr>
          </w:p>
        </w:tc>
        <w:tc>
          <w:tcPr>
            <w:tcW w:w="948" w:type="dxa"/>
            <w:vAlign w:val="center"/>
          </w:tcPr>
          <w:p>
            <w:pPr>
              <w:adjustRightInd w:val="0"/>
              <w:snapToGrid w:val="0"/>
              <w:spacing w:line="360" w:lineRule="exact"/>
              <w:jc w:val="center"/>
              <w:rPr>
                <w:szCs w:val="21"/>
              </w:rPr>
            </w:pPr>
            <w:r>
              <w:rPr>
                <w:rFonts w:hint="eastAsia"/>
                <w:szCs w:val="21"/>
              </w:rPr>
              <w:t>集电</w:t>
            </w:r>
            <w:r>
              <w:rPr>
                <w:szCs w:val="21"/>
              </w:rPr>
              <w:t>线路区</w:t>
            </w:r>
          </w:p>
        </w:tc>
        <w:tc>
          <w:tcPr>
            <w:tcW w:w="3210" w:type="dxa"/>
            <w:vAlign w:val="center"/>
          </w:tcPr>
          <w:p>
            <w:pPr>
              <w:adjustRightInd w:val="0"/>
              <w:snapToGrid w:val="0"/>
              <w:spacing w:line="360" w:lineRule="exact"/>
              <w:jc w:val="center"/>
              <w:rPr>
                <w:szCs w:val="21"/>
              </w:rPr>
            </w:pPr>
            <w:r>
              <w:rPr>
                <w:rFonts w:hint="eastAsia"/>
                <w:szCs w:val="21"/>
              </w:rPr>
              <w:t>绿化草种选择当地适生品种。恢复植被面积157.5m</w:t>
            </w:r>
            <w:r>
              <w:rPr>
                <w:rFonts w:hint="eastAsia"/>
                <w:szCs w:val="21"/>
                <w:vertAlign w:val="superscript"/>
              </w:rPr>
              <w:t>2</w:t>
            </w:r>
            <w:r>
              <w:rPr>
                <w:rFonts w:hint="eastAsia"/>
                <w:szCs w:val="21"/>
              </w:rPr>
              <w:t>。临时架设的杆塔用地施工结束后应采取植被恢复措施。</w:t>
            </w:r>
          </w:p>
        </w:tc>
        <w:tc>
          <w:tcPr>
            <w:tcW w:w="2361" w:type="dxa"/>
            <w:vAlign w:val="center"/>
          </w:tcPr>
          <w:p>
            <w:pPr>
              <w:adjustRightInd w:val="0"/>
              <w:snapToGrid w:val="0"/>
              <w:spacing w:line="360" w:lineRule="exact"/>
              <w:jc w:val="center"/>
              <w:rPr>
                <w:szCs w:val="21"/>
              </w:rPr>
            </w:pPr>
            <w:r>
              <w:rPr>
                <w:rFonts w:hint="eastAsia"/>
                <w:szCs w:val="21"/>
              </w:rPr>
              <w:t>铁塔架设完成后即可进行植被恢复。集电线路架设与植被恢复同一时间完成。</w:t>
            </w:r>
          </w:p>
        </w:tc>
        <w:tc>
          <w:tcPr>
            <w:tcW w:w="1729" w:type="dxa"/>
            <w:vMerge w:val="continue"/>
            <w:vAlign w:val="center"/>
          </w:tcPr>
          <w:p>
            <w:pPr>
              <w:adjustRightInd w:val="0"/>
              <w:snapToGrid w:val="0"/>
              <w:spacing w:line="360" w:lineRule="exact"/>
              <w:jc w:val="center"/>
              <w:rPr>
                <w:szCs w:val="21"/>
              </w:rPr>
            </w:pP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Merge w:val="continue"/>
            <w:vAlign w:val="center"/>
          </w:tcPr>
          <w:p>
            <w:pPr>
              <w:adjustRightInd w:val="0"/>
              <w:snapToGrid w:val="0"/>
              <w:spacing w:line="360" w:lineRule="exact"/>
              <w:jc w:val="center"/>
              <w:rPr>
                <w:szCs w:val="21"/>
              </w:rPr>
            </w:pPr>
          </w:p>
        </w:tc>
        <w:tc>
          <w:tcPr>
            <w:tcW w:w="948" w:type="dxa"/>
            <w:vAlign w:val="center"/>
          </w:tcPr>
          <w:p>
            <w:pPr>
              <w:adjustRightInd w:val="0"/>
              <w:snapToGrid w:val="0"/>
              <w:spacing w:line="360" w:lineRule="exact"/>
              <w:jc w:val="center"/>
              <w:rPr>
                <w:szCs w:val="21"/>
              </w:rPr>
            </w:pPr>
            <w:r>
              <w:rPr>
                <w:szCs w:val="21"/>
              </w:rPr>
              <w:t>检修道路区</w:t>
            </w:r>
          </w:p>
        </w:tc>
        <w:tc>
          <w:tcPr>
            <w:tcW w:w="3210" w:type="dxa"/>
            <w:vAlign w:val="center"/>
          </w:tcPr>
          <w:p>
            <w:pPr>
              <w:adjustRightInd w:val="0"/>
              <w:snapToGrid w:val="0"/>
              <w:spacing w:line="360" w:lineRule="exact"/>
              <w:jc w:val="center"/>
              <w:rPr>
                <w:szCs w:val="21"/>
              </w:rPr>
            </w:pPr>
            <w:r>
              <w:rPr>
                <w:szCs w:val="21"/>
              </w:rPr>
              <w:t>检修道路宽</w:t>
            </w:r>
            <w:r>
              <w:rPr>
                <w:rFonts w:hint="eastAsia"/>
                <w:szCs w:val="21"/>
              </w:rPr>
              <w:t>4.5</w:t>
            </w:r>
            <w:r>
              <w:rPr>
                <w:szCs w:val="21"/>
              </w:rPr>
              <w:t>m，</w:t>
            </w:r>
            <w:r>
              <w:rPr>
                <w:rFonts w:hint="eastAsia"/>
                <w:bCs/>
                <w:szCs w:val="21"/>
              </w:rPr>
              <w:t>靠</w:t>
            </w:r>
            <w:r>
              <w:rPr>
                <w:bCs/>
                <w:szCs w:val="21"/>
              </w:rPr>
              <w:t>山体侧</w:t>
            </w:r>
            <w:r>
              <w:rPr>
                <w:rFonts w:hint="eastAsia"/>
                <w:bCs/>
                <w:szCs w:val="21"/>
              </w:rPr>
              <w:t>开挖</w:t>
            </w:r>
            <w:r>
              <w:rPr>
                <w:bCs/>
                <w:szCs w:val="21"/>
              </w:rPr>
              <w:t>排水沟</w:t>
            </w:r>
            <w:r>
              <w:rPr>
                <w:rFonts w:hint="eastAsia"/>
                <w:bCs/>
                <w:szCs w:val="21"/>
              </w:rPr>
              <w:t>，</w:t>
            </w:r>
            <w:r>
              <w:rPr>
                <w:szCs w:val="21"/>
              </w:rPr>
              <w:t>采取植物措施</w:t>
            </w:r>
            <w:r>
              <w:rPr>
                <w:rFonts w:hint="eastAsia"/>
                <w:szCs w:val="21"/>
              </w:rPr>
              <w:t>对临时占地进行植被恢复，</w:t>
            </w:r>
            <w:r>
              <w:rPr>
                <w:szCs w:val="21"/>
              </w:rPr>
              <w:t>绿化面积为</w:t>
            </w:r>
            <w:r>
              <w:rPr>
                <w:rFonts w:hint="eastAsia"/>
                <w:szCs w:val="21"/>
              </w:rPr>
              <w:t>2.2h</w:t>
            </w:r>
            <w:r>
              <w:rPr>
                <w:szCs w:val="21"/>
              </w:rPr>
              <w:t>m</w:t>
            </w:r>
            <w:r>
              <w:rPr>
                <w:szCs w:val="21"/>
                <w:vertAlign w:val="superscript"/>
              </w:rPr>
              <w:t>2</w:t>
            </w:r>
            <w:r>
              <w:rPr>
                <w:rFonts w:hint="eastAsia"/>
                <w:szCs w:val="21"/>
              </w:rPr>
              <w:t>。</w:t>
            </w:r>
          </w:p>
        </w:tc>
        <w:tc>
          <w:tcPr>
            <w:tcW w:w="2361" w:type="dxa"/>
            <w:vAlign w:val="center"/>
          </w:tcPr>
          <w:p>
            <w:pPr>
              <w:adjustRightInd w:val="0"/>
              <w:snapToGrid w:val="0"/>
              <w:spacing w:line="360" w:lineRule="exact"/>
              <w:jc w:val="center"/>
              <w:rPr>
                <w:szCs w:val="21"/>
              </w:rPr>
            </w:pPr>
            <w:r>
              <w:rPr>
                <w:rFonts w:hint="eastAsia"/>
                <w:szCs w:val="21"/>
              </w:rPr>
              <w:t>风力发电机组设备全部运输完成后，及时对道路两侧进行绿化。施工期结束后道路两侧完成绿化。</w:t>
            </w:r>
          </w:p>
        </w:tc>
        <w:tc>
          <w:tcPr>
            <w:tcW w:w="1729" w:type="dxa"/>
            <w:vMerge w:val="continue"/>
            <w:vAlign w:val="center"/>
          </w:tcPr>
          <w:p>
            <w:pPr>
              <w:adjustRightInd w:val="0"/>
              <w:snapToGrid w:val="0"/>
              <w:spacing w:line="360" w:lineRule="exact"/>
              <w:jc w:val="center"/>
              <w:rPr>
                <w:szCs w:val="21"/>
              </w:rPr>
            </w:pP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Merge w:val="continue"/>
            <w:vAlign w:val="center"/>
          </w:tcPr>
          <w:p>
            <w:pPr>
              <w:adjustRightInd w:val="0"/>
              <w:snapToGrid w:val="0"/>
              <w:spacing w:line="360" w:lineRule="exact"/>
              <w:jc w:val="center"/>
              <w:rPr>
                <w:szCs w:val="21"/>
              </w:rPr>
            </w:pPr>
          </w:p>
        </w:tc>
        <w:tc>
          <w:tcPr>
            <w:tcW w:w="948" w:type="dxa"/>
            <w:vAlign w:val="center"/>
          </w:tcPr>
          <w:p>
            <w:pPr>
              <w:adjustRightInd w:val="0"/>
              <w:snapToGrid w:val="0"/>
              <w:spacing w:line="360" w:lineRule="exact"/>
              <w:jc w:val="center"/>
              <w:rPr>
                <w:szCs w:val="21"/>
              </w:rPr>
            </w:pPr>
            <w:r>
              <w:rPr>
                <w:rFonts w:hint="eastAsia"/>
                <w:szCs w:val="21"/>
              </w:rPr>
              <w:t>施工生产生活区</w:t>
            </w:r>
          </w:p>
        </w:tc>
        <w:tc>
          <w:tcPr>
            <w:tcW w:w="3210" w:type="dxa"/>
            <w:vAlign w:val="center"/>
          </w:tcPr>
          <w:p>
            <w:pPr>
              <w:adjustRightInd w:val="0"/>
              <w:snapToGrid w:val="0"/>
              <w:spacing w:line="360" w:lineRule="exact"/>
              <w:jc w:val="center"/>
              <w:rPr>
                <w:szCs w:val="21"/>
              </w:rPr>
            </w:pPr>
            <w:r>
              <w:rPr>
                <w:rFonts w:hint="eastAsia"/>
                <w:szCs w:val="21"/>
              </w:rPr>
              <w:t>施工场地为荒草地，施工前对该区进行表土剥离，剥离厚15cm。施工结束后原地及时进行土地整理和表土回填，将剥离土还原复垦，复垦面积6300m</w:t>
            </w:r>
            <w:r>
              <w:rPr>
                <w:rFonts w:hint="eastAsia"/>
                <w:szCs w:val="21"/>
                <w:vertAlign w:val="superscript"/>
              </w:rPr>
              <w:t>2</w:t>
            </w:r>
            <w:r>
              <w:rPr>
                <w:rFonts w:hint="eastAsia"/>
                <w:szCs w:val="21"/>
              </w:rPr>
              <w:t>。</w:t>
            </w:r>
          </w:p>
        </w:tc>
        <w:tc>
          <w:tcPr>
            <w:tcW w:w="2361" w:type="dxa"/>
            <w:vAlign w:val="center"/>
          </w:tcPr>
          <w:p>
            <w:pPr>
              <w:adjustRightInd w:val="0"/>
              <w:snapToGrid w:val="0"/>
              <w:spacing w:line="360" w:lineRule="exact"/>
              <w:jc w:val="center"/>
              <w:rPr>
                <w:szCs w:val="21"/>
              </w:rPr>
            </w:pPr>
            <w:r>
              <w:rPr>
                <w:rFonts w:hint="eastAsia"/>
                <w:szCs w:val="21"/>
              </w:rPr>
              <w:t>施工期全部结束后，即可进行原地复垦。</w:t>
            </w:r>
          </w:p>
        </w:tc>
        <w:tc>
          <w:tcPr>
            <w:tcW w:w="1729" w:type="dxa"/>
            <w:vMerge w:val="continue"/>
            <w:vAlign w:val="center"/>
          </w:tcPr>
          <w:p>
            <w:pPr>
              <w:adjustRightInd w:val="0"/>
              <w:snapToGrid w:val="0"/>
              <w:spacing w:line="360" w:lineRule="exact"/>
              <w:jc w:val="center"/>
              <w:rPr>
                <w:szCs w:val="21"/>
              </w:rPr>
            </w:pP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Align w:val="center"/>
          </w:tcPr>
          <w:p>
            <w:pPr>
              <w:adjustRightInd w:val="0"/>
              <w:snapToGrid w:val="0"/>
              <w:spacing w:line="360" w:lineRule="exact"/>
              <w:jc w:val="center"/>
              <w:rPr>
                <w:szCs w:val="21"/>
              </w:rPr>
            </w:pPr>
            <w:r>
              <w:rPr>
                <w:szCs w:val="21"/>
              </w:rPr>
              <w:t>噪声</w:t>
            </w:r>
          </w:p>
        </w:tc>
        <w:tc>
          <w:tcPr>
            <w:tcW w:w="948" w:type="dxa"/>
            <w:vAlign w:val="center"/>
          </w:tcPr>
          <w:p>
            <w:pPr>
              <w:adjustRightInd w:val="0"/>
              <w:snapToGrid w:val="0"/>
              <w:spacing w:line="360" w:lineRule="exact"/>
              <w:jc w:val="center"/>
              <w:rPr>
                <w:szCs w:val="21"/>
              </w:rPr>
            </w:pPr>
            <w:r>
              <w:rPr>
                <w:rFonts w:hint="eastAsia"/>
                <w:szCs w:val="21"/>
              </w:rPr>
              <w:t>施工噪声</w:t>
            </w:r>
          </w:p>
        </w:tc>
        <w:tc>
          <w:tcPr>
            <w:tcW w:w="5571" w:type="dxa"/>
            <w:gridSpan w:val="2"/>
            <w:vAlign w:val="center"/>
          </w:tcPr>
          <w:p>
            <w:pPr>
              <w:adjustRightInd w:val="0"/>
              <w:snapToGrid w:val="0"/>
              <w:spacing w:line="360" w:lineRule="exact"/>
              <w:jc w:val="center"/>
              <w:rPr>
                <w:szCs w:val="21"/>
              </w:rPr>
            </w:pPr>
            <w:r>
              <w:rPr>
                <w:rFonts w:hint="eastAsia"/>
                <w:szCs w:val="21"/>
              </w:rPr>
              <w:t>选用低噪声的机械设备，要定期对机械设备进行维护和保养，要优化施工时间。</w:t>
            </w:r>
          </w:p>
        </w:tc>
        <w:tc>
          <w:tcPr>
            <w:tcW w:w="1729" w:type="dxa"/>
            <w:vAlign w:val="center"/>
          </w:tcPr>
          <w:p>
            <w:pPr>
              <w:adjustRightInd w:val="0"/>
              <w:snapToGrid w:val="0"/>
              <w:spacing w:line="360" w:lineRule="exact"/>
              <w:jc w:val="center"/>
              <w:rPr>
                <w:szCs w:val="21"/>
              </w:rPr>
            </w:pPr>
            <w:r>
              <w:rPr>
                <w:rFonts w:hint="eastAsia"/>
                <w:szCs w:val="21"/>
              </w:rPr>
              <w:t>《建筑施工场界环境噪声排放标准》（GB12523-2011）</w:t>
            </w: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Align w:val="center"/>
          </w:tcPr>
          <w:p>
            <w:pPr>
              <w:adjustRightInd w:val="0"/>
              <w:snapToGrid w:val="0"/>
              <w:spacing w:line="360" w:lineRule="exact"/>
              <w:jc w:val="center"/>
              <w:rPr>
                <w:szCs w:val="21"/>
              </w:rPr>
            </w:pPr>
            <w:r>
              <w:rPr>
                <w:rFonts w:hint="eastAsia"/>
                <w:szCs w:val="21"/>
              </w:rPr>
              <w:t>废水</w:t>
            </w:r>
          </w:p>
        </w:tc>
        <w:tc>
          <w:tcPr>
            <w:tcW w:w="948" w:type="dxa"/>
            <w:vAlign w:val="center"/>
          </w:tcPr>
          <w:p>
            <w:pPr>
              <w:adjustRightInd w:val="0"/>
              <w:snapToGrid w:val="0"/>
              <w:spacing w:line="360" w:lineRule="exact"/>
              <w:jc w:val="center"/>
              <w:rPr>
                <w:szCs w:val="21"/>
              </w:rPr>
            </w:pPr>
            <w:r>
              <w:rPr>
                <w:rFonts w:hint="eastAsia"/>
                <w:szCs w:val="21"/>
              </w:rPr>
              <w:t>施工废水</w:t>
            </w:r>
          </w:p>
        </w:tc>
        <w:tc>
          <w:tcPr>
            <w:tcW w:w="5571" w:type="dxa"/>
            <w:gridSpan w:val="2"/>
            <w:vAlign w:val="center"/>
          </w:tcPr>
          <w:p>
            <w:pPr>
              <w:adjustRightInd w:val="0"/>
              <w:snapToGrid w:val="0"/>
              <w:spacing w:line="360" w:lineRule="exact"/>
              <w:jc w:val="center"/>
              <w:rPr>
                <w:szCs w:val="21"/>
              </w:rPr>
            </w:pPr>
            <w:r>
              <w:rPr>
                <w:rFonts w:hint="eastAsia"/>
                <w:szCs w:val="21"/>
              </w:rPr>
              <w:t>经沉淀等初步处理后喷洒抑尘。在生活区严格管理，严禁随地泼洒污水，保持生活区清洁卫生。</w:t>
            </w:r>
          </w:p>
        </w:tc>
        <w:tc>
          <w:tcPr>
            <w:tcW w:w="1729" w:type="dxa"/>
            <w:vAlign w:val="center"/>
          </w:tcPr>
          <w:p>
            <w:pPr>
              <w:adjustRightInd w:val="0"/>
              <w:snapToGrid w:val="0"/>
              <w:spacing w:line="360" w:lineRule="exact"/>
              <w:jc w:val="center"/>
              <w:rPr>
                <w:szCs w:val="21"/>
              </w:rPr>
            </w:pPr>
            <w:r>
              <w:rPr>
                <w:rFonts w:hint="eastAsia"/>
                <w:szCs w:val="21"/>
              </w:rPr>
              <w:t>不外排</w:t>
            </w: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Align w:val="center"/>
          </w:tcPr>
          <w:p>
            <w:pPr>
              <w:adjustRightInd w:val="0"/>
              <w:snapToGrid w:val="0"/>
              <w:spacing w:line="360" w:lineRule="exact"/>
              <w:jc w:val="center"/>
              <w:rPr>
                <w:szCs w:val="21"/>
              </w:rPr>
            </w:pPr>
            <w:r>
              <w:rPr>
                <w:rFonts w:hint="eastAsia"/>
                <w:szCs w:val="21"/>
              </w:rPr>
              <w:t>废气</w:t>
            </w:r>
          </w:p>
        </w:tc>
        <w:tc>
          <w:tcPr>
            <w:tcW w:w="948" w:type="dxa"/>
            <w:vAlign w:val="center"/>
          </w:tcPr>
          <w:p>
            <w:pPr>
              <w:adjustRightInd w:val="0"/>
              <w:snapToGrid w:val="0"/>
              <w:spacing w:line="360" w:lineRule="exact"/>
              <w:jc w:val="center"/>
              <w:rPr>
                <w:szCs w:val="21"/>
              </w:rPr>
            </w:pPr>
            <w:r>
              <w:rPr>
                <w:rFonts w:hint="eastAsia"/>
                <w:szCs w:val="21"/>
              </w:rPr>
              <w:t>施工扬尘</w:t>
            </w:r>
          </w:p>
        </w:tc>
        <w:tc>
          <w:tcPr>
            <w:tcW w:w="5571" w:type="dxa"/>
            <w:gridSpan w:val="2"/>
            <w:vAlign w:val="center"/>
          </w:tcPr>
          <w:p>
            <w:pPr>
              <w:adjustRightInd w:val="0"/>
              <w:snapToGrid w:val="0"/>
              <w:spacing w:line="360" w:lineRule="exact"/>
              <w:jc w:val="center"/>
              <w:rPr>
                <w:szCs w:val="21"/>
              </w:rPr>
            </w:pPr>
            <w:r>
              <w:rPr>
                <w:rFonts w:hint="eastAsia"/>
                <w:szCs w:val="21"/>
              </w:rPr>
              <w:t>专人负责管理；设置防尘网等；运输车辆苫布遮盖；采用洒水湿式施工方式；建筑垃圾及时清运</w:t>
            </w:r>
          </w:p>
        </w:tc>
        <w:tc>
          <w:tcPr>
            <w:tcW w:w="1729" w:type="dxa"/>
            <w:vAlign w:val="center"/>
          </w:tcPr>
          <w:p>
            <w:pPr>
              <w:adjustRightInd w:val="0"/>
              <w:snapToGrid w:val="0"/>
              <w:spacing w:line="360" w:lineRule="exact"/>
              <w:jc w:val="center"/>
              <w:rPr>
                <w:szCs w:val="21"/>
              </w:rPr>
            </w:pPr>
            <w:r>
              <w:rPr>
                <w:rFonts w:hint="eastAsia"/>
                <w:szCs w:val="21"/>
              </w:rPr>
              <w:t>—</w:t>
            </w:r>
          </w:p>
        </w:tc>
      </w:tr>
      <w:tr>
        <w:trPr>
          <w:trHeight w:val="567" w:hRule="atLeast"/>
          <w:jc w:val="center"/>
        </w:trPr>
        <w:tc>
          <w:tcPr>
            <w:tcW w:w="416" w:type="dxa"/>
            <w:vMerge w:val="continue"/>
            <w:vAlign w:val="center"/>
          </w:tcPr>
          <w:p>
            <w:pPr>
              <w:adjustRightInd w:val="0"/>
              <w:snapToGrid w:val="0"/>
              <w:spacing w:line="360" w:lineRule="exact"/>
              <w:jc w:val="center"/>
              <w:rPr>
                <w:szCs w:val="21"/>
              </w:rPr>
            </w:pPr>
          </w:p>
        </w:tc>
        <w:tc>
          <w:tcPr>
            <w:tcW w:w="416" w:type="dxa"/>
            <w:vAlign w:val="center"/>
          </w:tcPr>
          <w:p>
            <w:pPr>
              <w:adjustRightInd w:val="0"/>
              <w:snapToGrid w:val="0"/>
              <w:spacing w:line="360" w:lineRule="exact"/>
              <w:jc w:val="center"/>
              <w:rPr>
                <w:szCs w:val="21"/>
              </w:rPr>
            </w:pPr>
            <w:r>
              <w:rPr>
                <w:rFonts w:hint="eastAsia"/>
                <w:szCs w:val="21"/>
              </w:rPr>
              <w:t>固废</w:t>
            </w:r>
          </w:p>
        </w:tc>
        <w:tc>
          <w:tcPr>
            <w:tcW w:w="948" w:type="dxa"/>
            <w:vAlign w:val="center"/>
          </w:tcPr>
          <w:p>
            <w:pPr>
              <w:adjustRightInd w:val="0"/>
              <w:snapToGrid w:val="0"/>
              <w:spacing w:line="360" w:lineRule="exact"/>
              <w:jc w:val="center"/>
              <w:rPr>
                <w:szCs w:val="21"/>
              </w:rPr>
            </w:pPr>
            <w:r>
              <w:rPr>
                <w:rFonts w:hint="eastAsia"/>
                <w:szCs w:val="21"/>
              </w:rPr>
              <w:t>施工固废</w:t>
            </w:r>
          </w:p>
        </w:tc>
        <w:tc>
          <w:tcPr>
            <w:tcW w:w="5571" w:type="dxa"/>
            <w:gridSpan w:val="2"/>
            <w:vAlign w:val="center"/>
          </w:tcPr>
          <w:p>
            <w:pPr>
              <w:adjustRightInd w:val="0"/>
              <w:snapToGrid w:val="0"/>
              <w:spacing w:line="360" w:lineRule="exact"/>
              <w:jc w:val="center"/>
              <w:rPr>
                <w:szCs w:val="21"/>
              </w:rPr>
            </w:pPr>
            <w:r>
              <w:rPr>
                <w:rFonts w:hint="eastAsia"/>
                <w:szCs w:val="21"/>
              </w:rPr>
              <w:t>生活垃圾统一收集后送往指定部门处理。土方余方量全部用于各施工工段的场地平整回填。</w:t>
            </w:r>
          </w:p>
        </w:tc>
        <w:tc>
          <w:tcPr>
            <w:tcW w:w="1729" w:type="dxa"/>
            <w:vAlign w:val="center"/>
          </w:tcPr>
          <w:p>
            <w:pPr>
              <w:adjustRightInd w:val="0"/>
              <w:snapToGrid w:val="0"/>
              <w:spacing w:line="360" w:lineRule="exact"/>
              <w:jc w:val="center"/>
              <w:rPr>
                <w:szCs w:val="21"/>
              </w:rPr>
            </w:pPr>
            <w:r>
              <w:rPr>
                <w:rFonts w:hint="eastAsia"/>
                <w:szCs w:val="21"/>
              </w:rPr>
              <w:t>不外排</w:t>
            </w:r>
          </w:p>
        </w:tc>
      </w:tr>
      <w:tr>
        <w:trPr>
          <w:trHeight w:val="567" w:hRule="atLeast"/>
          <w:jc w:val="center"/>
        </w:trPr>
        <w:tc>
          <w:tcPr>
            <w:tcW w:w="416" w:type="dxa"/>
            <w:vAlign w:val="center"/>
          </w:tcPr>
          <w:p>
            <w:pPr>
              <w:adjustRightInd w:val="0"/>
              <w:snapToGrid w:val="0"/>
              <w:spacing w:line="360" w:lineRule="exact"/>
              <w:jc w:val="center"/>
              <w:rPr>
                <w:szCs w:val="21"/>
              </w:rPr>
            </w:pPr>
            <w:r>
              <w:rPr>
                <w:rFonts w:hint="eastAsia"/>
                <w:szCs w:val="21"/>
              </w:rPr>
              <w:t>运营期</w:t>
            </w:r>
          </w:p>
        </w:tc>
        <w:tc>
          <w:tcPr>
            <w:tcW w:w="416" w:type="dxa"/>
            <w:vAlign w:val="center"/>
          </w:tcPr>
          <w:p>
            <w:pPr>
              <w:adjustRightInd w:val="0"/>
              <w:snapToGrid w:val="0"/>
              <w:spacing w:line="360" w:lineRule="exact"/>
              <w:jc w:val="center"/>
              <w:rPr>
                <w:szCs w:val="21"/>
              </w:rPr>
            </w:pPr>
            <w:r>
              <w:rPr>
                <w:szCs w:val="21"/>
              </w:rPr>
              <w:t>噪声</w:t>
            </w:r>
          </w:p>
        </w:tc>
        <w:tc>
          <w:tcPr>
            <w:tcW w:w="948" w:type="dxa"/>
            <w:vAlign w:val="center"/>
          </w:tcPr>
          <w:p>
            <w:pPr>
              <w:adjustRightInd w:val="0"/>
              <w:snapToGrid w:val="0"/>
              <w:spacing w:line="360" w:lineRule="exact"/>
              <w:jc w:val="center"/>
              <w:rPr>
                <w:szCs w:val="21"/>
              </w:rPr>
            </w:pPr>
            <w:r>
              <w:rPr>
                <w:rFonts w:hint="eastAsia"/>
                <w:szCs w:val="21"/>
              </w:rPr>
              <w:t>风力发电机组</w:t>
            </w:r>
          </w:p>
        </w:tc>
        <w:tc>
          <w:tcPr>
            <w:tcW w:w="5571" w:type="dxa"/>
            <w:gridSpan w:val="2"/>
            <w:vAlign w:val="center"/>
          </w:tcPr>
          <w:p>
            <w:pPr>
              <w:adjustRightInd w:val="0"/>
              <w:snapToGrid w:val="0"/>
              <w:spacing w:line="360" w:lineRule="exact"/>
              <w:jc w:val="center"/>
              <w:rPr>
                <w:szCs w:val="21"/>
              </w:rPr>
            </w:pPr>
            <w:r>
              <w:rPr>
                <w:rFonts w:hint="eastAsia"/>
                <w:szCs w:val="21"/>
              </w:rPr>
              <w:t>各风力发电机组周围300m内设置噪声隔离带，禁止建设学校、村庄等噪声敏感点。</w:t>
            </w:r>
          </w:p>
        </w:tc>
        <w:tc>
          <w:tcPr>
            <w:tcW w:w="1729" w:type="dxa"/>
            <w:vAlign w:val="center"/>
          </w:tcPr>
          <w:p>
            <w:pPr>
              <w:adjustRightInd w:val="0"/>
              <w:snapToGrid w:val="0"/>
              <w:spacing w:line="360" w:lineRule="exact"/>
              <w:jc w:val="center"/>
              <w:rPr>
                <w:szCs w:val="21"/>
              </w:rPr>
            </w:pPr>
            <w:r>
              <w:rPr>
                <w:rFonts w:hint="eastAsia"/>
                <w:szCs w:val="21"/>
              </w:rPr>
              <w:t>风场内噪声敏感点满足</w:t>
            </w:r>
            <w:r>
              <w:rPr>
                <w:szCs w:val="21"/>
              </w:rPr>
              <w:t>《声环境质量标准》(GB3096－2008)中的1类标准限值</w:t>
            </w:r>
          </w:p>
        </w:tc>
      </w:tr>
    </w:tbl>
    <w:p>
      <w:pPr>
        <w:pStyle w:val="15"/>
        <w:wordWrap w:val="0"/>
        <w:snapToGrid w:val="0"/>
        <w:spacing w:beforeLines="25" w:afterLines="25" w:line="440" w:lineRule="exact"/>
        <w:outlineLvl w:val="0"/>
        <w:rPr>
          <w:rFonts w:ascii="Times New Roman" w:hAnsi="Times New Roman" w:cs="Times New Roman"/>
          <w:b/>
          <w:bCs/>
          <w:sz w:val="28"/>
          <w:szCs w:val="28"/>
        </w:rPr>
      </w:pPr>
      <w:bookmarkStart w:id="225" w:name="_Toc528854947"/>
      <w:r>
        <w:rPr>
          <w:rFonts w:hint="eastAsia" w:ascii="Times New Roman" w:hAnsi="Times New Roman" w:cs="Times New Roman"/>
          <w:b/>
          <w:bCs/>
          <w:sz w:val="28"/>
          <w:szCs w:val="28"/>
        </w:rPr>
        <w:t>七、环境效益</w:t>
      </w:r>
      <w:bookmarkEnd w:id="225"/>
    </w:p>
    <w:p>
      <w:pPr>
        <w:wordWrap w:val="0"/>
        <w:autoSpaceDE w:val="0"/>
        <w:autoSpaceDN w:val="0"/>
        <w:adjustRightInd w:val="0"/>
        <w:snapToGrid w:val="0"/>
        <w:spacing w:line="420" w:lineRule="exact"/>
        <w:ind w:firstLine="480" w:firstLineChars="200"/>
        <w:rPr>
          <w:kern w:val="0"/>
          <w:sz w:val="24"/>
        </w:rPr>
      </w:pPr>
      <w:bookmarkStart w:id="226" w:name="_Toc396142017"/>
      <w:bookmarkStart w:id="227" w:name="_Toc396142832"/>
      <w:bookmarkStart w:id="228" w:name="_Toc401731124"/>
      <w:bookmarkStart w:id="229" w:name="_Toc406057646"/>
      <w:bookmarkStart w:id="230" w:name="_Toc406057754"/>
      <w:bookmarkStart w:id="231" w:name="_Toc406057951"/>
      <w:bookmarkStart w:id="232" w:name="_Toc409679626"/>
      <w:bookmarkStart w:id="233" w:name="_Toc409679753"/>
      <w:bookmarkStart w:id="234" w:name="_Toc436993104"/>
      <w:bookmarkStart w:id="235" w:name="_Toc479326693"/>
      <w:r>
        <w:rPr>
          <w:rFonts w:hint="eastAsia"/>
          <w:kern w:val="0"/>
          <w:sz w:val="24"/>
        </w:rPr>
        <w:t>1．节能效益</w:t>
      </w:r>
      <w:bookmarkEnd w:id="226"/>
      <w:bookmarkEnd w:id="227"/>
      <w:bookmarkEnd w:id="228"/>
      <w:bookmarkEnd w:id="229"/>
      <w:bookmarkEnd w:id="230"/>
      <w:bookmarkEnd w:id="231"/>
      <w:bookmarkEnd w:id="232"/>
      <w:bookmarkEnd w:id="233"/>
      <w:bookmarkEnd w:id="234"/>
      <w:bookmarkEnd w:id="235"/>
      <w:r>
        <w:rPr>
          <w:rFonts w:hint="eastAsia"/>
          <w:kern w:val="0"/>
          <w:sz w:val="24"/>
        </w:rPr>
        <w:t xml:space="preserve"> </w:t>
      </w:r>
    </w:p>
    <w:p>
      <w:pPr>
        <w:wordWrap w:val="0"/>
        <w:adjustRightInd w:val="0"/>
        <w:snapToGrid w:val="0"/>
        <w:spacing w:beforeLines="25" w:line="420" w:lineRule="exact"/>
        <w:ind w:firstLine="480" w:firstLineChars="200"/>
        <w:rPr>
          <w:sz w:val="24"/>
        </w:rPr>
      </w:pPr>
      <w:r>
        <w:rPr>
          <w:sz w:val="24"/>
        </w:rPr>
        <w:t>风电是一种清洁、无污染的可再生能源，开发利用风能资源是调整能源结构，实施能源可持续发展的有效途径。本工程装机容量</w:t>
      </w:r>
      <w:r>
        <w:rPr>
          <w:rFonts w:hint="eastAsia"/>
          <w:sz w:val="24"/>
        </w:rPr>
        <w:t>6MW</w:t>
      </w:r>
      <w:r>
        <w:rPr>
          <w:sz w:val="24"/>
        </w:rPr>
        <w:t>，年</w:t>
      </w:r>
      <w:r>
        <w:rPr>
          <w:rFonts w:hint="eastAsia"/>
          <w:sz w:val="24"/>
        </w:rPr>
        <w:t>发电量</w:t>
      </w:r>
      <w:r>
        <w:rPr>
          <w:rFonts w:hint="eastAsia"/>
          <w:bCs/>
          <w:sz w:val="24"/>
        </w:rPr>
        <w:t>14209.6M</w:t>
      </w:r>
      <w:r>
        <w:rPr>
          <w:bCs/>
          <w:sz w:val="24"/>
        </w:rPr>
        <w:t>Wh</w:t>
      </w:r>
      <w:r>
        <w:rPr>
          <w:sz w:val="24"/>
        </w:rPr>
        <w:t>，与相同发电量的燃煤电厂相比，每年可节约标煤</w:t>
      </w:r>
      <w:r>
        <w:rPr>
          <w:rFonts w:hint="eastAsia"/>
          <w:sz w:val="24"/>
        </w:rPr>
        <w:t>4550吨（以平均标煤煤耗0.32k</w:t>
      </w:r>
      <w:r>
        <w:rPr>
          <w:sz w:val="24"/>
        </w:rPr>
        <w:t>g/kw·h）。相对目前日益严峻的能源危机，风电具有更强的生命力，符合国家的产业政策。</w:t>
      </w:r>
    </w:p>
    <w:p>
      <w:pPr>
        <w:wordWrap w:val="0"/>
        <w:autoSpaceDE w:val="0"/>
        <w:autoSpaceDN w:val="0"/>
        <w:adjustRightInd w:val="0"/>
        <w:snapToGrid w:val="0"/>
        <w:spacing w:line="420" w:lineRule="exact"/>
        <w:ind w:firstLine="480" w:firstLineChars="200"/>
        <w:rPr>
          <w:kern w:val="0"/>
          <w:sz w:val="24"/>
        </w:rPr>
      </w:pPr>
      <w:bookmarkStart w:id="236" w:name="_Toc396142018"/>
      <w:bookmarkStart w:id="237" w:name="_Toc396142833"/>
      <w:bookmarkStart w:id="238" w:name="_Toc401731125"/>
      <w:bookmarkStart w:id="239" w:name="_Toc406057647"/>
      <w:bookmarkStart w:id="240" w:name="_Toc406057755"/>
      <w:bookmarkStart w:id="241" w:name="_Toc406057952"/>
      <w:bookmarkStart w:id="242" w:name="_Toc409679627"/>
      <w:bookmarkStart w:id="243" w:name="_Toc409679754"/>
      <w:bookmarkStart w:id="244" w:name="_Toc436993105"/>
      <w:bookmarkStart w:id="245" w:name="_Toc479326694"/>
      <w:r>
        <w:rPr>
          <w:rFonts w:hint="eastAsia"/>
          <w:kern w:val="0"/>
          <w:sz w:val="24"/>
        </w:rPr>
        <w:t>2．减排效益</w:t>
      </w:r>
      <w:bookmarkEnd w:id="236"/>
      <w:bookmarkEnd w:id="237"/>
      <w:bookmarkEnd w:id="238"/>
      <w:bookmarkEnd w:id="239"/>
      <w:bookmarkEnd w:id="240"/>
      <w:bookmarkEnd w:id="241"/>
      <w:bookmarkEnd w:id="242"/>
      <w:bookmarkEnd w:id="243"/>
      <w:bookmarkEnd w:id="244"/>
      <w:bookmarkEnd w:id="245"/>
    </w:p>
    <w:p>
      <w:pPr>
        <w:wordWrap w:val="0"/>
        <w:spacing w:before="5" w:line="420" w:lineRule="exact"/>
        <w:ind w:firstLine="480" w:firstLineChars="200"/>
        <w:rPr>
          <w:sz w:val="24"/>
        </w:rPr>
      </w:pPr>
      <w:r>
        <w:rPr>
          <w:sz w:val="24"/>
        </w:rPr>
        <w:t>风电作为一种清洁能源，除了可节约能源外，与相同发电量的燃煤发电相比，本工程运行期每年可减排SO</w:t>
      </w:r>
      <w:r>
        <w:rPr>
          <w:sz w:val="24"/>
          <w:vertAlign w:val="subscript"/>
        </w:rPr>
        <w:t>2</w:t>
      </w:r>
      <w:r>
        <w:rPr>
          <w:sz w:val="24"/>
        </w:rPr>
        <w:t>约</w:t>
      </w:r>
      <w:r>
        <w:rPr>
          <w:rFonts w:hint="eastAsia"/>
          <w:sz w:val="24"/>
        </w:rPr>
        <w:t>4.97</w:t>
      </w:r>
      <w:r>
        <w:rPr>
          <w:sz w:val="24"/>
        </w:rPr>
        <w:t>t/a（按0.</w:t>
      </w:r>
      <w:r>
        <w:rPr>
          <w:rFonts w:hint="eastAsia"/>
          <w:sz w:val="24"/>
        </w:rPr>
        <w:t>35</w:t>
      </w:r>
      <w:r>
        <w:rPr>
          <w:sz w:val="24"/>
        </w:rPr>
        <w:t>g/kw·h），可减排温室气体CO</w:t>
      </w:r>
      <w:r>
        <w:rPr>
          <w:sz w:val="24"/>
          <w:vertAlign w:val="subscript"/>
        </w:rPr>
        <w:t>2</w:t>
      </w:r>
      <w:r>
        <w:rPr>
          <w:sz w:val="24"/>
        </w:rPr>
        <w:t>约</w:t>
      </w:r>
      <w:r>
        <w:rPr>
          <w:rFonts w:hint="eastAsia"/>
          <w:sz w:val="24"/>
        </w:rPr>
        <w:t>4.97</w:t>
      </w:r>
      <w:r>
        <w:rPr>
          <w:sz w:val="24"/>
        </w:rPr>
        <w:t>t/a（按0.35g/kw·h）</w:t>
      </w:r>
      <w:r>
        <w:rPr>
          <w:rFonts w:hint="eastAsia"/>
          <w:sz w:val="24"/>
        </w:rPr>
        <w:t>、</w:t>
      </w:r>
      <w:r>
        <w:rPr>
          <w:sz w:val="24"/>
        </w:rPr>
        <w:t>NO</w:t>
      </w:r>
      <w:r>
        <w:rPr>
          <w:rFonts w:hint="eastAsia"/>
          <w:sz w:val="24"/>
          <w:vertAlign w:val="subscript"/>
        </w:rPr>
        <w:t>x</w:t>
      </w:r>
      <w:r>
        <w:rPr>
          <w:rFonts w:hint="eastAsia"/>
          <w:sz w:val="24"/>
        </w:rPr>
        <w:t>4.97</w:t>
      </w:r>
      <w:r>
        <w:rPr>
          <w:sz w:val="24"/>
        </w:rPr>
        <w:t>t/a（按0.35g/kw·h）</w:t>
      </w:r>
      <w:r>
        <w:rPr>
          <w:rFonts w:hint="eastAsia"/>
          <w:sz w:val="24"/>
        </w:rPr>
        <w:t>，减少烟尘排放量7.10</w:t>
      </w:r>
      <w:r>
        <w:rPr>
          <w:sz w:val="24"/>
        </w:rPr>
        <w:t>t/a(按0.5g/kw·h)</w:t>
      </w:r>
      <w:r>
        <w:rPr>
          <w:rFonts w:hint="eastAsia"/>
          <w:sz w:val="24"/>
        </w:rPr>
        <w:t>。</w:t>
      </w:r>
      <w:r>
        <w:rPr>
          <w:sz w:val="24"/>
        </w:rPr>
        <w:t>此外，还可节约</w:t>
      </w:r>
      <w:r>
        <w:rPr>
          <w:rFonts w:hint="eastAsia"/>
          <w:sz w:val="24"/>
        </w:rPr>
        <w:t>新鲜水用量，</w:t>
      </w:r>
      <w:r>
        <w:rPr>
          <w:sz w:val="24"/>
        </w:rPr>
        <w:t>并减少燃煤电厂产生的噪声及燃料、灰渣运输处置带的相应环境和生态影响。因此，风电场的建设具有明显的污染物减排的环境效益。</w:t>
      </w:r>
    </w:p>
    <w:p>
      <w:pPr>
        <w:pStyle w:val="15"/>
        <w:wordWrap w:val="0"/>
        <w:snapToGrid w:val="0"/>
        <w:spacing w:beforeLines="25" w:afterLines="25" w:line="440" w:lineRule="exact"/>
        <w:outlineLvl w:val="0"/>
        <w:rPr>
          <w:rFonts w:ascii="Times New Roman" w:hAnsi="Times New Roman" w:cs="Times New Roman"/>
          <w:b/>
          <w:bCs/>
          <w:sz w:val="28"/>
          <w:szCs w:val="28"/>
        </w:rPr>
      </w:pPr>
      <w:bookmarkStart w:id="246" w:name="_Toc528854948"/>
      <w:r>
        <w:rPr>
          <w:rFonts w:hint="eastAsia" w:ascii="Times New Roman" w:hAnsi="Times New Roman" w:cs="Times New Roman"/>
          <w:b/>
          <w:bCs/>
          <w:sz w:val="28"/>
          <w:szCs w:val="28"/>
        </w:rPr>
        <w:t>八、评价结论与建议</w:t>
      </w:r>
      <w:bookmarkEnd w:id="246"/>
      <w:r>
        <w:rPr>
          <w:rFonts w:hint="eastAsia" w:ascii="Times New Roman" w:hAnsi="Times New Roman" w:cs="Times New Roman"/>
          <w:b/>
          <w:bCs/>
          <w:sz w:val="28"/>
          <w:szCs w:val="28"/>
        </w:rPr>
        <w:t xml:space="preserve"> </w:t>
      </w:r>
    </w:p>
    <w:p>
      <w:pPr>
        <w:wordWrap w:val="0"/>
        <w:spacing w:line="420" w:lineRule="exact"/>
        <w:ind w:firstLine="480" w:firstLineChars="200"/>
        <w:rPr>
          <w:sz w:val="24"/>
        </w:rPr>
      </w:pPr>
      <w:r>
        <w:rPr>
          <w:sz w:val="24"/>
        </w:rPr>
        <w:t>1</w:t>
      </w:r>
      <w:r>
        <w:rPr>
          <w:rFonts w:hint="eastAsia"/>
          <w:sz w:val="24"/>
        </w:rPr>
        <w:t>、建设项目概况</w:t>
      </w:r>
    </w:p>
    <w:p>
      <w:pPr>
        <w:pStyle w:val="29"/>
        <w:wordWrap w:val="0"/>
        <w:adjustRightInd w:val="0"/>
        <w:snapToGrid w:val="0"/>
        <w:spacing w:before="0" w:beforeAutospacing="0" w:after="0" w:afterAutospacing="0" w:line="420" w:lineRule="exact"/>
        <w:ind w:firstLine="480" w:firstLineChars="200"/>
        <w:jc w:val="both"/>
        <w:rPr>
          <w:rFonts w:ascii="Times New Roman" w:hAnsi="Times New Roman" w:cs="Times New Roman"/>
        </w:rPr>
      </w:pPr>
      <w:r>
        <w:rPr>
          <w:rFonts w:hint="eastAsia" w:ascii="Times New Roman" w:hAnsi="Times New Roman" w:cs="Times New Roman"/>
        </w:rPr>
        <w:t>根据山西省</w:t>
      </w:r>
      <w:bookmarkStart w:id="313" w:name="_GoBack"/>
      <w:r>
        <w:rPr>
          <w:rFonts w:hint="eastAsia" w:ascii="Times New Roman" w:hAnsi="Times New Roman" w:cs="Times New Roman"/>
        </w:rPr>
        <w:t>发展和改革委员会</w:t>
      </w:r>
      <w:bookmarkEnd w:id="313"/>
      <w:r>
        <w:rPr>
          <w:rFonts w:hint="eastAsia" w:ascii="Times New Roman" w:hAnsi="Times New Roman" w:cs="Times New Roman"/>
        </w:rPr>
        <w:t>于2018年4月20日以晋发改新能源发【2018】218号文发布“关于印发《山西省‘十三五’分散式风电开发建设方案》的通知”，本项目规划建设的忻州市岢岚县6WM分散式风电项目属于该规划建设内容之一，符合山西省能源发展规划要求。</w:t>
      </w:r>
    </w:p>
    <w:p>
      <w:pPr>
        <w:wordWrap w:val="0"/>
        <w:spacing w:line="420" w:lineRule="exact"/>
        <w:ind w:firstLine="480" w:firstLineChars="200"/>
        <w:rPr>
          <w:sz w:val="24"/>
        </w:rPr>
      </w:pPr>
      <w:r>
        <w:rPr>
          <w:sz w:val="24"/>
        </w:rPr>
        <w:t>2</w:t>
      </w:r>
      <w:r>
        <w:rPr>
          <w:rFonts w:hint="eastAsia"/>
          <w:sz w:val="24"/>
        </w:rPr>
        <w:t>、环境质量现状</w:t>
      </w:r>
    </w:p>
    <w:p>
      <w:pPr>
        <w:wordWrap w:val="0"/>
        <w:spacing w:line="420" w:lineRule="exact"/>
        <w:ind w:firstLine="480" w:firstLineChars="200"/>
        <w:rPr>
          <w:sz w:val="24"/>
        </w:rPr>
      </w:pPr>
      <w:r>
        <w:rPr>
          <w:rFonts w:hint="eastAsia"/>
          <w:sz w:val="24"/>
        </w:rPr>
        <w:t>本项目位于岢岚县岚漪镇后砖窑村一带，项目所在区域周围2.5km范围内无工矿企业、无村庄，主要分布为农田，评价区环境空气质量较好。</w:t>
      </w:r>
    </w:p>
    <w:p>
      <w:pPr>
        <w:wordWrap w:val="0"/>
        <w:spacing w:line="420" w:lineRule="exact"/>
        <w:ind w:firstLine="480" w:firstLineChars="200"/>
        <w:rPr>
          <w:rFonts w:cs="Arial"/>
          <w:sz w:val="24"/>
        </w:rPr>
      </w:pPr>
      <w:r>
        <w:rPr>
          <w:rFonts w:hint="eastAsia"/>
          <w:sz w:val="24"/>
        </w:rPr>
        <w:t>水环境：</w:t>
      </w:r>
      <w:r>
        <w:rPr>
          <w:rFonts w:hint="eastAsia" w:cs="Arial"/>
          <w:sz w:val="24"/>
        </w:rPr>
        <w:t>距离风电场边界最近的河流为东侧3.0km的岚漪河和西侧4.0km处的南川河。本项目不排放废水，未收集到该河流现状监测数据。</w:t>
      </w:r>
    </w:p>
    <w:p>
      <w:pPr>
        <w:wordWrap w:val="0"/>
        <w:spacing w:line="420" w:lineRule="exact"/>
        <w:ind w:firstLine="480" w:firstLineChars="200"/>
        <w:rPr>
          <w:sz w:val="24"/>
        </w:rPr>
      </w:pPr>
      <w:r>
        <w:rPr>
          <w:sz w:val="24"/>
        </w:rPr>
        <w:t>声环境</w:t>
      </w:r>
      <w:r>
        <w:rPr>
          <w:rFonts w:hint="eastAsia"/>
          <w:sz w:val="24"/>
        </w:rPr>
        <w:t>：太原重工股份有限公司委托山西中瑞恒晟环保科技有限公司2018年10月21日对本项目场区声环境质量现状进行了监测，监测结果表明本项目所在区域声环境质量均满足</w:t>
      </w:r>
      <w:r>
        <w:rPr>
          <w:sz w:val="24"/>
        </w:rPr>
        <w:t>《声环境质量标准》（GB3096-2008）</w:t>
      </w:r>
      <w:r>
        <w:rPr>
          <w:rFonts w:hint="eastAsia"/>
          <w:sz w:val="24"/>
        </w:rPr>
        <w:t>2</w:t>
      </w:r>
      <w:r>
        <w:rPr>
          <w:sz w:val="24"/>
        </w:rPr>
        <w:t>类标准</w:t>
      </w:r>
      <w:r>
        <w:rPr>
          <w:rFonts w:hint="eastAsia"/>
          <w:sz w:val="24"/>
        </w:rPr>
        <w:t>要求</w:t>
      </w:r>
      <w:r>
        <w:rPr>
          <w:sz w:val="24"/>
        </w:rPr>
        <w:t>。</w:t>
      </w:r>
    </w:p>
    <w:p>
      <w:pPr>
        <w:wordWrap w:val="0"/>
        <w:spacing w:line="420" w:lineRule="exact"/>
        <w:ind w:firstLine="480" w:firstLineChars="200"/>
        <w:rPr>
          <w:sz w:val="24"/>
        </w:rPr>
      </w:pPr>
      <w:r>
        <w:rPr>
          <w:sz w:val="24"/>
        </w:rPr>
        <w:t>3</w:t>
      </w:r>
      <w:r>
        <w:rPr>
          <w:rFonts w:hint="eastAsia"/>
          <w:sz w:val="24"/>
        </w:rPr>
        <w:t>、污染物排放情况</w:t>
      </w:r>
    </w:p>
    <w:p>
      <w:pPr>
        <w:wordWrap w:val="0"/>
        <w:spacing w:line="420" w:lineRule="exact"/>
        <w:ind w:firstLine="480" w:firstLineChars="200"/>
        <w:rPr>
          <w:sz w:val="24"/>
        </w:rPr>
      </w:pPr>
      <w:r>
        <w:rPr>
          <w:sz w:val="24"/>
        </w:rPr>
        <w:t>本项目无废气</w:t>
      </w:r>
      <w:r>
        <w:rPr>
          <w:rFonts w:hint="eastAsia"/>
          <w:sz w:val="24"/>
        </w:rPr>
        <w:t>废水</w:t>
      </w:r>
      <w:r>
        <w:rPr>
          <w:sz w:val="24"/>
        </w:rPr>
        <w:t>外排，运行过程中产生的</w:t>
      </w:r>
      <w:r>
        <w:rPr>
          <w:rFonts w:hint="eastAsia"/>
          <w:sz w:val="24"/>
        </w:rPr>
        <w:t>固体废物全部得到合理处置</w:t>
      </w:r>
      <w:r>
        <w:rPr>
          <w:sz w:val="24"/>
        </w:rPr>
        <w:t>，噪声对区域声环境影响较小</w:t>
      </w:r>
      <w:r>
        <w:rPr>
          <w:rFonts w:hint="eastAsia"/>
          <w:sz w:val="24"/>
        </w:rPr>
        <w:t>，</w:t>
      </w:r>
      <w:r>
        <w:rPr>
          <w:sz w:val="24"/>
        </w:rPr>
        <w:t>所以各污染物均可实现达标排放。</w:t>
      </w:r>
    </w:p>
    <w:p>
      <w:pPr>
        <w:wordWrap w:val="0"/>
        <w:spacing w:line="420" w:lineRule="exact"/>
        <w:ind w:firstLine="480" w:firstLineChars="200"/>
        <w:rPr>
          <w:sz w:val="24"/>
        </w:rPr>
      </w:pPr>
      <w:r>
        <w:rPr>
          <w:sz w:val="24"/>
        </w:rPr>
        <w:t>4</w:t>
      </w:r>
      <w:r>
        <w:rPr>
          <w:rFonts w:hint="eastAsia"/>
          <w:sz w:val="24"/>
        </w:rPr>
        <w:t>、主要环境影响</w:t>
      </w:r>
    </w:p>
    <w:p>
      <w:pPr>
        <w:wordWrap w:val="0"/>
        <w:spacing w:line="420" w:lineRule="exact"/>
        <w:ind w:firstLine="480" w:firstLineChars="200"/>
        <w:rPr>
          <w:sz w:val="24"/>
        </w:rPr>
      </w:pPr>
      <w:r>
        <w:rPr>
          <w:sz w:val="24"/>
        </w:rPr>
        <w:t>本项目运行过程中对区域环境空气、水环境和声环境影响较小，且固体废物能得到合理处理。本项目施工期采取一系列生态保护和水土保持措施，可有效减轻工程施工对评价区的生态影响，减小施工造成的土壤侵蚀，使本工程对生态环境的影响和工程造成的土壤侵蚀减少到最小。项目建成后采用当地的草种对影响区域及时进行植被恢复。因此，运行期电站对生态环境的影响较小。</w:t>
      </w:r>
    </w:p>
    <w:p>
      <w:pPr>
        <w:wordWrap w:val="0"/>
        <w:spacing w:line="420" w:lineRule="exact"/>
        <w:ind w:firstLine="480" w:firstLineChars="200"/>
        <w:rPr>
          <w:sz w:val="24"/>
        </w:rPr>
      </w:pPr>
      <w:r>
        <w:rPr>
          <w:sz w:val="24"/>
        </w:rPr>
        <w:t>所以本项目对当地的环境质量影响较小，工程建成后周围环境质量基本维持现状。</w:t>
      </w:r>
    </w:p>
    <w:p>
      <w:pPr>
        <w:wordWrap w:val="0"/>
        <w:spacing w:line="420" w:lineRule="exact"/>
        <w:ind w:firstLine="480" w:firstLineChars="200"/>
        <w:rPr>
          <w:sz w:val="24"/>
        </w:rPr>
      </w:pPr>
      <w:r>
        <w:rPr>
          <w:rFonts w:hint="eastAsia"/>
          <w:sz w:val="24"/>
        </w:rPr>
        <w:t>5、环境保护措施</w:t>
      </w:r>
    </w:p>
    <w:p>
      <w:pPr>
        <w:wordWrap w:val="0"/>
        <w:spacing w:line="420" w:lineRule="exact"/>
        <w:ind w:firstLine="480" w:firstLineChars="200"/>
        <w:rPr>
          <w:sz w:val="24"/>
        </w:rPr>
      </w:pPr>
      <w:r>
        <w:rPr>
          <w:rFonts w:hint="eastAsia"/>
          <w:sz w:val="24"/>
        </w:rPr>
        <w:t>本项目环境保护措施详见环境影响分析部分。</w:t>
      </w:r>
    </w:p>
    <w:p>
      <w:pPr>
        <w:wordWrap w:val="0"/>
        <w:spacing w:line="420" w:lineRule="exact"/>
        <w:ind w:firstLine="480" w:firstLineChars="200"/>
        <w:rPr>
          <w:sz w:val="24"/>
        </w:rPr>
      </w:pPr>
      <w:r>
        <w:rPr>
          <w:rFonts w:hint="eastAsia"/>
          <w:sz w:val="24"/>
        </w:rPr>
        <w:t>在采取环评提出的各项环保措施后，本项目对环境的影响较小。</w:t>
      </w:r>
    </w:p>
    <w:p>
      <w:pPr>
        <w:wordWrap w:val="0"/>
        <w:spacing w:line="420" w:lineRule="exact"/>
        <w:ind w:firstLine="480" w:firstLineChars="200"/>
        <w:rPr>
          <w:sz w:val="24"/>
        </w:rPr>
      </w:pPr>
      <w:r>
        <w:rPr>
          <w:rFonts w:hint="eastAsia"/>
          <w:sz w:val="24"/>
        </w:rPr>
        <w:t>6、评价结论</w:t>
      </w:r>
    </w:p>
    <w:p>
      <w:pPr>
        <w:wordWrap w:val="0"/>
        <w:spacing w:line="420" w:lineRule="exact"/>
        <w:ind w:firstLine="482" w:firstLineChars="200"/>
        <w:rPr>
          <w:b/>
          <w:sz w:val="24"/>
        </w:rPr>
      </w:pPr>
    </w:p>
    <w:p>
      <w:pPr>
        <w:wordWrap w:val="0"/>
        <w:spacing w:line="420" w:lineRule="exact"/>
        <w:ind w:firstLine="482" w:firstLineChars="200"/>
        <w:rPr>
          <w:b/>
          <w:sz w:val="24"/>
        </w:rPr>
      </w:pPr>
      <w:r>
        <w:rPr>
          <w:b/>
          <w:sz w:val="24"/>
        </w:rPr>
        <w:t>综上所述，</w:t>
      </w:r>
      <w:r>
        <w:rPr>
          <w:rFonts w:hint="eastAsia"/>
          <w:b/>
          <w:sz w:val="24"/>
        </w:rPr>
        <w:t>太原重工股份有限公司岢岚6MW分散式风电项目</w:t>
      </w:r>
      <w:r>
        <w:rPr>
          <w:b/>
          <w:sz w:val="24"/>
        </w:rPr>
        <w:t>，属清洁能源开发利用项目，符合清洁生产原则，符合国家产业政策，符合山西省和</w:t>
      </w:r>
      <w:r>
        <w:rPr>
          <w:rFonts w:hint="eastAsia"/>
          <w:b/>
          <w:sz w:val="24"/>
        </w:rPr>
        <w:t>岢岚县</w:t>
      </w:r>
      <w:r>
        <w:rPr>
          <w:b/>
          <w:sz w:val="24"/>
        </w:rPr>
        <w:t>的发展计划，经采取报告表中提出的污染治理和生态保护与恢复措施后，项目建设不会对区域环境造成明显影响，从长远发展和环境保护角度看，该项目是可行的。</w:t>
      </w:r>
    </w:p>
    <w:tbl>
      <w:tblPr>
        <w:tblW w:w="8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8582"/>
      </w:tblGrid>
      <w:tr>
        <w:trPr>
          <w:trHeight w:val="13047" w:hRule="atLeast"/>
          <w:jc w:val="center"/>
        </w:trPr>
        <w:tc>
          <w:tcPr>
            <w:tcW w:w="8582" w:type="dxa"/>
            <w:tcBorders>
              <w:top w:val="single" w:color="auto" w:sz="4" w:space="0"/>
              <w:left w:val="single" w:color="auto" w:sz="4" w:space="0"/>
              <w:bottom w:val="single" w:color="auto" w:sz="4" w:space="0"/>
              <w:right w:val="single" w:color="auto" w:sz="4" w:space="0"/>
            </w:tcBorders>
            <w:vAlign w:val="top"/>
          </w:tcPr>
          <w:p>
            <w:pPr>
              <w:wordWrap w:val="0"/>
              <w:rPr>
                <w:sz w:val="28"/>
              </w:rPr>
            </w:pPr>
            <w:r>
              <w:rPr>
                <w:sz w:val="28"/>
              </w:rPr>
              <w:t>下一级环境保护行政主管部门审查意见：</w:t>
            </w: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p>
          <w:p>
            <w:pPr>
              <w:pStyle w:val="15"/>
              <w:wordWrap w:val="0"/>
              <w:spacing w:line="360" w:lineRule="auto"/>
              <w:ind w:firstLine="140" w:firstLineChars="50"/>
              <w:rPr>
                <w:rFonts w:ascii="Times New Roman" w:hAnsi="Times New Roman" w:cs="Times New Roman"/>
                <w:sz w:val="28"/>
                <w:szCs w:val="28"/>
              </w:rPr>
            </w:pPr>
            <w:r>
              <w:rPr>
                <w:rFonts w:ascii="Times New Roman" w:hAnsi="Times New Roman" w:cs="Times New Roman"/>
                <w:sz w:val="28"/>
                <w:szCs w:val="28"/>
              </w:rPr>
              <w:t>经办人：</w:t>
            </w:r>
          </w:p>
          <w:p>
            <w:pPr>
              <w:pStyle w:val="15"/>
              <w:wordWrap w:val="0"/>
              <w:spacing w:line="360" w:lineRule="auto"/>
              <w:rPr>
                <w:rFonts w:ascii="Times New Roman" w:hAnsi="Times New Roman" w:cs="Times New Roman"/>
                <w:sz w:val="28"/>
                <w:szCs w:val="28"/>
              </w:rPr>
            </w:pPr>
            <w:r>
              <w:rPr>
                <w:rFonts w:ascii="Times New Roman" w:hAnsi="Times New Roman" w:cs="Times New Roman"/>
                <w:sz w:val="28"/>
                <w:szCs w:val="28"/>
              </w:rPr>
              <w:t xml:space="preserve">                                          公章</w:t>
            </w:r>
          </w:p>
          <w:p>
            <w:pPr>
              <w:pStyle w:val="15"/>
              <w:wordWrap w:val="0"/>
              <w:spacing w:line="360" w:lineRule="auto"/>
              <w:rPr>
                <w:rFonts w:ascii="Times New Roman" w:hAnsi="Times New Roman" w:cs="Times New Roman"/>
                <w:sz w:val="28"/>
                <w:szCs w:val="28"/>
              </w:rPr>
            </w:pPr>
          </w:p>
          <w:p>
            <w:pPr>
              <w:pStyle w:val="15"/>
              <w:wordWrap w:val="0"/>
              <w:spacing w:line="360" w:lineRule="auto"/>
              <w:rPr>
                <w:rFonts w:ascii="Times New Roman" w:hAnsi="Times New Roman" w:cs="Times New Roman"/>
                <w:sz w:val="28"/>
                <w:szCs w:val="28"/>
              </w:rPr>
            </w:pPr>
            <w:r>
              <w:rPr>
                <w:rFonts w:ascii="Times New Roman" w:hAnsi="Times New Roman" w:cs="Times New Roman"/>
                <w:sz w:val="28"/>
                <w:szCs w:val="28"/>
              </w:rPr>
              <w:t xml:space="preserve">                                    年     月    日</w:t>
            </w:r>
          </w:p>
        </w:tc>
      </w:tr>
      <w:tr>
        <w:trPr>
          <w:trHeight w:val="13047" w:hRule="atLeast"/>
          <w:jc w:val="center"/>
        </w:trPr>
        <w:tc>
          <w:tcPr>
            <w:tcW w:w="8582" w:type="dxa"/>
            <w:tcBorders>
              <w:top w:val="single" w:color="auto" w:sz="4" w:space="0"/>
              <w:left w:val="single" w:color="auto" w:sz="4" w:space="0"/>
              <w:bottom w:val="single" w:color="auto" w:sz="4" w:space="0"/>
              <w:right w:val="single" w:color="auto" w:sz="4" w:space="0"/>
            </w:tcBorders>
            <w:vAlign w:val="top"/>
          </w:tcPr>
          <w:p>
            <w:pPr>
              <w:pStyle w:val="15"/>
              <w:wordWrap w:val="0"/>
              <w:spacing w:line="360" w:lineRule="auto"/>
              <w:rPr>
                <w:rFonts w:ascii="Times New Roman" w:hAnsi="Times New Roman" w:cs="Times New Roman"/>
                <w:sz w:val="28"/>
                <w:szCs w:val="28"/>
              </w:rPr>
            </w:pPr>
            <w:r>
              <w:rPr>
                <w:rFonts w:ascii="Times New Roman" w:hAnsi="Times New Roman" w:cs="Times New Roman"/>
                <w:sz w:val="28"/>
                <w:szCs w:val="28"/>
              </w:rPr>
              <w:t>审批意见:</w:t>
            </w: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rPr>
            </w:pPr>
          </w:p>
          <w:p>
            <w:pPr>
              <w:pStyle w:val="15"/>
              <w:wordWrap w:val="0"/>
              <w:spacing w:line="360" w:lineRule="auto"/>
              <w:rPr>
                <w:rFonts w:ascii="Times New Roman" w:hAnsi="Times New Roman" w:cs="Times New Roman"/>
                <w:sz w:val="28"/>
                <w:szCs w:val="28"/>
              </w:rPr>
            </w:pPr>
            <w:r>
              <w:rPr>
                <w:rFonts w:ascii="Times New Roman" w:hAnsi="Times New Roman" w:cs="Times New Roman"/>
                <w:sz w:val="28"/>
                <w:szCs w:val="28"/>
              </w:rPr>
              <w:t>经办人：</w:t>
            </w:r>
          </w:p>
          <w:p>
            <w:pPr>
              <w:pStyle w:val="15"/>
              <w:wordWrap w:val="0"/>
              <w:spacing w:line="360" w:lineRule="auto"/>
              <w:rPr>
                <w:rFonts w:ascii="Times New Roman" w:hAnsi="Times New Roman" w:cs="Times New Roman"/>
                <w:sz w:val="28"/>
                <w:szCs w:val="28"/>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8"/>
                <w:szCs w:val="28"/>
              </w:rPr>
              <w:t>公章</w:t>
            </w:r>
          </w:p>
          <w:p>
            <w:pPr>
              <w:pStyle w:val="15"/>
              <w:wordWrap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pPr>
              <w:pStyle w:val="15"/>
              <w:wordWrap w:val="0"/>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年     月    日</w:t>
            </w:r>
          </w:p>
          <w:p>
            <w:pPr>
              <w:pStyle w:val="15"/>
              <w:wordWrap w:val="0"/>
              <w:spacing w:line="360" w:lineRule="auto"/>
              <w:rPr>
                <w:rFonts w:ascii="Times New Roman" w:hAnsi="Times New Roman" w:cs="Times New Roman"/>
                <w:sz w:val="28"/>
                <w:szCs w:val="28"/>
              </w:rPr>
            </w:pPr>
            <w:r>
              <w:rPr>
                <w:rFonts w:hint="eastAsia" w:ascii="Times New Roman" w:hAnsi="Times New Roman" w:cs="Times New Roman"/>
                <w:sz w:val="28"/>
                <w:szCs w:val="28"/>
              </w:rPr>
              <w:t>注释</w:t>
            </w:r>
          </w:p>
          <w:p>
            <w:pPr>
              <w:pStyle w:val="15"/>
              <w:spacing w:line="360" w:lineRule="auto"/>
              <w:rPr>
                <w:rFonts w:ascii="Times New Roman" w:hAnsi="Times New Roman"/>
                <w:sz w:val="24"/>
              </w:rPr>
            </w:pPr>
            <w:r>
              <w:rPr>
                <w:rFonts w:ascii="Times New Roman" w:hAnsi="Times New Roman"/>
                <w:sz w:val="24"/>
              </w:rPr>
              <w:t>附图</w:t>
            </w:r>
          </w:p>
          <w:p>
            <w:pPr>
              <w:pStyle w:val="15"/>
              <w:spacing w:line="360" w:lineRule="auto"/>
              <w:rPr>
                <w:rFonts w:ascii="Times New Roman" w:hAnsi="Times New Roman"/>
                <w:sz w:val="24"/>
              </w:rPr>
            </w:pPr>
            <w:r>
              <w:rPr>
                <w:rFonts w:ascii="Times New Roman" w:hAnsi="Times New Roman"/>
                <w:sz w:val="24"/>
              </w:rPr>
              <w:t>附图 1：地理位置图</w:t>
            </w:r>
          </w:p>
          <w:p>
            <w:pPr>
              <w:pStyle w:val="15"/>
              <w:spacing w:line="360" w:lineRule="auto"/>
              <w:rPr>
                <w:rFonts w:ascii="Times New Roman" w:hAnsi="Times New Roman"/>
                <w:sz w:val="24"/>
              </w:rPr>
            </w:pPr>
            <w:r>
              <w:rPr>
                <w:rFonts w:ascii="Times New Roman" w:hAnsi="Times New Roman"/>
                <w:sz w:val="24"/>
              </w:rPr>
              <w:t>附图 2：风机、集电线路和施工道路布置图</w:t>
            </w:r>
          </w:p>
          <w:p>
            <w:pPr>
              <w:pStyle w:val="15"/>
              <w:spacing w:line="360" w:lineRule="auto"/>
              <w:rPr>
                <w:rFonts w:ascii="Times New Roman" w:hAnsi="Times New Roman"/>
                <w:sz w:val="24"/>
              </w:rPr>
            </w:pPr>
            <w:r>
              <w:rPr>
                <w:rFonts w:ascii="Times New Roman" w:hAnsi="Times New Roman"/>
                <w:sz w:val="24"/>
              </w:rPr>
              <w:t>附图 3</w:t>
            </w:r>
            <w:r>
              <w:rPr>
                <w:rFonts w:hint="eastAsia" w:ascii="Times New Roman" w:hAnsi="Times New Roman"/>
                <w:sz w:val="24"/>
              </w:rPr>
              <w:t>：</w:t>
            </w:r>
            <w:r>
              <w:rPr>
                <w:rFonts w:ascii="Times New Roman" w:hAnsi="Times New Roman"/>
                <w:sz w:val="24"/>
              </w:rPr>
              <w:t>施工营地平面布置图</w:t>
            </w:r>
          </w:p>
          <w:p>
            <w:pPr>
              <w:pStyle w:val="15"/>
              <w:spacing w:line="360" w:lineRule="auto"/>
              <w:rPr>
                <w:rFonts w:ascii="Times New Roman" w:hAnsi="Times New Roman"/>
                <w:sz w:val="24"/>
              </w:rPr>
            </w:pPr>
            <w:r>
              <w:rPr>
                <w:rFonts w:ascii="Times New Roman" w:hAnsi="Times New Roman"/>
                <w:sz w:val="24"/>
              </w:rPr>
              <w:t>附图 4：地表水系图</w:t>
            </w:r>
          </w:p>
          <w:p>
            <w:pPr>
              <w:pStyle w:val="15"/>
              <w:spacing w:line="360" w:lineRule="auto"/>
              <w:rPr>
                <w:rFonts w:ascii="Times New Roman" w:hAnsi="Times New Roman"/>
                <w:sz w:val="24"/>
              </w:rPr>
            </w:pPr>
            <w:r>
              <w:rPr>
                <w:rFonts w:ascii="Times New Roman" w:hAnsi="Times New Roman"/>
                <w:sz w:val="24"/>
              </w:rPr>
              <w:t>附图 5：天桥泉域图</w:t>
            </w:r>
          </w:p>
          <w:p>
            <w:pPr>
              <w:pStyle w:val="15"/>
              <w:spacing w:line="360" w:lineRule="auto"/>
              <w:rPr>
                <w:rFonts w:ascii="Times New Roman" w:hAnsi="Times New Roman"/>
                <w:sz w:val="24"/>
              </w:rPr>
            </w:pPr>
            <w:r>
              <w:rPr>
                <w:rFonts w:ascii="Times New Roman" w:hAnsi="Times New Roman"/>
                <w:sz w:val="24"/>
              </w:rPr>
              <w:t>附图 6：</w:t>
            </w:r>
            <w:r>
              <w:rPr>
                <w:rFonts w:hint="eastAsia" w:ascii="Times New Roman" w:hAnsi="Times New Roman"/>
                <w:sz w:val="24"/>
              </w:rPr>
              <w:t>岢岚县水源地图</w:t>
            </w:r>
          </w:p>
          <w:p>
            <w:pPr>
              <w:pStyle w:val="15"/>
              <w:spacing w:line="360" w:lineRule="auto"/>
              <w:rPr>
                <w:rFonts w:ascii="Times New Roman" w:hAnsi="Times New Roman"/>
                <w:sz w:val="24"/>
              </w:rPr>
            </w:pPr>
            <w:r>
              <w:rPr>
                <w:rFonts w:ascii="Times New Roman" w:hAnsi="Times New Roman"/>
                <w:sz w:val="24"/>
              </w:rPr>
              <w:t>附图 7：</w:t>
            </w:r>
            <w:r>
              <w:rPr>
                <w:rFonts w:hint="eastAsia" w:ascii="Times New Roman" w:hAnsi="Times New Roman"/>
                <w:sz w:val="24"/>
              </w:rPr>
              <w:t>项目与芦芽山和管涔山森林公园位置关系图；</w:t>
            </w:r>
          </w:p>
          <w:p>
            <w:pPr>
              <w:pStyle w:val="15"/>
              <w:spacing w:line="360" w:lineRule="auto"/>
              <w:rPr>
                <w:rFonts w:ascii="Times New Roman" w:hAnsi="Times New Roman"/>
                <w:sz w:val="24"/>
              </w:rPr>
            </w:pPr>
            <w:r>
              <w:rPr>
                <w:rFonts w:hint="eastAsia" w:ascii="Times New Roman" w:hAnsi="Times New Roman"/>
                <w:sz w:val="24"/>
              </w:rPr>
              <w:t>附图 8：岢岚县生态功能区划图</w:t>
            </w:r>
          </w:p>
          <w:p>
            <w:pPr>
              <w:pStyle w:val="15"/>
              <w:spacing w:line="360" w:lineRule="auto"/>
              <w:rPr>
                <w:rFonts w:ascii="Times New Roman" w:hAnsi="Times New Roman"/>
                <w:sz w:val="24"/>
              </w:rPr>
            </w:pPr>
            <w:r>
              <w:rPr>
                <w:rFonts w:hint="eastAsia" w:ascii="Times New Roman" w:hAnsi="Times New Roman"/>
                <w:sz w:val="24"/>
              </w:rPr>
              <w:t>附图 9：岢岚县生态经济区划图</w:t>
            </w:r>
          </w:p>
          <w:p>
            <w:pPr>
              <w:pStyle w:val="15"/>
              <w:spacing w:line="360" w:lineRule="auto"/>
              <w:rPr>
                <w:rFonts w:ascii="Times New Roman" w:hAnsi="Times New Roman"/>
                <w:sz w:val="24"/>
              </w:rPr>
            </w:pPr>
            <w:r>
              <w:rPr>
                <w:rFonts w:hint="eastAsia" w:ascii="Times New Roman" w:hAnsi="Times New Roman"/>
                <w:sz w:val="24"/>
              </w:rPr>
              <w:t>附图10：山西省主体功能区划图</w:t>
            </w:r>
          </w:p>
          <w:p>
            <w:pPr>
              <w:pStyle w:val="15"/>
              <w:spacing w:line="360" w:lineRule="auto"/>
              <w:rPr>
                <w:rFonts w:ascii="Times New Roman" w:hAnsi="Times New Roman"/>
                <w:sz w:val="24"/>
              </w:rPr>
            </w:pPr>
            <w:r>
              <w:rPr>
                <w:rFonts w:hint="eastAsia" w:ascii="Times New Roman" w:hAnsi="Times New Roman"/>
                <w:sz w:val="24"/>
              </w:rPr>
              <w:t>附图 11：四邻关系及敏感目标分布图</w:t>
            </w:r>
          </w:p>
          <w:p>
            <w:pPr>
              <w:pStyle w:val="15"/>
              <w:spacing w:line="360" w:lineRule="auto"/>
              <w:rPr>
                <w:rFonts w:ascii="Times New Roman" w:hAnsi="Times New Roman"/>
                <w:sz w:val="24"/>
              </w:rPr>
            </w:pPr>
            <w:r>
              <w:rPr>
                <w:rFonts w:hint="eastAsia" w:ascii="Times New Roman" w:hAnsi="Times New Roman"/>
                <w:sz w:val="24"/>
              </w:rPr>
              <w:t>附图 12：土地利用现状图</w:t>
            </w:r>
          </w:p>
          <w:p>
            <w:pPr>
              <w:pStyle w:val="15"/>
              <w:spacing w:line="360" w:lineRule="auto"/>
              <w:rPr>
                <w:rFonts w:ascii="Times New Roman" w:hAnsi="Times New Roman"/>
                <w:sz w:val="24"/>
              </w:rPr>
            </w:pPr>
            <w:r>
              <w:rPr>
                <w:rFonts w:hint="eastAsia" w:ascii="Times New Roman" w:hAnsi="Times New Roman"/>
                <w:sz w:val="24"/>
              </w:rPr>
              <w:t>附图 13：植被类型分布图</w:t>
            </w:r>
          </w:p>
          <w:p>
            <w:pPr>
              <w:pStyle w:val="15"/>
              <w:spacing w:line="360" w:lineRule="auto"/>
              <w:rPr>
                <w:rFonts w:ascii="Times New Roman" w:hAnsi="Times New Roman"/>
                <w:sz w:val="24"/>
              </w:rPr>
            </w:pPr>
            <w:r>
              <w:rPr>
                <w:rFonts w:hint="eastAsia" w:ascii="Times New Roman" w:hAnsi="Times New Roman"/>
                <w:sz w:val="24"/>
              </w:rPr>
              <w:t>附图 14：土壤侵蚀结果图</w:t>
            </w:r>
          </w:p>
          <w:p>
            <w:pPr>
              <w:pStyle w:val="15"/>
              <w:spacing w:line="360" w:lineRule="auto"/>
              <w:rPr>
                <w:rFonts w:ascii="Times New Roman" w:hAnsi="Times New Roman"/>
                <w:sz w:val="24"/>
              </w:rPr>
            </w:pPr>
            <w:r>
              <w:rPr>
                <w:rFonts w:hint="eastAsia" w:ascii="Times New Roman" w:hAnsi="Times New Roman"/>
                <w:sz w:val="24"/>
              </w:rPr>
              <w:t>附图 15：</w:t>
            </w:r>
            <w:r>
              <w:rPr>
                <w:rFonts w:ascii="Times New Roman" w:hAnsi="Times New Roman"/>
                <w:sz w:val="24"/>
              </w:rPr>
              <w:t>典型生态保护措施平面示意图</w:t>
            </w:r>
          </w:p>
          <w:p>
            <w:pPr>
              <w:pStyle w:val="15"/>
              <w:spacing w:line="360" w:lineRule="auto"/>
              <w:rPr>
                <w:rFonts w:ascii="Times New Roman" w:hAnsi="Times New Roman"/>
                <w:sz w:val="24"/>
              </w:rPr>
            </w:pPr>
          </w:p>
          <w:p>
            <w:pPr>
              <w:pStyle w:val="15"/>
              <w:spacing w:line="360" w:lineRule="auto"/>
              <w:rPr>
                <w:rFonts w:ascii="Times New Roman" w:hAnsi="Times New Roman"/>
                <w:sz w:val="24"/>
              </w:rPr>
            </w:pPr>
            <w:r>
              <w:rPr>
                <w:rFonts w:ascii="Times New Roman" w:hAnsi="Times New Roman"/>
                <w:sz w:val="24"/>
              </w:rPr>
              <w:t>附件</w:t>
            </w:r>
          </w:p>
          <w:p>
            <w:pPr>
              <w:pStyle w:val="15"/>
              <w:spacing w:line="360" w:lineRule="auto"/>
              <w:rPr>
                <w:rFonts w:ascii="Times New Roman" w:hAnsi="Times New Roman"/>
                <w:sz w:val="24"/>
              </w:rPr>
            </w:pPr>
            <w:r>
              <w:rPr>
                <w:rFonts w:ascii="Times New Roman" w:hAnsi="Times New Roman"/>
                <w:sz w:val="24"/>
              </w:rPr>
              <w:t>附件</w:t>
            </w:r>
            <w:r>
              <w:rPr>
                <w:rFonts w:hint="eastAsia" w:ascii="Times New Roman" w:hAnsi="Times New Roman"/>
                <w:sz w:val="24"/>
              </w:rPr>
              <w:t xml:space="preserve"> 1</w:t>
            </w:r>
            <w:r>
              <w:rPr>
                <w:rFonts w:ascii="Times New Roman" w:hAnsi="Times New Roman"/>
                <w:sz w:val="24"/>
              </w:rPr>
              <w:t>：环评委托书</w:t>
            </w:r>
          </w:p>
          <w:p>
            <w:pPr>
              <w:pStyle w:val="15"/>
              <w:spacing w:line="360" w:lineRule="auto"/>
              <w:rPr>
                <w:rFonts w:ascii="Times New Roman" w:hAnsi="Times New Roman"/>
                <w:sz w:val="24"/>
              </w:rPr>
            </w:pPr>
            <w:r>
              <w:rPr>
                <w:rFonts w:ascii="Times New Roman" w:hAnsi="Times New Roman"/>
                <w:sz w:val="24"/>
              </w:rPr>
              <w:t>附件</w:t>
            </w:r>
            <w:r>
              <w:rPr>
                <w:rFonts w:hint="eastAsia" w:ascii="Times New Roman" w:hAnsi="Times New Roman"/>
                <w:sz w:val="24"/>
              </w:rPr>
              <w:t xml:space="preserve"> 2</w:t>
            </w:r>
            <w:r>
              <w:rPr>
                <w:rFonts w:ascii="Times New Roman" w:hAnsi="Times New Roman"/>
                <w:sz w:val="24"/>
              </w:rPr>
              <w:t>：</w:t>
            </w:r>
            <w:r>
              <w:rPr>
                <w:rFonts w:hint="eastAsia" w:ascii="Times New Roman" w:hAnsi="Times New Roman"/>
                <w:sz w:val="24"/>
              </w:rPr>
              <w:t>关于印发《山西省‘十三五’分散式风电开发建设方案》的通知</w:t>
            </w:r>
          </w:p>
          <w:p>
            <w:pPr>
              <w:pStyle w:val="15"/>
              <w:spacing w:line="360" w:lineRule="auto"/>
              <w:rPr>
                <w:rFonts w:ascii="Times New Roman" w:hAnsi="Times New Roman"/>
                <w:sz w:val="24"/>
              </w:rPr>
            </w:pPr>
            <w:r>
              <w:rPr>
                <w:rFonts w:ascii="Times New Roman" w:hAnsi="Times New Roman"/>
                <w:sz w:val="24"/>
              </w:rPr>
              <w:t>附件</w:t>
            </w:r>
            <w:r>
              <w:rPr>
                <w:rFonts w:hint="eastAsia" w:ascii="Times New Roman" w:hAnsi="Times New Roman"/>
                <w:sz w:val="24"/>
              </w:rPr>
              <w:t xml:space="preserve"> 3</w:t>
            </w:r>
            <w:r>
              <w:rPr>
                <w:rFonts w:ascii="Times New Roman" w:hAnsi="Times New Roman"/>
                <w:sz w:val="24"/>
              </w:rPr>
              <w:t>：</w:t>
            </w:r>
            <w:r>
              <w:rPr>
                <w:rFonts w:hint="eastAsia" w:ascii="Times New Roman" w:hAnsi="Times New Roman"/>
                <w:sz w:val="24"/>
              </w:rPr>
              <w:t>风电场选址意见</w:t>
            </w:r>
          </w:p>
          <w:p>
            <w:pPr>
              <w:pStyle w:val="15"/>
              <w:spacing w:line="360" w:lineRule="auto"/>
              <w:rPr>
                <w:rFonts w:ascii="Times New Roman" w:hAnsi="Times New Roman"/>
                <w:sz w:val="24"/>
              </w:rPr>
            </w:pPr>
            <w:r>
              <w:rPr>
                <w:rFonts w:hint="eastAsia" w:ascii="Times New Roman" w:hAnsi="Times New Roman"/>
                <w:sz w:val="24"/>
              </w:rPr>
              <w:t>附件 4：</w:t>
            </w:r>
            <w:r>
              <w:rPr>
                <w:rFonts w:ascii="Times New Roman" w:hAnsi="Times New Roman"/>
                <w:sz w:val="24"/>
              </w:rPr>
              <w:t>声环境质量监测报告</w:t>
            </w:r>
          </w:p>
          <w:p>
            <w:pPr>
              <w:pStyle w:val="15"/>
              <w:spacing w:line="360" w:lineRule="auto"/>
              <w:rPr>
                <w:rFonts w:ascii="Times New Roman" w:hAnsi="Times New Roman"/>
                <w:sz w:val="24"/>
              </w:rPr>
            </w:pPr>
            <w:r>
              <w:rPr>
                <w:rFonts w:hint="eastAsia" w:ascii="Times New Roman" w:hAnsi="Times New Roman"/>
                <w:sz w:val="24"/>
              </w:rPr>
              <w:t>附件 5：关于忻州市2018年风电开发建设项目涉及生态保护红线划定方案的报告</w:t>
            </w:r>
          </w:p>
          <w:p>
            <w:pPr>
              <w:pStyle w:val="15"/>
              <w:spacing w:line="360" w:lineRule="auto"/>
              <w:rPr>
                <w:rFonts w:ascii="Times New Roman" w:hAnsi="Times New Roman"/>
                <w:sz w:val="24"/>
              </w:rPr>
            </w:pPr>
            <w:r>
              <w:rPr>
                <w:rFonts w:hint="eastAsia" w:ascii="Times New Roman" w:hAnsi="Times New Roman"/>
                <w:sz w:val="24"/>
              </w:rPr>
              <w:t>附件 6：专家技术审查意见</w:t>
            </w:r>
          </w:p>
          <w:p>
            <w:pPr>
              <w:pStyle w:val="15"/>
              <w:spacing w:line="360" w:lineRule="auto"/>
              <w:rPr>
                <w:rFonts w:ascii="Times New Roman" w:hAnsi="Times New Roman"/>
                <w:sz w:val="24"/>
              </w:rPr>
            </w:pPr>
          </w:p>
          <w:p>
            <w:pPr>
              <w:pStyle w:val="15"/>
              <w:wordWrap w:val="0"/>
              <w:spacing w:line="360" w:lineRule="auto"/>
              <w:rPr>
                <w:rFonts w:ascii="Times New Roman" w:hAnsi="Times New Roman" w:cs="Times New Roman"/>
                <w:sz w:val="28"/>
                <w:szCs w:val="28"/>
              </w:rPr>
            </w:pPr>
          </w:p>
        </w:tc>
      </w:tr>
    </w:tbl>
    <w:p>
      <w:pPr>
        <w:tabs>
          <w:tab w:val="left" w:pos="3261"/>
        </w:tabs>
        <w:wordWrap w:val="0"/>
        <w:sectPr>
          <w:pgSz w:w="11906" w:h="16838"/>
          <w:pgMar w:top="1418" w:right="1418" w:bottom="1418" w:left="1418" w:header="851" w:footer="992" w:gutter="0"/>
          <w:cols w:space="720" w:num="1"/>
          <w:docGrid w:type="lines" w:linePitch="312"/>
        </w:sectPr>
      </w:pPr>
    </w:p>
    <w:p>
      <w:pPr>
        <w:wordWrap w:val="0"/>
        <w:spacing w:line="440" w:lineRule="exact"/>
        <w:rPr>
          <w:sz w:val="24"/>
        </w:rPr>
      </w:pPr>
    </w:p>
    <w:p>
      <w:pPr>
        <w:wordWrap w:val="0"/>
        <w:spacing w:line="440" w:lineRule="exact"/>
        <w:rPr>
          <w:sz w:val="24"/>
        </w:rPr>
      </w:pPr>
    </w:p>
    <w:p>
      <w:pPr>
        <w:wordWrap w:val="0"/>
        <w:spacing w:line="440" w:lineRule="exact"/>
        <w:rPr>
          <w:sz w:val="24"/>
        </w:rPr>
      </w:pPr>
    </w:p>
    <w:p>
      <w:pPr>
        <w:spacing w:beforeLines="200" w:line="520" w:lineRule="exact"/>
        <w:jc w:val="center"/>
        <w:rPr>
          <w:rFonts w:eastAsia="楷体_GB2312"/>
          <w:b/>
          <w:spacing w:val="-20"/>
          <w:sz w:val="48"/>
          <w:szCs w:val="48"/>
        </w:rPr>
      </w:pPr>
      <w:r>
        <w:rPr>
          <w:rFonts w:hint="eastAsia" w:eastAsia="楷体_GB2312"/>
          <w:b/>
          <w:spacing w:val="-20"/>
          <w:sz w:val="48"/>
          <w:szCs w:val="48"/>
        </w:rPr>
        <w:t>太原重工股份有限公司岢岚6MW分散式风电项目</w:t>
      </w:r>
    </w:p>
    <w:p>
      <w:pPr>
        <w:wordWrap w:val="0"/>
        <w:spacing w:beforeLines="200" w:line="520" w:lineRule="exact"/>
        <w:jc w:val="center"/>
        <w:rPr>
          <w:rFonts w:eastAsia="楷体_GB2312"/>
          <w:b/>
          <w:spacing w:val="-20"/>
          <w:sz w:val="72"/>
          <w:szCs w:val="72"/>
        </w:rPr>
      </w:pPr>
      <w:r>
        <w:rPr>
          <w:rFonts w:hint="eastAsia" w:eastAsia="楷体_GB2312"/>
          <w:b/>
          <w:spacing w:val="-20"/>
          <w:sz w:val="72"/>
          <w:szCs w:val="72"/>
        </w:rPr>
        <w:t>环境影响专项评价报告</w:t>
      </w: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wordWrap w:val="0"/>
        <w:spacing w:line="440" w:lineRule="exact"/>
        <w:rPr>
          <w:sz w:val="24"/>
        </w:rPr>
      </w:pPr>
    </w:p>
    <w:p>
      <w:pPr>
        <w:spacing w:line="360" w:lineRule="auto"/>
        <w:jc w:val="center"/>
        <w:rPr>
          <w:b/>
          <w:bCs/>
          <w:sz w:val="32"/>
          <w:szCs w:val="32"/>
        </w:rPr>
      </w:pPr>
      <w:r>
        <w:rPr>
          <w:rFonts w:hint="eastAsia"/>
          <w:b/>
          <w:bCs/>
          <w:sz w:val="32"/>
          <w:szCs w:val="32"/>
        </w:rPr>
        <w:t>山西高腾环境科技有限公司</w:t>
      </w:r>
    </w:p>
    <w:p>
      <w:pPr>
        <w:wordWrap w:val="0"/>
        <w:spacing w:line="360" w:lineRule="auto"/>
        <w:jc w:val="center"/>
        <w:rPr>
          <w:b/>
          <w:sz w:val="28"/>
          <w:szCs w:val="28"/>
        </w:rPr>
      </w:pPr>
      <w:r>
        <w:rPr>
          <w:b/>
          <w:sz w:val="28"/>
          <w:szCs w:val="28"/>
        </w:rPr>
        <w:t>二〇一</w:t>
      </w:r>
      <w:r>
        <w:rPr>
          <w:rFonts w:hint="eastAsia"/>
          <w:b/>
          <w:sz w:val="28"/>
          <w:szCs w:val="28"/>
        </w:rPr>
        <w:t>八</w:t>
      </w:r>
      <w:r>
        <w:rPr>
          <w:b/>
          <w:sz w:val="28"/>
          <w:szCs w:val="28"/>
        </w:rPr>
        <w:t>年</w:t>
      </w:r>
      <w:r>
        <w:rPr>
          <w:rFonts w:hint="eastAsia"/>
          <w:b/>
          <w:sz w:val="28"/>
          <w:szCs w:val="28"/>
        </w:rPr>
        <w:t>十一</w:t>
      </w:r>
      <w:r>
        <w:rPr>
          <w:b/>
          <w:sz w:val="28"/>
          <w:szCs w:val="28"/>
        </w:rPr>
        <w:t>月</w:t>
      </w:r>
    </w:p>
    <w:p>
      <w:pPr>
        <w:wordWrap w:val="0"/>
      </w:pPr>
    </w:p>
    <w:p>
      <w:pPr>
        <w:wordWrap w:val="0"/>
      </w:pPr>
    </w:p>
    <w:p>
      <w:pPr>
        <w:wordWrap w:val="0"/>
      </w:pPr>
    </w:p>
    <w:p>
      <w:pPr>
        <w:wordWrap w:val="0"/>
        <w:sectPr>
          <w:footerReference r:id="rId8" w:type="default"/>
          <w:footerReference r:id="rId9" w:type="even"/>
          <w:pgSz w:w="11906" w:h="16838"/>
          <w:pgMar w:top="1440" w:right="1800" w:bottom="1440" w:left="1800" w:header="851" w:footer="992" w:gutter="0"/>
          <w:cols w:space="720" w:num="1"/>
          <w:docGrid w:type="lines" w:linePitch="312"/>
        </w:sectPr>
      </w:pPr>
      <w:bookmarkStart w:id="247" w:name="_Toc306712343"/>
    </w:p>
    <w:p>
      <w:pPr>
        <w:wordWrap w:val="0"/>
        <w:rPr>
          <w:b/>
          <w:bCs/>
          <w:caps/>
          <w:szCs w:val="22"/>
        </w:rPr>
      </w:pPr>
      <w:r>
        <w:rPr>
          <w:rFonts w:hint="eastAsia"/>
          <w:sz w:val="44"/>
          <w:szCs w:val="44"/>
        </w:rPr>
        <w:t>目  录</w:t>
      </w:r>
      <w:r>
        <w:fldChar w:fldCharType="begin"/>
      </w:r>
      <w:r>
        <w:instrText xml:space="preserve"> </w:instrText>
      </w:r>
      <w:r>
        <w:rPr>
          <w:rFonts w:hint="eastAsia"/>
        </w:rPr>
        <w:instrText xml:space="preserve">TOC \o "1-2" \h \z \u</w:instrText>
      </w:r>
      <w:r>
        <w:instrText xml:space="preserve"> </w:instrText>
      </w:r>
      <w:r>
        <w:fldChar w:fldCharType="separate"/>
      </w:r>
    </w:p>
    <w:p>
      <w:pPr>
        <w:pStyle w:val="27"/>
        <w:wordWrap w:val="0"/>
        <w:spacing w:line="360" w:lineRule="auto"/>
        <w:jc w:val="both"/>
        <w:rPr>
          <w:rFonts w:ascii="Times New Roman" w:hAnsi="Times New Roman"/>
          <w:sz w:val="24"/>
          <w:szCs w:val="24"/>
        </w:rPr>
      </w:pPr>
      <w:r>
        <w:fldChar w:fldCharType="begin"/>
      </w:r>
      <w:r>
        <w:instrText xml:space="preserve">HYPERLINK  \l "_Toc479326696" </w:instrText>
      </w:r>
      <w:r>
        <w:fldChar w:fldCharType="separate"/>
      </w:r>
      <w:r>
        <w:rPr>
          <w:rStyle w:val="32"/>
          <w:rFonts w:ascii="Times New Roman" w:hAnsi="Times New Roman"/>
          <w:bCs/>
          <w:color w:val="auto"/>
          <w:sz w:val="24"/>
          <w:szCs w:val="24"/>
        </w:rPr>
        <w:t>1</w:t>
      </w:r>
      <w:r>
        <w:rPr>
          <w:rStyle w:val="32"/>
          <w:rFonts w:hint="eastAsia" w:ascii="Times New Roman" w:hAnsi="Times New Roman"/>
          <w:bCs/>
          <w:color w:val="auto"/>
          <w:sz w:val="24"/>
          <w:szCs w:val="24"/>
        </w:rPr>
        <w:t>生态环境影响评价原则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_Toc479326696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fldChar w:fldCharType="end"/>
      </w:r>
    </w:p>
    <w:p>
      <w:pPr>
        <w:pStyle w:val="27"/>
        <w:wordWrap w:val="0"/>
        <w:spacing w:line="360" w:lineRule="auto"/>
        <w:jc w:val="both"/>
        <w:rPr>
          <w:rFonts w:ascii="Times New Roman" w:hAnsi="Times New Roman"/>
          <w:sz w:val="24"/>
          <w:szCs w:val="24"/>
        </w:rPr>
      </w:pPr>
      <w:r>
        <w:fldChar w:fldCharType="begin"/>
      </w:r>
      <w:r>
        <w:instrText xml:space="preserve">HYPERLINK  \l "_Toc479326697" </w:instrText>
      </w:r>
      <w:r>
        <w:fldChar w:fldCharType="separate"/>
      </w:r>
      <w:r>
        <w:rPr>
          <w:rStyle w:val="32"/>
          <w:rFonts w:ascii="Times New Roman" w:hAnsi="Times New Roman"/>
          <w:bCs/>
          <w:color w:val="auto"/>
          <w:sz w:val="24"/>
          <w:szCs w:val="24"/>
        </w:rPr>
        <w:t>2</w:t>
      </w:r>
      <w:r>
        <w:rPr>
          <w:rStyle w:val="32"/>
          <w:rFonts w:hint="eastAsia" w:ascii="Times New Roman" w:hAnsi="Times New Roman"/>
          <w:bCs/>
          <w:color w:val="auto"/>
          <w:sz w:val="24"/>
          <w:szCs w:val="24"/>
        </w:rPr>
        <w:t>生态环境现状调查与评价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_Toc479326697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fldChar w:fldCharType="end"/>
      </w:r>
    </w:p>
    <w:p>
      <w:pPr>
        <w:pStyle w:val="27"/>
        <w:wordWrap w:val="0"/>
        <w:spacing w:line="360" w:lineRule="auto"/>
        <w:jc w:val="both"/>
        <w:rPr>
          <w:rFonts w:ascii="Times New Roman" w:hAnsi="Times New Roman"/>
          <w:sz w:val="24"/>
          <w:szCs w:val="24"/>
        </w:rPr>
      </w:pPr>
      <w:r>
        <w:fldChar w:fldCharType="begin"/>
      </w:r>
      <w:r>
        <w:instrText xml:space="preserve">HYPERLINK  \l "_Toc479326698" </w:instrText>
      </w:r>
      <w:r>
        <w:fldChar w:fldCharType="separate"/>
      </w:r>
      <w:r>
        <w:rPr>
          <w:rStyle w:val="32"/>
          <w:rFonts w:ascii="Times New Roman" w:hAnsi="Times New Roman"/>
          <w:bCs/>
          <w:color w:val="auto"/>
          <w:sz w:val="24"/>
          <w:szCs w:val="24"/>
        </w:rPr>
        <w:t>3</w:t>
      </w:r>
      <w:r>
        <w:rPr>
          <w:rStyle w:val="32"/>
          <w:rFonts w:hint="eastAsia" w:ascii="Times New Roman" w:hAnsi="Times New Roman"/>
          <w:bCs/>
          <w:color w:val="auto"/>
          <w:sz w:val="24"/>
          <w:szCs w:val="24"/>
        </w:rPr>
        <w:t>生态环境影响预测与评价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_Toc479326698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fldChar w:fldCharType="end"/>
      </w:r>
    </w:p>
    <w:p>
      <w:pPr>
        <w:pStyle w:val="27"/>
        <w:wordWrap w:val="0"/>
        <w:spacing w:line="360" w:lineRule="auto"/>
        <w:jc w:val="both"/>
        <w:rPr>
          <w:rFonts w:ascii="Times New Roman" w:hAnsi="Times New Roman"/>
          <w:sz w:val="24"/>
          <w:szCs w:val="24"/>
        </w:rPr>
      </w:pPr>
      <w:r>
        <w:fldChar w:fldCharType="begin"/>
      </w:r>
      <w:r>
        <w:instrText xml:space="preserve">HYPERLINK  \l "_Toc479326702" </w:instrText>
      </w:r>
      <w:r>
        <w:fldChar w:fldCharType="separate"/>
      </w:r>
      <w:r>
        <w:rPr>
          <w:rStyle w:val="32"/>
          <w:rFonts w:ascii="Times New Roman" w:hAnsi="Times New Roman"/>
          <w:bCs/>
          <w:color w:val="auto"/>
          <w:sz w:val="24"/>
          <w:szCs w:val="24"/>
        </w:rPr>
        <w:t>4</w:t>
      </w:r>
      <w:r>
        <w:rPr>
          <w:rStyle w:val="32"/>
          <w:rFonts w:hint="eastAsia" w:ascii="Times New Roman" w:hAnsi="Times New Roman"/>
          <w:bCs/>
          <w:color w:val="auto"/>
          <w:sz w:val="24"/>
          <w:szCs w:val="24"/>
        </w:rPr>
        <w:t>景观影响评价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_Toc479326702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fldChar w:fldCharType="end"/>
      </w:r>
    </w:p>
    <w:p>
      <w:pPr>
        <w:pStyle w:val="27"/>
        <w:wordWrap w:val="0"/>
        <w:spacing w:line="360" w:lineRule="auto"/>
        <w:jc w:val="both"/>
        <w:rPr>
          <w:rFonts w:ascii="Times New Roman" w:hAnsi="Times New Roman"/>
          <w:sz w:val="24"/>
          <w:szCs w:val="24"/>
        </w:rPr>
      </w:pPr>
      <w:r>
        <w:fldChar w:fldCharType="begin"/>
      </w:r>
      <w:r>
        <w:instrText xml:space="preserve">HYPERLINK  \l "_Toc479326703" </w:instrText>
      </w:r>
      <w:r>
        <w:fldChar w:fldCharType="separate"/>
      </w:r>
      <w:r>
        <w:rPr>
          <w:rStyle w:val="32"/>
          <w:rFonts w:ascii="Times New Roman" w:hAnsi="Times New Roman"/>
          <w:bCs/>
          <w:color w:val="auto"/>
          <w:sz w:val="24"/>
          <w:szCs w:val="24"/>
        </w:rPr>
        <w:t xml:space="preserve">5 </w:t>
      </w:r>
      <w:r>
        <w:rPr>
          <w:rStyle w:val="32"/>
          <w:rFonts w:hint="eastAsia" w:ascii="Times New Roman" w:hAnsi="Times New Roman"/>
          <w:bCs/>
          <w:color w:val="auto"/>
          <w:sz w:val="24"/>
          <w:szCs w:val="24"/>
        </w:rPr>
        <w:t>生态影响的防护、恢复措施及替代方案</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_Toc479326703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fldChar w:fldCharType="end"/>
      </w:r>
    </w:p>
    <w:p>
      <w:pPr>
        <w:wordWrap w:val="0"/>
        <w:rPr>
          <w:sz w:val="44"/>
          <w:szCs w:val="44"/>
        </w:rPr>
      </w:pPr>
      <w:r>
        <w:fldChar w:fldCharType="end"/>
      </w:r>
    </w:p>
    <w:p>
      <w:pPr>
        <w:wordWrap w:val="0"/>
        <w:spacing w:line="400" w:lineRule="exact"/>
      </w:pPr>
    </w:p>
    <w:p>
      <w:pPr>
        <w:pStyle w:val="2"/>
        <w:wordWrap w:val="0"/>
        <w:adjustRightInd w:val="0"/>
        <w:snapToGrid w:val="0"/>
        <w:spacing w:before="240" w:afterLines="50" w:line="560" w:lineRule="exact"/>
        <w:rPr>
          <w:sz w:val="36"/>
          <w:szCs w:val="30"/>
        </w:rPr>
        <w:sectPr>
          <w:footerReference r:id="rId10" w:type="default"/>
          <w:pgSz w:w="11906" w:h="16838"/>
          <w:pgMar w:top="1440" w:right="1800" w:bottom="1440" w:left="1800" w:header="851" w:footer="992" w:gutter="0"/>
          <w:pgNumType w:start="1"/>
          <w:cols w:space="720" w:num="1"/>
          <w:docGrid w:type="lines" w:linePitch="312"/>
        </w:sectPr>
      </w:pPr>
    </w:p>
    <w:bookmarkEnd w:id="247"/>
    <w:p>
      <w:pPr>
        <w:pStyle w:val="2"/>
        <w:wordWrap w:val="0"/>
        <w:adjustRightInd w:val="0"/>
        <w:snapToGrid w:val="0"/>
        <w:spacing w:before="240" w:afterLines="50" w:line="560" w:lineRule="exact"/>
        <w:rPr>
          <w:sz w:val="36"/>
          <w:szCs w:val="30"/>
        </w:rPr>
      </w:pPr>
      <w:bookmarkStart w:id="248" w:name="_Toc436993106"/>
      <w:bookmarkStart w:id="249" w:name="_Toc479326695"/>
      <w:bookmarkStart w:id="250" w:name="_Toc528854949"/>
      <w:r>
        <w:rPr>
          <w:rFonts w:hint="eastAsia"/>
          <w:sz w:val="36"/>
          <w:szCs w:val="30"/>
        </w:rPr>
        <w:t>生态影响评价</w:t>
      </w:r>
      <w:bookmarkEnd w:id="248"/>
      <w:bookmarkEnd w:id="249"/>
      <w:bookmarkEnd w:id="250"/>
    </w:p>
    <w:p>
      <w:pPr>
        <w:pStyle w:val="3"/>
        <w:wordWrap w:val="0"/>
        <w:spacing w:after="156"/>
        <w:rPr>
          <w:rFonts w:eastAsia="宋体"/>
          <w:b/>
          <w:bCs/>
          <w:color w:val="auto"/>
        </w:rPr>
      </w:pPr>
      <w:bookmarkStart w:id="251" w:name="_Toc436993107"/>
      <w:bookmarkStart w:id="252" w:name="_Toc479326696"/>
      <w:bookmarkStart w:id="253" w:name="_Toc528854950"/>
      <w:r>
        <w:rPr>
          <w:rFonts w:hint="eastAsia" w:eastAsia="宋体"/>
          <w:b/>
          <w:bCs/>
          <w:color w:val="auto"/>
        </w:rPr>
        <w:t>1、生态环境影响评价原则</w:t>
      </w:r>
      <w:bookmarkEnd w:id="251"/>
      <w:bookmarkEnd w:id="252"/>
      <w:bookmarkEnd w:id="253"/>
    </w:p>
    <w:p>
      <w:pPr>
        <w:pStyle w:val="4"/>
        <w:wordWrap w:val="0"/>
        <w:adjustRightInd w:val="0"/>
        <w:snapToGrid w:val="0"/>
        <w:spacing w:before="0" w:after="0" w:line="520" w:lineRule="exact"/>
        <w:ind w:left="617" w:hanging="617" w:hangingChars="256"/>
        <w:rPr>
          <w:sz w:val="24"/>
          <w:szCs w:val="24"/>
        </w:rPr>
      </w:pPr>
      <w:bookmarkStart w:id="254" w:name="_Toc396142021"/>
      <w:bookmarkStart w:id="255" w:name="_Toc436993108"/>
      <w:bookmarkStart w:id="256" w:name="_Toc528854951"/>
      <w:r>
        <w:rPr>
          <w:rFonts w:hint="eastAsia"/>
          <w:sz w:val="24"/>
          <w:szCs w:val="24"/>
        </w:rPr>
        <w:t>1.1评价目的</w:t>
      </w:r>
      <w:bookmarkEnd w:id="254"/>
      <w:bookmarkEnd w:id="255"/>
      <w:bookmarkEnd w:id="256"/>
    </w:p>
    <w:p>
      <w:pPr>
        <w:wordWrap w:val="0"/>
        <w:spacing w:line="420" w:lineRule="exact"/>
        <w:ind w:firstLine="480" w:firstLineChars="200"/>
        <w:rPr>
          <w:sz w:val="24"/>
        </w:rPr>
      </w:pPr>
      <w:r>
        <w:rPr>
          <w:sz w:val="24"/>
        </w:rPr>
        <w:t>通过对风电场项目所在区域自然环境状况的调查，土壤、农作物和自然资源生态环境现状分析，结合项目施工期和运营期的生态影响特征，采用恰当的方法，对评价范围内的主要生态因素及工程影响的相关性进行综合评价和预测，在此基础上，提出项目施工期和运营期生态环境保护的措施和要求。</w:t>
      </w:r>
    </w:p>
    <w:p>
      <w:pPr>
        <w:pStyle w:val="4"/>
        <w:wordWrap w:val="0"/>
        <w:adjustRightInd w:val="0"/>
        <w:snapToGrid w:val="0"/>
        <w:spacing w:before="0" w:after="0" w:line="520" w:lineRule="exact"/>
        <w:ind w:left="617" w:hanging="617" w:hangingChars="256"/>
        <w:rPr>
          <w:sz w:val="24"/>
          <w:szCs w:val="24"/>
        </w:rPr>
      </w:pPr>
      <w:bookmarkStart w:id="257" w:name="_Toc396142022"/>
      <w:bookmarkStart w:id="258" w:name="_Toc436993109"/>
      <w:bookmarkStart w:id="259" w:name="_Toc528854952"/>
      <w:r>
        <w:rPr>
          <w:rFonts w:hint="eastAsia"/>
          <w:sz w:val="24"/>
          <w:szCs w:val="24"/>
        </w:rPr>
        <w:t>1.2评价原则</w:t>
      </w:r>
      <w:bookmarkEnd w:id="257"/>
      <w:bookmarkEnd w:id="258"/>
      <w:bookmarkEnd w:id="259"/>
    </w:p>
    <w:p>
      <w:pPr>
        <w:wordWrap w:val="0"/>
        <w:spacing w:line="420" w:lineRule="exact"/>
        <w:ind w:firstLine="480" w:firstLineChars="200"/>
        <w:rPr>
          <w:sz w:val="24"/>
        </w:rPr>
      </w:pPr>
      <w:r>
        <w:rPr>
          <w:sz w:val="24"/>
        </w:rPr>
        <w:t>风电工程是由点（风力发电机组）和线型工程（集电线路、检修道路）组成的建设项目，跨越的地域广、面广点多，但单点工程量较小，占地面积不大。因而本风电工程生态环境影响评价遵循以下原则：</w:t>
      </w:r>
    </w:p>
    <w:p>
      <w:pPr>
        <w:wordWrap w:val="0"/>
        <w:spacing w:line="420" w:lineRule="exact"/>
        <w:ind w:firstLine="480" w:firstLineChars="200"/>
        <w:rPr>
          <w:sz w:val="24"/>
        </w:rPr>
      </w:pPr>
      <w:r>
        <w:rPr>
          <w:sz w:val="24"/>
        </w:rPr>
        <w:t>（1）点线结合，以点为主，点是指工程点和环境敏感点。</w:t>
      </w:r>
    </w:p>
    <w:p>
      <w:pPr>
        <w:wordWrap w:val="0"/>
        <w:spacing w:line="420" w:lineRule="exact"/>
        <w:ind w:firstLine="480" w:firstLineChars="200"/>
        <w:rPr>
          <w:sz w:val="24"/>
        </w:rPr>
      </w:pPr>
      <w:r>
        <w:rPr>
          <w:sz w:val="24"/>
        </w:rPr>
        <w:t>（2）注意一般性影响评价，关注特殊性问题的解决。</w:t>
      </w:r>
    </w:p>
    <w:p>
      <w:pPr>
        <w:pStyle w:val="4"/>
        <w:wordWrap w:val="0"/>
        <w:adjustRightInd w:val="0"/>
        <w:snapToGrid w:val="0"/>
        <w:spacing w:before="0" w:after="0" w:line="520" w:lineRule="exact"/>
        <w:ind w:left="617" w:hanging="617" w:hangingChars="256"/>
        <w:rPr>
          <w:sz w:val="24"/>
          <w:szCs w:val="24"/>
        </w:rPr>
      </w:pPr>
      <w:bookmarkStart w:id="260" w:name="_Toc396142023"/>
      <w:bookmarkStart w:id="261" w:name="_Toc436993110"/>
      <w:bookmarkStart w:id="262" w:name="_Toc528854953"/>
      <w:r>
        <w:rPr>
          <w:rFonts w:hint="eastAsia"/>
          <w:sz w:val="24"/>
          <w:szCs w:val="24"/>
        </w:rPr>
        <w:t>1.3评价等级</w:t>
      </w:r>
      <w:bookmarkEnd w:id="260"/>
      <w:bookmarkEnd w:id="261"/>
      <w:bookmarkEnd w:id="262"/>
    </w:p>
    <w:p>
      <w:pPr>
        <w:wordWrap w:val="0"/>
        <w:spacing w:line="420" w:lineRule="exact"/>
        <w:ind w:firstLine="440" w:firstLineChars="200"/>
        <w:rPr>
          <w:sz w:val="24"/>
        </w:rPr>
      </w:pPr>
      <w:r>
        <w:rPr>
          <w:spacing w:val="-10"/>
          <w:sz w:val="24"/>
        </w:rPr>
        <w:t>根据《环境影响评价技术导则—生态影响》（HJ19-2011）</w:t>
      </w:r>
      <w:r>
        <w:rPr>
          <w:sz w:val="24"/>
        </w:rPr>
        <w:t>中生态环境影响评价等级的划分方法，确定本风电工程生态环境影响评价等级。</w:t>
      </w:r>
    </w:p>
    <w:p>
      <w:pPr>
        <w:spacing w:line="440" w:lineRule="exact"/>
        <w:ind w:firstLine="480" w:firstLineChars="200"/>
        <w:jc w:val="center"/>
        <w:rPr>
          <w:bCs/>
          <w:sz w:val="24"/>
        </w:rPr>
      </w:pPr>
      <w:r>
        <w:rPr>
          <w:bCs/>
          <w:sz w:val="24"/>
        </w:rPr>
        <w:t>表1 生态影响评价等级的划分方法</w:t>
      </w:r>
    </w:p>
    <w:tbl>
      <w:tblPr>
        <w:tblW w:w="8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right w:w="108" w:type="dxa"/>
        </w:tblCellMar>
      </w:tblPr>
      <w:tblGrid>
        <w:gridCol w:w="2151"/>
        <w:gridCol w:w="2151"/>
        <w:gridCol w:w="2152"/>
        <w:gridCol w:w="2152"/>
      </w:tblGrid>
      <w:tr>
        <w:trPr>
          <w:trHeight w:val="340" w:hRule="atLeast"/>
          <w:jc w:val="center"/>
        </w:trPr>
        <w:tc>
          <w:tcPr>
            <w:tcW w:w="2151" w:type="dxa"/>
            <w:vMerge w:val="restart"/>
            <w:vAlign w:val="center"/>
          </w:tcPr>
          <w:p>
            <w:pPr>
              <w:wordWrap w:val="0"/>
              <w:spacing w:line="360" w:lineRule="exact"/>
              <w:jc w:val="center"/>
              <w:rPr>
                <w:szCs w:val="21"/>
              </w:rPr>
            </w:pPr>
            <w:r>
              <w:rPr>
                <w:szCs w:val="21"/>
              </w:rPr>
              <w:t>影响区域生态敏感性</w:t>
            </w:r>
          </w:p>
        </w:tc>
        <w:tc>
          <w:tcPr>
            <w:tcW w:w="6455" w:type="dxa"/>
            <w:gridSpan w:val="3"/>
            <w:vAlign w:val="center"/>
          </w:tcPr>
          <w:p>
            <w:pPr>
              <w:wordWrap w:val="0"/>
              <w:spacing w:line="360" w:lineRule="exact"/>
              <w:jc w:val="center"/>
              <w:rPr>
                <w:szCs w:val="21"/>
              </w:rPr>
            </w:pPr>
            <w:r>
              <w:rPr>
                <w:szCs w:val="21"/>
              </w:rPr>
              <w:t>工程占地（含水域）范围</w:t>
            </w:r>
          </w:p>
        </w:tc>
      </w:tr>
      <w:tr>
        <w:trPr>
          <w:trHeight w:val="340" w:hRule="atLeast"/>
          <w:jc w:val="center"/>
        </w:trPr>
        <w:tc>
          <w:tcPr>
            <w:tcW w:w="2151" w:type="dxa"/>
            <w:vMerge w:val="continue"/>
            <w:vAlign w:val="center"/>
          </w:tcPr>
          <w:p>
            <w:pPr>
              <w:wordWrap w:val="0"/>
              <w:spacing w:line="360" w:lineRule="exact"/>
              <w:jc w:val="center"/>
              <w:rPr>
                <w:szCs w:val="21"/>
              </w:rPr>
            </w:pPr>
          </w:p>
        </w:tc>
        <w:tc>
          <w:tcPr>
            <w:tcW w:w="2151" w:type="dxa"/>
            <w:vAlign w:val="center"/>
          </w:tcPr>
          <w:p>
            <w:pPr>
              <w:wordWrap w:val="0"/>
              <w:spacing w:line="360" w:lineRule="exact"/>
              <w:jc w:val="center"/>
              <w:rPr>
                <w:szCs w:val="21"/>
              </w:rPr>
            </w:pPr>
            <w:r>
              <w:rPr>
                <w:szCs w:val="21"/>
              </w:rPr>
              <w:t>面积≥20km</w:t>
            </w:r>
            <w:r>
              <w:rPr>
                <w:szCs w:val="21"/>
                <w:vertAlign w:val="superscript"/>
              </w:rPr>
              <w:t>2</w:t>
            </w:r>
          </w:p>
          <w:p>
            <w:pPr>
              <w:wordWrap w:val="0"/>
              <w:spacing w:line="360" w:lineRule="exact"/>
              <w:jc w:val="center"/>
              <w:rPr>
                <w:szCs w:val="21"/>
              </w:rPr>
            </w:pPr>
            <w:r>
              <w:rPr>
                <w:szCs w:val="21"/>
              </w:rPr>
              <w:t>或长度≥100km</w:t>
            </w:r>
          </w:p>
        </w:tc>
        <w:tc>
          <w:tcPr>
            <w:tcW w:w="2152" w:type="dxa"/>
            <w:vAlign w:val="center"/>
          </w:tcPr>
          <w:p>
            <w:pPr>
              <w:wordWrap w:val="0"/>
              <w:spacing w:line="360" w:lineRule="exact"/>
              <w:jc w:val="center"/>
              <w:rPr>
                <w:szCs w:val="21"/>
              </w:rPr>
            </w:pPr>
            <w:r>
              <w:rPr>
                <w:szCs w:val="21"/>
              </w:rPr>
              <w:t>面积2~20km</w:t>
            </w:r>
            <w:r>
              <w:rPr>
                <w:szCs w:val="21"/>
                <w:vertAlign w:val="superscript"/>
              </w:rPr>
              <w:t>2</w:t>
            </w:r>
          </w:p>
          <w:p>
            <w:pPr>
              <w:wordWrap w:val="0"/>
              <w:spacing w:line="360" w:lineRule="exact"/>
              <w:jc w:val="center"/>
              <w:rPr>
                <w:szCs w:val="21"/>
              </w:rPr>
            </w:pPr>
            <w:r>
              <w:rPr>
                <w:szCs w:val="21"/>
              </w:rPr>
              <w:t>或长度50~100km</w:t>
            </w:r>
          </w:p>
        </w:tc>
        <w:tc>
          <w:tcPr>
            <w:tcW w:w="2152" w:type="dxa"/>
            <w:vAlign w:val="center"/>
          </w:tcPr>
          <w:p>
            <w:pPr>
              <w:wordWrap w:val="0"/>
              <w:spacing w:line="360" w:lineRule="exact"/>
              <w:jc w:val="center"/>
              <w:rPr>
                <w:szCs w:val="21"/>
              </w:rPr>
            </w:pPr>
            <w:r>
              <w:rPr>
                <w:szCs w:val="21"/>
              </w:rPr>
              <w:t>面积≤2km</w:t>
            </w:r>
            <w:r>
              <w:rPr>
                <w:szCs w:val="21"/>
                <w:vertAlign w:val="superscript"/>
              </w:rPr>
              <w:t>2</w:t>
            </w:r>
          </w:p>
          <w:p>
            <w:pPr>
              <w:wordWrap w:val="0"/>
              <w:spacing w:line="360" w:lineRule="exact"/>
              <w:jc w:val="center"/>
              <w:rPr>
                <w:szCs w:val="21"/>
              </w:rPr>
            </w:pPr>
            <w:r>
              <w:rPr>
                <w:szCs w:val="21"/>
              </w:rPr>
              <w:t>或长度≤50km</w:t>
            </w:r>
          </w:p>
        </w:tc>
      </w:tr>
      <w:tr>
        <w:trPr>
          <w:trHeight w:val="340" w:hRule="atLeast"/>
          <w:jc w:val="center"/>
        </w:trPr>
        <w:tc>
          <w:tcPr>
            <w:tcW w:w="2151" w:type="dxa"/>
            <w:vAlign w:val="center"/>
          </w:tcPr>
          <w:p>
            <w:pPr>
              <w:wordWrap w:val="0"/>
              <w:spacing w:line="360" w:lineRule="exact"/>
              <w:jc w:val="center"/>
              <w:rPr>
                <w:szCs w:val="21"/>
              </w:rPr>
            </w:pPr>
            <w:r>
              <w:rPr>
                <w:szCs w:val="21"/>
              </w:rPr>
              <w:t>特殊生态敏感区</w:t>
            </w:r>
          </w:p>
        </w:tc>
        <w:tc>
          <w:tcPr>
            <w:tcW w:w="2151" w:type="dxa"/>
            <w:vAlign w:val="center"/>
          </w:tcPr>
          <w:p>
            <w:pPr>
              <w:wordWrap w:val="0"/>
              <w:spacing w:line="360" w:lineRule="exact"/>
              <w:jc w:val="center"/>
              <w:rPr>
                <w:szCs w:val="21"/>
              </w:rPr>
            </w:pPr>
            <w:r>
              <w:rPr>
                <w:szCs w:val="21"/>
              </w:rPr>
              <w:t>一级</w:t>
            </w:r>
          </w:p>
        </w:tc>
        <w:tc>
          <w:tcPr>
            <w:tcW w:w="2152" w:type="dxa"/>
            <w:vAlign w:val="center"/>
          </w:tcPr>
          <w:p>
            <w:pPr>
              <w:wordWrap w:val="0"/>
              <w:spacing w:line="360" w:lineRule="exact"/>
              <w:jc w:val="center"/>
              <w:rPr>
                <w:szCs w:val="21"/>
              </w:rPr>
            </w:pPr>
            <w:r>
              <w:rPr>
                <w:szCs w:val="21"/>
              </w:rPr>
              <w:t>一级</w:t>
            </w:r>
          </w:p>
        </w:tc>
        <w:tc>
          <w:tcPr>
            <w:tcW w:w="2152" w:type="dxa"/>
            <w:vAlign w:val="center"/>
          </w:tcPr>
          <w:p>
            <w:pPr>
              <w:wordWrap w:val="0"/>
              <w:spacing w:line="360" w:lineRule="exact"/>
              <w:jc w:val="center"/>
              <w:rPr>
                <w:szCs w:val="21"/>
              </w:rPr>
            </w:pPr>
            <w:r>
              <w:rPr>
                <w:szCs w:val="21"/>
              </w:rPr>
              <w:t>一级</w:t>
            </w:r>
          </w:p>
        </w:tc>
      </w:tr>
      <w:tr>
        <w:trPr>
          <w:trHeight w:val="340" w:hRule="atLeast"/>
          <w:jc w:val="center"/>
        </w:trPr>
        <w:tc>
          <w:tcPr>
            <w:tcW w:w="2151" w:type="dxa"/>
            <w:vAlign w:val="center"/>
          </w:tcPr>
          <w:p>
            <w:pPr>
              <w:wordWrap w:val="0"/>
              <w:spacing w:line="360" w:lineRule="exact"/>
              <w:jc w:val="center"/>
              <w:rPr>
                <w:szCs w:val="21"/>
              </w:rPr>
            </w:pPr>
            <w:r>
              <w:rPr>
                <w:szCs w:val="21"/>
              </w:rPr>
              <w:t>重要生态敏感区</w:t>
            </w:r>
          </w:p>
        </w:tc>
        <w:tc>
          <w:tcPr>
            <w:tcW w:w="2151" w:type="dxa"/>
            <w:vAlign w:val="center"/>
          </w:tcPr>
          <w:p>
            <w:pPr>
              <w:wordWrap w:val="0"/>
              <w:spacing w:line="360" w:lineRule="exact"/>
              <w:jc w:val="center"/>
              <w:rPr>
                <w:szCs w:val="21"/>
              </w:rPr>
            </w:pPr>
            <w:r>
              <w:rPr>
                <w:szCs w:val="21"/>
              </w:rPr>
              <w:t>一级</w:t>
            </w:r>
          </w:p>
        </w:tc>
        <w:tc>
          <w:tcPr>
            <w:tcW w:w="2152" w:type="dxa"/>
            <w:vAlign w:val="center"/>
          </w:tcPr>
          <w:p>
            <w:pPr>
              <w:wordWrap w:val="0"/>
              <w:spacing w:line="360" w:lineRule="exact"/>
              <w:jc w:val="center"/>
              <w:rPr>
                <w:szCs w:val="21"/>
              </w:rPr>
            </w:pPr>
            <w:r>
              <w:rPr>
                <w:szCs w:val="21"/>
              </w:rPr>
              <w:t>二级</w:t>
            </w:r>
          </w:p>
        </w:tc>
        <w:tc>
          <w:tcPr>
            <w:tcW w:w="2152" w:type="dxa"/>
            <w:vAlign w:val="center"/>
          </w:tcPr>
          <w:p>
            <w:pPr>
              <w:wordWrap w:val="0"/>
              <w:spacing w:line="360" w:lineRule="exact"/>
              <w:jc w:val="center"/>
              <w:rPr>
                <w:szCs w:val="21"/>
              </w:rPr>
            </w:pPr>
            <w:r>
              <w:rPr>
                <w:szCs w:val="21"/>
              </w:rPr>
              <w:t>三级</w:t>
            </w:r>
          </w:p>
        </w:tc>
      </w:tr>
      <w:tr>
        <w:trPr>
          <w:trHeight w:val="340" w:hRule="atLeast"/>
          <w:jc w:val="center"/>
        </w:trPr>
        <w:tc>
          <w:tcPr>
            <w:tcW w:w="2151" w:type="dxa"/>
            <w:vAlign w:val="center"/>
          </w:tcPr>
          <w:p>
            <w:pPr>
              <w:wordWrap w:val="0"/>
              <w:spacing w:line="360" w:lineRule="exact"/>
              <w:jc w:val="center"/>
              <w:rPr>
                <w:szCs w:val="21"/>
              </w:rPr>
            </w:pPr>
            <w:r>
              <w:rPr>
                <w:szCs w:val="21"/>
              </w:rPr>
              <w:t>一般区域</w:t>
            </w:r>
          </w:p>
        </w:tc>
        <w:tc>
          <w:tcPr>
            <w:tcW w:w="2151" w:type="dxa"/>
            <w:vAlign w:val="center"/>
          </w:tcPr>
          <w:p>
            <w:pPr>
              <w:wordWrap w:val="0"/>
              <w:spacing w:line="360" w:lineRule="exact"/>
              <w:jc w:val="center"/>
              <w:rPr>
                <w:szCs w:val="21"/>
              </w:rPr>
            </w:pPr>
            <w:r>
              <w:rPr>
                <w:szCs w:val="21"/>
              </w:rPr>
              <w:t>二级</w:t>
            </w:r>
          </w:p>
        </w:tc>
        <w:tc>
          <w:tcPr>
            <w:tcW w:w="2152" w:type="dxa"/>
            <w:vAlign w:val="center"/>
          </w:tcPr>
          <w:p>
            <w:pPr>
              <w:wordWrap w:val="0"/>
              <w:spacing w:line="360" w:lineRule="exact"/>
              <w:jc w:val="center"/>
              <w:rPr>
                <w:szCs w:val="21"/>
              </w:rPr>
            </w:pPr>
            <w:r>
              <w:rPr>
                <w:szCs w:val="21"/>
              </w:rPr>
              <w:t>三级</w:t>
            </w:r>
          </w:p>
        </w:tc>
        <w:tc>
          <w:tcPr>
            <w:tcW w:w="2152" w:type="dxa"/>
            <w:vAlign w:val="center"/>
          </w:tcPr>
          <w:p>
            <w:pPr>
              <w:wordWrap w:val="0"/>
              <w:spacing w:line="360" w:lineRule="exact"/>
              <w:jc w:val="center"/>
              <w:rPr>
                <w:szCs w:val="21"/>
              </w:rPr>
            </w:pPr>
            <w:r>
              <w:rPr>
                <w:szCs w:val="21"/>
              </w:rPr>
              <w:t>三级</w:t>
            </w:r>
          </w:p>
        </w:tc>
      </w:tr>
    </w:tbl>
    <w:p>
      <w:pPr>
        <w:wordWrap w:val="0"/>
        <w:spacing w:line="420" w:lineRule="exact"/>
        <w:ind w:firstLine="480" w:firstLineChars="200"/>
        <w:rPr>
          <w:sz w:val="24"/>
        </w:rPr>
      </w:pPr>
      <w:r>
        <w:rPr>
          <w:rFonts w:hint="eastAsia"/>
          <w:sz w:val="24"/>
        </w:rPr>
        <w:t>划定依据：</w:t>
      </w:r>
      <w:r>
        <w:rPr>
          <w:sz w:val="24"/>
        </w:rPr>
        <w:t>本工程拟建设</w:t>
      </w:r>
      <w:r>
        <w:rPr>
          <w:rFonts w:hint="eastAsia"/>
          <w:sz w:val="24"/>
        </w:rPr>
        <w:t>3</w:t>
      </w:r>
      <w:r>
        <w:rPr>
          <w:sz w:val="24"/>
        </w:rPr>
        <w:t>台</w:t>
      </w:r>
      <w:r>
        <w:rPr>
          <w:rFonts w:hint="eastAsia"/>
          <w:sz w:val="24"/>
        </w:rPr>
        <w:t>2000k</w:t>
      </w:r>
      <w:r>
        <w:rPr>
          <w:sz w:val="24"/>
        </w:rPr>
        <w:t>W的风电机组</w:t>
      </w:r>
      <w:r>
        <w:rPr>
          <w:rFonts w:hint="eastAsia"/>
          <w:sz w:val="24"/>
        </w:rPr>
        <w:t>，</w:t>
      </w:r>
      <w:r>
        <w:rPr>
          <w:sz w:val="24"/>
        </w:rPr>
        <w:t>总装机容量</w:t>
      </w:r>
      <w:r>
        <w:rPr>
          <w:rFonts w:hint="eastAsia"/>
          <w:sz w:val="24"/>
        </w:rPr>
        <w:t>6MW</w:t>
      </w:r>
      <w:r>
        <w:rPr>
          <w:sz w:val="24"/>
        </w:rPr>
        <w:t>，同时在风电场内配套建设</w:t>
      </w:r>
      <w:r>
        <w:rPr>
          <w:rFonts w:hint="eastAsia"/>
          <w:sz w:val="24"/>
        </w:rPr>
        <w:t>4.0k</w:t>
      </w:r>
      <w:r>
        <w:rPr>
          <w:sz w:val="24"/>
        </w:rPr>
        <w:t>m</w:t>
      </w:r>
      <w:r>
        <w:rPr>
          <w:rFonts w:hint="eastAsia"/>
          <w:sz w:val="24"/>
        </w:rPr>
        <w:t>的进场和</w:t>
      </w:r>
      <w:r>
        <w:rPr>
          <w:sz w:val="24"/>
        </w:rPr>
        <w:t>检修道路。工程占地（含永久占地和临时占地）面积为</w:t>
      </w:r>
      <w:r>
        <w:rPr>
          <w:rFonts w:hint="eastAsia"/>
          <w:sz w:val="24"/>
        </w:rPr>
        <w:t>3.43h</w:t>
      </w:r>
      <w:r>
        <w:rPr>
          <w:sz w:val="24"/>
        </w:rPr>
        <w:t>m</w:t>
      </w:r>
      <w:r>
        <w:rPr>
          <w:sz w:val="24"/>
          <w:vertAlign w:val="superscript"/>
        </w:rPr>
        <w:t>2</w:t>
      </w:r>
      <w:r>
        <w:rPr>
          <w:sz w:val="24"/>
        </w:rPr>
        <w:t>；</w:t>
      </w:r>
      <w:r>
        <w:rPr>
          <w:rFonts w:hint="eastAsia" w:cs="宋体"/>
          <w:sz w:val="24"/>
        </w:rPr>
        <w:t>②</w:t>
      </w:r>
      <w:r>
        <w:rPr>
          <w:sz w:val="24"/>
        </w:rPr>
        <w:t>工程影响区域内无自然保护区、风景名胜区、世界文化和自然遗产地等生态敏感区</w:t>
      </w:r>
      <w:r>
        <w:rPr>
          <w:rFonts w:hint="eastAsia"/>
          <w:sz w:val="24"/>
        </w:rPr>
        <w:t>、项目周围无珍稀野生动植物，风力发电机组周围无各级重点文物保护单位分布</w:t>
      </w:r>
      <w:r>
        <w:rPr>
          <w:sz w:val="24"/>
        </w:rPr>
        <w:t>。</w:t>
      </w:r>
    </w:p>
    <w:p>
      <w:pPr>
        <w:wordWrap w:val="0"/>
        <w:spacing w:line="420" w:lineRule="exact"/>
        <w:ind w:firstLine="480" w:firstLineChars="200"/>
        <w:rPr>
          <w:sz w:val="24"/>
        </w:rPr>
      </w:pPr>
      <w:r>
        <w:rPr>
          <w:sz w:val="24"/>
        </w:rPr>
        <w:t>综上所述：工程占地范围</w:t>
      </w:r>
      <w:r>
        <w:rPr>
          <w:rFonts w:hint="eastAsia"/>
          <w:sz w:val="24"/>
        </w:rPr>
        <w:t>为0.00343km</w:t>
      </w:r>
      <w:r>
        <w:rPr>
          <w:rFonts w:hint="eastAsia"/>
          <w:sz w:val="24"/>
          <w:vertAlign w:val="superscript"/>
        </w:rPr>
        <w:t>2</w:t>
      </w:r>
      <w:r>
        <w:rPr>
          <w:sz w:val="24"/>
        </w:rPr>
        <w:t>&lt;2km</w:t>
      </w:r>
      <w:r>
        <w:rPr>
          <w:sz w:val="24"/>
          <w:vertAlign w:val="superscript"/>
        </w:rPr>
        <w:t>2</w:t>
      </w:r>
      <w:r>
        <w:rPr>
          <w:sz w:val="24"/>
        </w:rPr>
        <w:t>、施工检修道路长度</w:t>
      </w:r>
      <w:r>
        <w:rPr>
          <w:rFonts w:hint="eastAsia"/>
          <w:sz w:val="24"/>
        </w:rPr>
        <w:t>为4km</w:t>
      </w:r>
      <w:r>
        <w:rPr>
          <w:sz w:val="24"/>
        </w:rPr>
        <w:t>&lt;100km；工程影响区域生态敏感性为一般敏感区。因此，确定本风电工程生态环境影响评价等级为三级。</w:t>
      </w:r>
    </w:p>
    <w:p>
      <w:pPr>
        <w:pStyle w:val="4"/>
        <w:wordWrap w:val="0"/>
        <w:adjustRightInd w:val="0"/>
        <w:snapToGrid w:val="0"/>
        <w:spacing w:before="0" w:after="0" w:line="520" w:lineRule="exact"/>
        <w:ind w:left="617" w:hanging="617" w:hangingChars="256"/>
        <w:rPr>
          <w:sz w:val="24"/>
          <w:szCs w:val="24"/>
        </w:rPr>
      </w:pPr>
      <w:bookmarkStart w:id="263" w:name="_Toc396142024"/>
      <w:bookmarkStart w:id="264" w:name="_Toc436993111"/>
      <w:bookmarkStart w:id="265" w:name="_Toc528854954"/>
      <w:r>
        <w:rPr>
          <w:rFonts w:hint="eastAsia"/>
          <w:sz w:val="24"/>
          <w:szCs w:val="24"/>
        </w:rPr>
        <w:t>1.4评价范围</w:t>
      </w:r>
      <w:bookmarkEnd w:id="263"/>
      <w:bookmarkEnd w:id="264"/>
      <w:bookmarkEnd w:id="265"/>
    </w:p>
    <w:p>
      <w:pPr>
        <w:wordWrap w:val="0"/>
        <w:spacing w:line="420" w:lineRule="exact"/>
        <w:ind w:firstLine="480" w:firstLineChars="200"/>
        <w:rPr>
          <w:sz w:val="24"/>
        </w:rPr>
      </w:pPr>
      <w:bookmarkStart w:id="266" w:name="_Toc436993112"/>
      <w:r>
        <w:rPr>
          <w:rFonts w:hint="eastAsia"/>
          <w:sz w:val="24"/>
        </w:rPr>
        <w:t>本次生态影响评价分为两个个亚区：风力发电机组（含箱变区）及吊装平台（235.5hm</w:t>
      </w:r>
      <w:r>
        <w:rPr>
          <w:rFonts w:hint="eastAsia"/>
          <w:sz w:val="24"/>
          <w:vertAlign w:val="superscript"/>
        </w:rPr>
        <w:t>2</w:t>
      </w:r>
      <w:r>
        <w:rPr>
          <w:rFonts w:hint="eastAsia"/>
          <w:sz w:val="24"/>
        </w:rPr>
        <w:t>）；集电线路区（1.0hm</w:t>
      </w:r>
      <w:r>
        <w:rPr>
          <w:rFonts w:hint="eastAsia"/>
          <w:sz w:val="24"/>
          <w:vertAlign w:val="superscript"/>
        </w:rPr>
        <w:t>2</w:t>
      </w:r>
      <w:r>
        <w:rPr>
          <w:rFonts w:hint="eastAsia"/>
          <w:sz w:val="24"/>
        </w:rPr>
        <w:t>）、施工及检修道路区（400hm</w:t>
      </w:r>
      <w:r>
        <w:rPr>
          <w:rFonts w:hint="eastAsia"/>
          <w:sz w:val="24"/>
          <w:vertAlign w:val="superscript"/>
        </w:rPr>
        <w:t>2</w:t>
      </w:r>
      <w:r>
        <w:rPr>
          <w:rFonts w:hint="eastAsia"/>
          <w:sz w:val="24"/>
        </w:rPr>
        <w:t>）施工临时占地117hm</w:t>
      </w:r>
      <w:r>
        <w:rPr>
          <w:rFonts w:hint="eastAsia"/>
          <w:sz w:val="24"/>
          <w:vertAlign w:val="superscript"/>
        </w:rPr>
        <w:t>2</w:t>
      </w:r>
      <w:r>
        <w:rPr>
          <w:rFonts w:hint="eastAsia"/>
          <w:sz w:val="24"/>
        </w:rPr>
        <w:t>，合计753.5hm</w:t>
      </w:r>
      <w:r>
        <w:rPr>
          <w:rFonts w:hint="eastAsia"/>
          <w:sz w:val="24"/>
          <w:vertAlign w:val="superscript"/>
        </w:rPr>
        <w:t>2</w:t>
      </w:r>
      <w:r>
        <w:rPr>
          <w:rFonts w:hint="eastAsia"/>
          <w:sz w:val="24"/>
        </w:rPr>
        <w:t>。。</w:t>
      </w:r>
      <w:r>
        <w:rPr>
          <w:sz w:val="24"/>
        </w:rPr>
        <w:t>工程影响范围统计见表</w:t>
      </w:r>
      <w:r>
        <w:rPr>
          <w:rFonts w:hint="eastAsia"/>
          <w:sz w:val="24"/>
        </w:rPr>
        <w:t>2</w:t>
      </w:r>
      <w:r>
        <w:rPr>
          <w:sz w:val="24"/>
        </w:rPr>
        <w:t>。</w:t>
      </w:r>
    </w:p>
    <w:p>
      <w:pPr>
        <w:spacing w:line="440" w:lineRule="exact"/>
        <w:ind w:firstLine="480" w:firstLineChars="200"/>
        <w:jc w:val="center"/>
        <w:rPr>
          <w:sz w:val="24"/>
        </w:rPr>
      </w:pPr>
      <w:r>
        <w:rPr>
          <w:sz w:val="24"/>
        </w:rPr>
        <w:t>表</w:t>
      </w:r>
      <w:r>
        <w:rPr>
          <w:rFonts w:hint="eastAsia"/>
          <w:sz w:val="24"/>
        </w:rPr>
        <w:t xml:space="preserve">2  </w:t>
      </w:r>
      <w:r>
        <w:rPr>
          <w:sz w:val="24"/>
        </w:rPr>
        <w:t xml:space="preserve">  风电工程生态影响评价范围表</w:t>
      </w:r>
    </w:p>
    <w:tbl>
      <w:tblPr>
        <w:tblW w:w="9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1995"/>
        <w:gridCol w:w="2601"/>
        <w:gridCol w:w="3200"/>
        <w:gridCol w:w="1284"/>
      </w:tblGrid>
      <w:tr>
        <w:tc>
          <w:tcPr>
            <w:tcW w:w="1995" w:type="dxa"/>
            <w:vAlign w:val="center"/>
          </w:tcPr>
          <w:p>
            <w:pPr>
              <w:wordWrap w:val="0"/>
              <w:spacing w:line="360" w:lineRule="exact"/>
              <w:jc w:val="center"/>
              <w:rPr>
                <w:szCs w:val="21"/>
              </w:rPr>
            </w:pPr>
            <w:r>
              <w:rPr>
                <w:rFonts w:hint="eastAsia"/>
                <w:szCs w:val="21"/>
              </w:rPr>
              <w:t>项   目</w:t>
            </w:r>
          </w:p>
        </w:tc>
        <w:tc>
          <w:tcPr>
            <w:tcW w:w="2601" w:type="dxa"/>
            <w:vAlign w:val="center"/>
          </w:tcPr>
          <w:p>
            <w:pPr>
              <w:wordWrap w:val="0"/>
              <w:spacing w:line="360" w:lineRule="exact"/>
              <w:jc w:val="center"/>
              <w:rPr>
                <w:szCs w:val="21"/>
              </w:rPr>
            </w:pPr>
            <w:r>
              <w:rPr>
                <w:rFonts w:hint="eastAsia"/>
                <w:szCs w:val="21"/>
              </w:rPr>
              <w:t>工程内容</w:t>
            </w:r>
          </w:p>
        </w:tc>
        <w:tc>
          <w:tcPr>
            <w:tcW w:w="3200" w:type="dxa"/>
            <w:vAlign w:val="center"/>
          </w:tcPr>
          <w:p>
            <w:pPr>
              <w:wordWrap w:val="0"/>
              <w:spacing w:line="360" w:lineRule="exact"/>
              <w:jc w:val="center"/>
              <w:rPr>
                <w:szCs w:val="21"/>
              </w:rPr>
            </w:pPr>
            <w:r>
              <w:rPr>
                <w:rFonts w:hint="eastAsia"/>
                <w:szCs w:val="21"/>
              </w:rPr>
              <w:t>评价范围</w:t>
            </w:r>
          </w:p>
        </w:tc>
        <w:tc>
          <w:tcPr>
            <w:tcW w:w="1284" w:type="dxa"/>
            <w:vAlign w:val="center"/>
          </w:tcPr>
          <w:p>
            <w:pPr>
              <w:wordWrap w:val="0"/>
              <w:spacing w:line="360" w:lineRule="exact"/>
              <w:jc w:val="center"/>
              <w:rPr>
                <w:szCs w:val="21"/>
              </w:rPr>
            </w:pPr>
            <w:r>
              <w:rPr>
                <w:rFonts w:hint="eastAsia"/>
                <w:szCs w:val="21"/>
              </w:rPr>
              <w:t>工程影响范围（hm</w:t>
            </w:r>
            <w:r>
              <w:rPr>
                <w:rFonts w:hint="eastAsia"/>
                <w:szCs w:val="21"/>
                <w:vertAlign w:val="superscript"/>
              </w:rPr>
              <w:t>2</w:t>
            </w:r>
            <w:r>
              <w:rPr>
                <w:rFonts w:hint="eastAsia"/>
                <w:szCs w:val="21"/>
              </w:rPr>
              <w:t>）</w:t>
            </w:r>
          </w:p>
        </w:tc>
      </w:tr>
      <w:tr>
        <w:tc>
          <w:tcPr>
            <w:tcW w:w="1995"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风力发电机组及箱变</w:t>
            </w:r>
          </w:p>
        </w:tc>
        <w:tc>
          <w:tcPr>
            <w:tcW w:w="2601" w:type="dxa"/>
            <w:vMerge w:val="restart"/>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风力发电机组和箱变基础施工以及吊装施工</w:t>
            </w:r>
          </w:p>
        </w:tc>
        <w:tc>
          <w:tcPr>
            <w:tcW w:w="3200" w:type="dxa"/>
            <w:vMerge w:val="restart"/>
            <w:vAlign w:val="center"/>
          </w:tcPr>
          <w:p>
            <w:pPr>
              <w:wordWrap w:val="0"/>
              <w:spacing w:line="360" w:lineRule="exact"/>
              <w:jc w:val="center"/>
              <w:rPr>
                <w:szCs w:val="21"/>
              </w:rPr>
            </w:pPr>
            <w:r>
              <w:rPr>
                <w:rFonts w:hint="eastAsia"/>
                <w:szCs w:val="21"/>
              </w:rPr>
              <w:t>风力发电机组基础为中心半径500m的区域</w:t>
            </w:r>
          </w:p>
        </w:tc>
        <w:tc>
          <w:tcPr>
            <w:tcW w:w="1284" w:type="dxa"/>
            <w:vMerge w:val="restart"/>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235.5</w:t>
            </w:r>
          </w:p>
        </w:tc>
      </w:tr>
      <w:tr>
        <w:tc>
          <w:tcPr>
            <w:tcW w:w="1995"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吊装平台</w:t>
            </w:r>
          </w:p>
        </w:tc>
        <w:tc>
          <w:tcPr>
            <w:tcW w:w="2601"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c>
          <w:tcPr>
            <w:tcW w:w="3200" w:type="dxa"/>
            <w:vMerge w:val="continue"/>
            <w:vAlign w:val="center"/>
          </w:tcPr>
          <w:p>
            <w:pPr>
              <w:wordWrap w:val="0"/>
              <w:spacing w:line="360" w:lineRule="exact"/>
              <w:jc w:val="center"/>
              <w:rPr>
                <w:szCs w:val="21"/>
              </w:rPr>
            </w:pPr>
          </w:p>
        </w:tc>
        <w:tc>
          <w:tcPr>
            <w:tcW w:w="1284"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r>
      <w:tr>
        <w:tc>
          <w:tcPr>
            <w:tcW w:w="1995"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集电线路</w:t>
            </w:r>
          </w:p>
        </w:tc>
        <w:tc>
          <w:tcPr>
            <w:tcW w:w="2601"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线路的杆塔基础施工</w:t>
            </w:r>
          </w:p>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及线路的架设</w:t>
            </w:r>
          </w:p>
        </w:tc>
        <w:tc>
          <w:tcPr>
            <w:tcW w:w="3200" w:type="dxa"/>
            <w:vMerge w:val="restart"/>
            <w:vAlign w:val="center"/>
          </w:tcPr>
          <w:p>
            <w:pPr>
              <w:wordWrap w:val="0"/>
              <w:spacing w:line="360" w:lineRule="exact"/>
              <w:jc w:val="center"/>
              <w:rPr>
                <w:szCs w:val="21"/>
              </w:rPr>
            </w:pPr>
            <w:r>
              <w:rPr>
                <w:rFonts w:hint="eastAsia"/>
                <w:szCs w:val="21"/>
              </w:rPr>
              <w:t>道路中心线两侧各500m的区域</w:t>
            </w:r>
          </w:p>
        </w:tc>
        <w:tc>
          <w:tcPr>
            <w:tcW w:w="1284" w:type="dxa"/>
            <w:vMerge w:val="restart"/>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518</w:t>
            </w:r>
          </w:p>
        </w:tc>
      </w:tr>
      <w:tr>
        <w:tc>
          <w:tcPr>
            <w:tcW w:w="1995"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施工临时占地</w:t>
            </w:r>
          </w:p>
        </w:tc>
        <w:tc>
          <w:tcPr>
            <w:tcW w:w="2601"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施工营地</w:t>
            </w:r>
          </w:p>
        </w:tc>
        <w:tc>
          <w:tcPr>
            <w:tcW w:w="3200" w:type="dxa"/>
            <w:vMerge w:val="continue"/>
            <w:vAlign w:val="center"/>
          </w:tcPr>
          <w:p>
            <w:pPr>
              <w:wordWrap w:val="0"/>
              <w:spacing w:line="360" w:lineRule="exact"/>
              <w:jc w:val="center"/>
              <w:rPr>
                <w:szCs w:val="21"/>
              </w:rPr>
            </w:pPr>
          </w:p>
        </w:tc>
        <w:tc>
          <w:tcPr>
            <w:tcW w:w="1284"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r>
      <w:tr>
        <w:tc>
          <w:tcPr>
            <w:tcW w:w="1995"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施工及检修道路</w:t>
            </w:r>
          </w:p>
        </w:tc>
        <w:tc>
          <w:tcPr>
            <w:tcW w:w="2601" w:type="dxa"/>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r>
              <w:rPr>
                <w:rFonts w:hint="eastAsia" w:ascii="Times New Roman" w:hAnsi="Times New Roman" w:cs="Times New Roman"/>
                <w:sz w:val="21"/>
                <w:szCs w:val="21"/>
              </w:rPr>
              <w:t>施工检修道路施工</w:t>
            </w:r>
          </w:p>
        </w:tc>
        <w:tc>
          <w:tcPr>
            <w:tcW w:w="3200" w:type="dxa"/>
            <w:vMerge w:val="continue"/>
            <w:vAlign w:val="center"/>
          </w:tcPr>
          <w:p>
            <w:pPr>
              <w:wordWrap w:val="0"/>
              <w:spacing w:line="360" w:lineRule="exact"/>
              <w:jc w:val="center"/>
              <w:rPr>
                <w:szCs w:val="21"/>
              </w:rPr>
            </w:pPr>
          </w:p>
        </w:tc>
        <w:tc>
          <w:tcPr>
            <w:tcW w:w="1284" w:type="dxa"/>
            <w:vMerge w:val="continue"/>
            <w:vAlign w:val="center"/>
          </w:tcPr>
          <w:p>
            <w:pPr>
              <w:pStyle w:val="29"/>
              <w:wordWrap w:val="0"/>
              <w:spacing w:before="0" w:beforeAutospacing="0" w:after="0" w:afterAutospacing="0" w:line="360" w:lineRule="exact"/>
              <w:jc w:val="center"/>
              <w:rPr>
                <w:rFonts w:ascii="Times New Roman" w:hAnsi="Times New Roman" w:cs="Times New Roman"/>
                <w:sz w:val="21"/>
                <w:szCs w:val="21"/>
              </w:rPr>
            </w:pPr>
          </w:p>
        </w:tc>
      </w:tr>
      <w:tr>
        <w:tc>
          <w:tcPr>
            <w:tcW w:w="7796" w:type="dxa"/>
            <w:gridSpan w:val="3"/>
            <w:vAlign w:val="center"/>
          </w:tcPr>
          <w:p>
            <w:pPr>
              <w:wordWrap w:val="0"/>
              <w:spacing w:line="360" w:lineRule="exact"/>
              <w:jc w:val="center"/>
              <w:rPr>
                <w:szCs w:val="21"/>
              </w:rPr>
            </w:pPr>
            <w:r>
              <w:rPr>
                <w:rFonts w:hint="eastAsia"/>
                <w:szCs w:val="21"/>
              </w:rPr>
              <w:t>合       计</w:t>
            </w:r>
          </w:p>
        </w:tc>
        <w:tc>
          <w:tcPr>
            <w:tcW w:w="1284" w:type="dxa"/>
            <w:vAlign w:val="center"/>
          </w:tcPr>
          <w:p>
            <w:pPr>
              <w:wordWrap w:val="0"/>
              <w:spacing w:line="360" w:lineRule="exact"/>
              <w:jc w:val="center"/>
              <w:rPr>
                <w:szCs w:val="21"/>
              </w:rPr>
            </w:pPr>
            <w:r>
              <w:rPr>
                <w:rFonts w:hint="eastAsia"/>
                <w:szCs w:val="21"/>
              </w:rPr>
              <w:t>753.5</w:t>
            </w:r>
          </w:p>
        </w:tc>
      </w:tr>
    </w:tbl>
    <w:p>
      <w:pPr>
        <w:pStyle w:val="3"/>
        <w:wordWrap w:val="0"/>
        <w:spacing w:after="156"/>
        <w:rPr>
          <w:rFonts w:eastAsia="宋体"/>
          <w:b/>
          <w:bCs/>
          <w:color w:val="auto"/>
        </w:rPr>
      </w:pPr>
      <w:bookmarkStart w:id="267" w:name="_Toc479326697"/>
      <w:bookmarkStart w:id="268" w:name="_Toc528854955"/>
      <w:r>
        <w:rPr>
          <w:rFonts w:eastAsia="宋体"/>
          <w:b/>
          <w:bCs/>
          <w:color w:val="auto"/>
        </w:rPr>
        <w:t>2</w:t>
      </w:r>
      <w:r>
        <w:rPr>
          <w:rFonts w:hint="eastAsia" w:eastAsia="宋体"/>
          <w:b/>
          <w:bCs/>
          <w:color w:val="auto"/>
        </w:rPr>
        <w:t>、</w:t>
      </w:r>
      <w:r>
        <w:rPr>
          <w:rFonts w:eastAsia="宋体"/>
          <w:b/>
          <w:bCs/>
          <w:color w:val="auto"/>
        </w:rPr>
        <w:t>生态环境现状调查与评价</w:t>
      </w:r>
      <w:bookmarkEnd w:id="266"/>
      <w:bookmarkEnd w:id="267"/>
      <w:bookmarkEnd w:id="268"/>
    </w:p>
    <w:p>
      <w:pPr>
        <w:pStyle w:val="4"/>
        <w:wordWrap w:val="0"/>
        <w:adjustRightInd w:val="0"/>
        <w:snapToGrid w:val="0"/>
        <w:spacing w:before="0" w:after="0" w:line="520" w:lineRule="exact"/>
        <w:ind w:left="617" w:hanging="617" w:hangingChars="256"/>
        <w:rPr>
          <w:sz w:val="24"/>
          <w:szCs w:val="24"/>
        </w:rPr>
      </w:pPr>
      <w:bookmarkStart w:id="269" w:name="_Toc396142026"/>
      <w:bookmarkStart w:id="270" w:name="_Toc436993113"/>
      <w:bookmarkStart w:id="271" w:name="_Toc528854956"/>
      <w:r>
        <w:rPr>
          <w:rFonts w:hint="eastAsia"/>
          <w:sz w:val="24"/>
          <w:szCs w:val="24"/>
        </w:rPr>
        <w:t>2.1土壤类型及分布</w:t>
      </w:r>
      <w:bookmarkEnd w:id="269"/>
      <w:bookmarkEnd w:id="270"/>
      <w:bookmarkEnd w:id="271"/>
    </w:p>
    <w:p>
      <w:pPr>
        <w:wordWrap w:val="0"/>
        <w:spacing w:line="420" w:lineRule="exact"/>
        <w:ind w:firstLine="496" w:firstLineChars="200"/>
        <w:rPr>
          <w:bCs/>
          <w:spacing w:val="4"/>
          <w:sz w:val="24"/>
        </w:rPr>
      </w:pPr>
      <w:bookmarkStart w:id="272" w:name="_Toc396142027"/>
      <w:bookmarkStart w:id="273" w:name="_Toc436993114"/>
      <w:r>
        <w:rPr>
          <w:rFonts w:hint="eastAsia"/>
          <w:bCs/>
          <w:spacing w:val="4"/>
          <w:sz w:val="24"/>
        </w:rPr>
        <w:t>根据</w:t>
      </w:r>
      <w:r>
        <w:rPr>
          <w:rFonts w:hint="eastAsia"/>
          <w:sz w:val="24"/>
        </w:rPr>
        <w:t>土壤普查</w:t>
      </w:r>
      <w:r>
        <w:rPr>
          <w:rFonts w:hint="eastAsia"/>
          <w:bCs/>
          <w:spacing w:val="4"/>
          <w:sz w:val="24"/>
        </w:rPr>
        <w:t>结果表明，全县土壤可分</w:t>
      </w:r>
      <w:r>
        <w:rPr>
          <w:bCs/>
          <w:spacing w:val="4"/>
          <w:sz w:val="24"/>
        </w:rPr>
        <w:t>4</w:t>
      </w:r>
      <w:r>
        <w:rPr>
          <w:rFonts w:hint="eastAsia"/>
          <w:bCs/>
          <w:spacing w:val="4"/>
          <w:sz w:val="24"/>
        </w:rPr>
        <w:t>类，</w:t>
      </w:r>
      <w:r>
        <w:rPr>
          <w:bCs/>
          <w:spacing w:val="4"/>
          <w:sz w:val="24"/>
        </w:rPr>
        <w:t>11</w:t>
      </w:r>
      <w:r>
        <w:rPr>
          <w:rFonts w:hint="eastAsia"/>
          <w:bCs/>
          <w:spacing w:val="4"/>
          <w:sz w:val="24"/>
        </w:rPr>
        <w:t>个亚类，</w:t>
      </w:r>
      <w:r>
        <w:rPr>
          <w:bCs/>
          <w:spacing w:val="4"/>
          <w:sz w:val="24"/>
        </w:rPr>
        <w:t>26</w:t>
      </w:r>
      <w:r>
        <w:rPr>
          <w:rFonts w:hint="eastAsia"/>
          <w:bCs/>
          <w:spacing w:val="4"/>
          <w:sz w:val="24"/>
        </w:rPr>
        <w:t>个属，</w:t>
      </w:r>
      <w:r>
        <w:rPr>
          <w:bCs/>
          <w:spacing w:val="4"/>
          <w:sz w:val="24"/>
        </w:rPr>
        <w:t>33</w:t>
      </w:r>
      <w:r>
        <w:rPr>
          <w:rFonts w:hint="eastAsia"/>
          <w:bCs/>
          <w:spacing w:val="4"/>
          <w:sz w:val="24"/>
        </w:rPr>
        <w:t>个土种，灰褐土类是主要土类，面积为</w:t>
      </w:r>
      <w:r>
        <w:rPr>
          <w:bCs/>
          <w:spacing w:val="4"/>
          <w:sz w:val="24"/>
        </w:rPr>
        <w:t>1776km</w:t>
      </w:r>
      <w:r>
        <w:rPr>
          <w:bCs/>
          <w:spacing w:val="4"/>
          <w:sz w:val="24"/>
          <w:vertAlign w:val="superscript"/>
        </w:rPr>
        <w:t>2</w:t>
      </w:r>
      <w:r>
        <w:rPr>
          <w:rFonts w:hint="eastAsia"/>
          <w:bCs/>
          <w:spacing w:val="4"/>
          <w:sz w:val="24"/>
        </w:rPr>
        <w:t>，土壤质地适中，土层深厚，疏松易耕，保水保肥性能良好，全县的主要农田地土壤属于此土类。此外，有</w:t>
      </w:r>
      <w:r>
        <w:rPr>
          <w:bCs/>
          <w:spacing w:val="4"/>
          <w:sz w:val="24"/>
        </w:rPr>
        <w:t>54.33km2</w:t>
      </w:r>
      <w:r>
        <w:rPr>
          <w:rFonts w:hint="eastAsia"/>
          <w:bCs/>
          <w:spacing w:val="4"/>
          <w:sz w:val="24"/>
        </w:rPr>
        <w:t>山地棕壤和生草棕壤，土层厚，养分丰富，土壤湿润，易林木生长。具体如下：</w:t>
      </w:r>
      <w:r>
        <w:rPr>
          <w:bCs/>
          <w:spacing w:val="4"/>
          <w:sz w:val="24"/>
        </w:rPr>
        <w:t xml:space="preserve"> </w:t>
      </w:r>
    </w:p>
    <w:p>
      <w:pPr>
        <w:wordWrap w:val="0"/>
        <w:spacing w:line="420" w:lineRule="exact"/>
        <w:ind w:firstLine="496" w:firstLineChars="200"/>
        <w:rPr>
          <w:bCs/>
          <w:spacing w:val="4"/>
          <w:sz w:val="24"/>
        </w:rPr>
      </w:pPr>
      <w:r>
        <w:rPr>
          <w:rFonts w:hint="eastAsia"/>
          <w:bCs/>
          <w:spacing w:val="4"/>
          <w:sz w:val="24"/>
        </w:rPr>
        <w:t>山地草甸土</w:t>
      </w:r>
      <w:r>
        <w:rPr>
          <w:rFonts w:hint="eastAsia"/>
          <w:sz w:val="24"/>
        </w:rPr>
        <w:t>分布</w:t>
      </w:r>
      <w:r>
        <w:rPr>
          <w:rFonts w:hint="eastAsia"/>
          <w:bCs/>
          <w:spacing w:val="4"/>
          <w:sz w:val="24"/>
        </w:rPr>
        <w:t>在东南部的荷叶坪山、黄花山、中寨登山的山顶，海拔</w:t>
      </w:r>
      <w:r>
        <w:rPr>
          <w:bCs/>
          <w:spacing w:val="4"/>
          <w:sz w:val="24"/>
        </w:rPr>
        <w:t>2000~2783</w:t>
      </w:r>
      <w:r>
        <w:rPr>
          <w:rFonts w:hint="eastAsia"/>
          <w:bCs/>
          <w:spacing w:val="4"/>
          <w:sz w:val="24"/>
        </w:rPr>
        <w:t>米的缓坡台上。有亚高山草甸与山地草原草甸土。不宜林木生长，只能生长矮小的少草科、苔藓、豆科草。</w:t>
      </w:r>
      <w:r>
        <w:rPr>
          <w:bCs/>
          <w:spacing w:val="4"/>
          <w:sz w:val="24"/>
        </w:rPr>
        <w:t xml:space="preserve"> </w:t>
      </w:r>
    </w:p>
    <w:p>
      <w:pPr>
        <w:wordWrap w:val="0"/>
        <w:spacing w:line="420" w:lineRule="exact"/>
        <w:ind w:firstLine="480" w:firstLineChars="200"/>
        <w:rPr>
          <w:bCs/>
          <w:spacing w:val="4"/>
          <w:sz w:val="24"/>
        </w:rPr>
      </w:pPr>
      <w:r>
        <w:rPr>
          <w:rFonts w:hint="eastAsia"/>
          <w:sz w:val="24"/>
        </w:rPr>
        <w:t>棕壤</w:t>
      </w:r>
      <w:r>
        <w:rPr>
          <w:rFonts w:hint="eastAsia"/>
          <w:bCs/>
          <w:spacing w:val="4"/>
          <w:sz w:val="24"/>
        </w:rPr>
        <w:t>土主要分布于东部及东南部的半山区，海拔范围大致在</w:t>
      </w:r>
      <w:r>
        <w:rPr>
          <w:bCs/>
          <w:spacing w:val="4"/>
          <w:sz w:val="24"/>
        </w:rPr>
        <w:t>1950~2600</w:t>
      </w:r>
      <w:r>
        <w:rPr>
          <w:rFonts w:hint="eastAsia"/>
          <w:bCs/>
          <w:spacing w:val="4"/>
          <w:sz w:val="24"/>
        </w:rPr>
        <w:t>米之间。具有中性或微酸性反应。分两个亚类，即山地棕壤与生草棕壤。是针叶林与针阔叶混交林植被发育的森林土壤。</w:t>
      </w:r>
      <w:r>
        <w:rPr>
          <w:bCs/>
          <w:spacing w:val="4"/>
          <w:sz w:val="24"/>
        </w:rPr>
        <w:t xml:space="preserve"> </w:t>
      </w:r>
    </w:p>
    <w:p>
      <w:pPr>
        <w:wordWrap w:val="0"/>
        <w:spacing w:line="420" w:lineRule="exact"/>
        <w:ind w:firstLine="496" w:firstLineChars="200"/>
        <w:rPr>
          <w:bCs/>
          <w:spacing w:val="4"/>
          <w:sz w:val="24"/>
        </w:rPr>
      </w:pPr>
      <w:r>
        <w:rPr>
          <w:rFonts w:hint="eastAsia"/>
          <w:bCs/>
          <w:spacing w:val="4"/>
          <w:sz w:val="24"/>
        </w:rPr>
        <w:t>灰褐土是重要林区土壤，广泛的分布在全县海拔</w:t>
      </w:r>
      <w:r>
        <w:rPr>
          <w:bCs/>
          <w:spacing w:val="4"/>
          <w:sz w:val="24"/>
        </w:rPr>
        <w:t>1000~2200</w:t>
      </w:r>
      <w:r>
        <w:rPr>
          <w:rFonts w:hint="eastAsia"/>
          <w:bCs/>
          <w:spacing w:val="4"/>
          <w:sz w:val="24"/>
        </w:rPr>
        <w:t>米阶地、丘陵和土地上，灰褐土分四个亚类，即：</w:t>
      </w:r>
      <w:r>
        <w:rPr>
          <w:bCs/>
          <w:spacing w:val="4"/>
          <w:sz w:val="24"/>
        </w:rPr>
        <w:t xml:space="preserve"> </w:t>
      </w:r>
    </w:p>
    <w:p>
      <w:pPr>
        <w:wordWrap w:val="0"/>
        <w:spacing w:line="420" w:lineRule="exact"/>
        <w:ind w:firstLine="496" w:firstLineChars="200"/>
        <w:rPr>
          <w:bCs/>
          <w:spacing w:val="4"/>
          <w:sz w:val="24"/>
        </w:rPr>
      </w:pPr>
      <w:r>
        <w:rPr>
          <w:rFonts w:hint="eastAsia"/>
          <w:bCs/>
          <w:spacing w:val="4"/>
          <w:sz w:val="24"/>
        </w:rPr>
        <w:t>（1）淋溶灰褐土分布于县东北部、东部、东南部和南部，海拔</w:t>
      </w:r>
      <w:r>
        <w:rPr>
          <w:bCs/>
          <w:spacing w:val="4"/>
          <w:sz w:val="24"/>
        </w:rPr>
        <w:t>1650~2200</w:t>
      </w:r>
      <w:r>
        <w:rPr>
          <w:rFonts w:hint="eastAsia"/>
          <w:bCs/>
          <w:spacing w:val="4"/>
          <w:sz w:val="24"/>
        </w:rPr>
        <w:t>米的低中山区，上部棕壤相邻，下部向山地灰褐土过度，一般阴坡出现阳坡高，部分地区淋溶线更多。</w:t>
      </w:r>
    </w:p>
    <w:p>
      <w:pPr>
        <w:wordWrap w:val="0"/>
        <w:snapToGrid w:val="0"/>
        <w:spacing w:line="420" w:lineRule="exact"/>
        <w:ind w:firstLine="496" w:firstLineChars="200"/>
        <w:rPr>
          <w:bCs/>
          <w:spacing w:val="4"/>
          <w:sz w:val="24"/>
        </w:rPr>
      </w:pPr>
      <w:r>
        <w:rPr>
          <w:rFonts w:hint="eastAsia"/>
          <w:bCs/>
          <w:spacing w:val="4"/>
          <w:sz w:val="24"/>
        </w:rPr>
        <w:t>（</w:t>
      </w:r>
      <w:r>
        <w:rPr>
          <w:bCs/>
          <w:spacing w:val="4"/>
          <w:sz w:val="24"/>
        </w:rPr>
        <w:t>2</w:t>
      </w:r>
      <w:r>
        <w:rPr>
          <w:rFonts w:hint="eastAsia"/>
          <w:bCs/>
          <w:spacing w:val="4"/>
          <w:sz w:val="24"/>
        </w:rPr>
        <w:t>）山地灰褐土发育分布于山地灰褐土地区广大土石山地上，又是本县灰褐土中面积最大的亚类，遍及全县，海拔</w:t>
      </w:r>
      <w:r>
        <w:rPr>
          <w:bCs/>
          <w:spacing w:val="4"/>
          <w:sz w:val="24"/>
        </w:rPr>
        <w:t>1000~2050</w:t>
      </w:r>
      <w:r>
        <w:rPr>
          <w:rFonts w:hint="eastAsia"/>
          <w:bCs/>
          <w:spacing w:val="4"/>
          <w:sz w:val="24"/>
        </w:rPr>
        <w:t>米的土石山区。部分土壤与淋溶褐土复域分布，大部分分布于淋溶褐土下位的土地上。</w:t>
      </w:r>
      <w:r>
        <w:rPr>
          <w:bCs/>
          <w:spacing w:val="4"/>
          <w:sz w:val="24"/>
        </w:rPr>
        <w:t xml:space="preserve"> </w:t>
      </w:r>
    </w:p>
    <w:p>
      <w:pPr>
        <w:wordWrap w:val="0"/>
        <w:snapToGrid w:val="0"/>
        <w:spacing w:line="420" w:lineRule="exact"/>
        <w:ind w:firstLine="496" w:firstLineChars="200"/>
        <w:rPr>
          <w:bCs/>
          <w:spacing w:val="4"/>
          <w:sz w:val="24"/>
        </w:rPr>
      </w:pPr>
      <w:r>
        <w:rPr>
          <w:rFonts w:hint="eastAsia"/>
          <w:bCs/>
          <w:spacing w:val="4"/>
          <w:sz w:val="24"/>
        </w:rPr>
        <w:t>（</w:t>
      </w:r>
      <w:r>
        <w:rPr>
          <w:bCs/>
          <w:spacing w:val="4"/>
          <w:sz w:val="24"/>
        </w:rPr>
        <w:t>3</w:t>
      </w:r>
      <w:r>
        <w:rPr>
          <w:rFonts w:hint="eastAsia"/>
          <w:bCs/>
          <w:spacing w:val="4"/>
          <w:sz w:val="24"/>
        </w:rPr>
        <w:t>）淡灰褐土分布于本县北川、南川狭长带状丘间盆地，海拔范围</w:t>
      </w:r>
      <w:r>
        <w:rPr>
          <w:bCs/>
          <w:spacing w:val="4"/>
          <w:sz w:val="24"/>
        </w:rPr>
        <w:t>1300~1500</w:t>
      </w:r>
      <w:r>
        <w:rPr>
          <w:rFonts w:hint="eastAsia"/>
          <w:bCs/>
          <w:spacing w:val="4"/>
          <w:sz w:val="24"/>
        </w:rPr>
        <w:t>米之间。地势平坦，表面基本不受侵蚀，底土不受地下水的影响，是良好的农业土壤。土质上下较均匀，土性较绵。在季节性淋溶作用下，土体中下部有不明显的弱粘化现象和假菌丝体淀积，母质多以黄土状为主，其次有古黑垆土。在岚漪河谷两岸低河地上，大部分为农田所用。</w:t>
      </w:r>
    </w:p>
    <w:p>
      <w:pPr>
        <w:wordWrap w:val="0"/>
        <w:snapToGrid w:val="0"/>
        <w:spacing w:line="420" w:lineRule="exact"/>
        <w:ind w:firstLine="496" w:firstLineChars="200"/>
        <w:rPr>
          <w:bCs/>
          <w:spacing w:val="4"/>
          <w:sz w:val="24"/>
        </w:rPr>
      </w:pPr>
      <w:r>
        <w:rPr>
          <w:rFonts w:hint="eastAsia"/>
          <w:bCs/>
          <w:spacing w:val="4"/>
          <w:sz w:val="24"/>
        </w:rPr>
        <w:t>（</w:t>
      </w:r>
      <w:r>
        <w:rPr>
          <w:bCs/>
          <w:spacing w:val="4"/>
          <w:sz w:val="24"/>
        </w:rPr>
        <w:t>4</w:t>
      </w:r>
      <w:r>
        <w:rPr>
          <w:rFonts w:hint="eastAsia"/>
          <w:bCs/>
          <w:spacing w:val="4"/>
          <w:sz w:val="24"/>
        </w:rPr>
        <w:t>）草甸土主要分布于岚漪河及其支流两岸的低阶地上，目前已大都开垦种植，而且是重要的农业利用土壤。有两个亚类，一是浅色草甸土，二是盐化浅色草甸土。</w:t>
      </w:r>
    </w:p>
    <w:p>
      <w:pPr>
        <w:wordWrap w:val="0"/>
        <w:spacing w:line="420" w:lineRule="exact"/>
        <w:ind w:firstLine="480" w:firstLineChars="200"/>
        <w:rPr>
          <w:sz w:val="24"/>
        </w:rPr>
      </w:pPr>
      <w:r>
        <w:rPr>
          <w:rFonts w:hint="eastAsia"/>
          <w:sz w:val="24"/>
        </w:rPr>
        <w:t>项目区的土壤类型主要为褐土。</w:t>
      </w:r>
    </w:p>
    <w:p>
      <w:pPr>
        <w:pStyle w:val="4"/>
        <w:wordWrap w:val="0"/>
        <w:adjustRightInd w:val="0"/>
        <w:snapToGrid w:val="0"/>
        <w:spacing w:before="0" w:after="0" w:line="520" w:lineRule="exact"/>
        <w:ind w:left="617" w:hanging="617" w:hangingChars="256"/>
        <w:rPr>
          <w:sz w:val="24"/>
          <w:szCs w:val="24"/>
        </w:rPr>
      </w:pPr>
      <w:bookmarkStart w:id="274" w:name="_Toc528854957"/>
      <w:r>
        <w:rPr>
          <w:rFonts w:hint="eastAsia"/>
          <w:sz w:val="24"/>
          <w:szCs w:val="24"/>
        </w:rPr>
        <w:t>2.2土地利用现状</w:t>
      </w:r>
      <w:bookmarkEnd w:id="272"/>
      <w:bookmarkEnd w:id="273"/>
      <w:bookmarkEnd w:id="274"/>
    </w:p>
    <w:p>
      <w:pPr>
        <w:wordWrap w:val="0"/>
        <w:spacing w:line="420" w:lineRule="exact"/>
        <w:ind w:firstLine="480" w:firstLineChars="200"/>
        <w:rPr>
          <w:sz w:val="24"/>
        </w:rPr>
      </w:pPr>
      <w:bookmarkStart w:id="275" w:name="_Toc436993115"/>
      <w:bookmarkStart w:id="276" w:name="_Toc396142028"/>
      <w:r>
        <w:rPr>
          <w:rFonts w:hint="eastAsia"/>
          <w:sz w:val="24"/>
        </w:rPr>
        <w:t>土地利用信息是区域生态环境评价的重要指标之一，</w:t>
      </w:r>
      <w:r>
        <w:rPr>
          <w:sz w:val="24"/>
        </w:rPr>
        <w:t>本次解译采用</w:t>
      </w:r>
      <w:r>
        <w:rPr>
          <w:rFonts w:hint="eastAsia"/>
          <w:sz w:val="24"/>
        </w:rPr>
        <w:t>2017年9月的2.5m分辨率的卫星遥感影像，采用目视+解译结合实地调查完成了最终的解译，给出了项目所在区域的土地利用现状图。评价区及工程永久占地土地利用现状分类统计见表3。土地利用现状图见附图12。</w:t>
      </w:r>
    </w:p>
    <w:p>
      <w:pPr>
        <w:spacing w:line="440" w:lineRule="exact"/>
        <w:ind w:firstLine="480" w:firstLineChars="200"/>
        <w:jc w:val="center"/>
        <w:rPr>
          <w:sz w:val="24"/>
        </w:rPr>
      </w:pPr>
      <w:r>
        <w:rPr>
          <w:rFonts w:hint="eastAsia"/>
          <w:sz w:val="24"/>
        </w:rPr>
        <w:t>表3    评价区及工程永久占地区土地利用现状分类统计表</w:t>
      </w:r>
    </w:p>
    <w:tbl>
      <w:tblPr>
        <w:tblW w:w="9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812"/>
        <w:gridCol w:w="1868"/>
        <w:gridCol w:w="1870"/>
        <w:gridCol w:w="1868"/>
        <w:gridCol w:w="1868"/>
      </w:tblGrid>
      <w:tr>
        <w:trPr>
          <w:trHeight w:val="397" w:hRule="atLeast"/>
        </w:trPr>
        <w:tc>
          <w:tcPr>
            <w:tcW w:w="1812" w:type="dxa"/>
            <w:vMerge w:val="restart"/>
            <w:vAlign w:val="center"/>
          </w:tcPr>
          <w:p>
            <w:pPr>
              <w:spacing w:line="360" w:lineRule="exact"/>
              <w:jc w:val="center"/>
              <w:rPr>
                <w:szCs w:val="21"/>
              </w:rPr>
            </w:pPr>
            <w:r>
              <w:rPr>
                <w:rFonts w:hint="eastAsia"/>
                <w:szCs w:val="21"/>
              </w:rPr>
              <w:t>土地</w:t>
            </w:r>
            <w:r>
              <w:rPr>
                <w:szCs w:val="21"/>
              </w:rPr>
              <w:t>类型</w:t>
            </w:r>
          </w:p>
        </w:tc>
        <w:tc>
          <w:tcPr>
            <w:tcW w:w="3738" w:type="dxa"/>
            <w:gridSpan w:val="2"/>
            <w:vAlign w:val="center"/>
          </w:tcPr>
          <w:p>
            <w:pPr>
              <w:spacing w:line="360" w:lineRule="exact"/>
              <w:jc w:val="center"/>
              <w:rPr>
                <w:szCs w:val="21"/>
              </w:rPr>
            </w:pPr>
            <w:r>
              <w:rPr>
                <w:szCs w:val="21"/>
              </w:rPr>
              <w:t>评价区</w:t>
            </w:r>
          </w:p>
        </w:tc>
        <w:tc>
          <w:tcPr>
            <w:tcW w:w="3736" w:type="dxa"/>
            <w:gridSpan w:val="2"/>
            <w:vAlign w:val="center"/>
          </w:tcPr>
          <w:p>
            <w:pPr>
              <w:spacing w:line="360" w:lineRule="exact"/>
              <w:jc w:val="center"/>
              <w:rPr>
                <w:szCs w:val="21"/>
              </w:rPr>
            </w:pPr>
            <w:r>
              <w:rPr>
                <w:szCs w:val="21"/>
              </w:rPr>
              <w:t>工程永久占地区</w:t>
            </w:r>
          </w:p>
        </w:tc>
      </w:tr>
      <w:tr>
        <w:trPr>
          <w:trHeight w:val="397" w:hRule="atLeast"/>
        </w:trPr>
        <w:tc>
          <w:tcPr>
            <w:tcW w:w="1812" w:type="dxa"/>
            <w:vMerge w:val="continue"/>
            <w:vAlign w:val="center"/>
          </w:tcPr>
          <w:p>
            <w:pPr>
              <w:spacing w:line="360" w:lineRule="exact"/>
              <w:jc w:val="center"/>
              <w:rPr>
                <w:szCs w:val="21"/>
              </w:rPr>
            </w:pPr>
          </w:p>
        </w:tc>
        <w:tc>
          <w:tcPr>
            <w:tcW w:w="1868" w:type="dxa"/>
            <w:vAlign w:val="center"/>
          </w:tcPr>
          <w:p>
            <w:pPr>
              <w:spacing w:line="360" w:lineRule="exact"/>
              <w:jc w:val="center"/>
              <w:rPr>
                <w:szCs w:val="21"/>
              </w:rPr>
            </w:pPr>
            <w:r>
              <w:rPr>
                <w:szCs w:val="21"/>
              </w:rPr>
              <w:t>面积（</w:t>
            </w:r>
            <w:r>
              <w:rPr>
                <w:rFonts w:hint="eastAsia"/>
                <w:szCs w:val="21"/>
              </w:rPr>
              <w:t>m</w:t>
            </w:r>
            <w:r>
              <w:rPr>
                <w:rFonts w:hint="eastAsia"/>
                <w:szCs w:val="21"/>
                <w:vertAlign w:val="superscript"/>
              </w:rPr>
              <w:t>2</w:t>
            </w:r>
            <w:r>
              <w:rPr>
                <w:szCs w:val="21"/>
              </w:rPr>
              <w:t>）</w:t>
            </w:r>
          </w:p>
        </w:tc>
        <w:tc>
          <w:tcPr>
            <w:tcW w:w="1870" w:type="dxa"/>
            <w:vAlign w:val="center"/>
          </w:tcPr>
          <w:p>
            <w:pPr>
              <w:spacing w:line="360" w:lineRule="exact"/>
              <w:jc w:val="center"/>
              <w:rPr>
                <w:szCs w:val="21"/>
              </w:rPr>
            </w:pPr>
            <w:r>
              <w:rPr>
                <w:szCs w:val="21"/>
              </w:rPr>
              <w:t>比例（%）</w:t>
            </w:r>
          </w:p>
        </w:tc>
        <w:tc>
          <w:tcPr>
            <w:tcW w:w="1868" w:type="dxa"/>
            <w:vAlign w:val="center"/>
          </w:tcPr>
          <w:p>
            <w:pPr>
              <w:spacing w:line="360" w:lineRule="exact"/>
              <w:jc w:val="center"/>
              <w:rPr>
                <w:szCs w:val="21"/>
              </w:rPr>
            </w:pPr>
            <w:r>
              <w:rPr>
                <w:szCs w:val="21"/>
              </w:rPr>
              <w:t>面积（</w:t>
            </w:r>
            <w:r>
              <w:rPr>
                <w:rFonts w:hint="eastAsia"/>
                <w:szCs w:val="21"/>
              </w:rPr>
              <w:t>hm</w:t>
            </w:r>
            <w:r>
              <w:rPr>
                <w:rFonts w:hint="eastAsia"/>
                <w:szCs w:val="21"/>
                <w:vertAlign w:val="superscript"/>
              </w:rPr>
              <w:t>2</w:t>
            </w:r>
            <w:r>
              <w:rPr>
                <w:szCs w:val="21"/>
              </w:rPr>
              <w:t>）</w:t>
            </w:r>
          </w:p>
        </w:tc>
        <w:tc>
          <w:tcPr>
            <w:tcW w:w="1868" w:type="dxa"/>
            <w:vAlign w:val="center"/>
          </w:tcPr>
          <w:p>
            <w:pPr>
              <w:spacing w:line="360" w:lineRule="exact"/>
              <w:jc w:val="center"/>
              <w:rPr>
                <w:szCs w:val="21"/>
              </w:rPr>
            </w:pPr>
            <w:r>
              <w:rPr>
                <w:szCs w:val="21"/>
              </w:rPr>
              <w:t>比例（%）</w:t>
            </w:r>
          </w:p>
        </w:tc>
      </w:tr>
      <w:tr>
        <w:trPr>
          <w:trHeight w:val="397" w:hRule="atLeast"/>
        </w:trPr>
        <w:tc>
          <w:tcPr>
            <w:tcW w:w="1812" w:type="dxa"/>
            <w:vAlign w:val="center"/>
          </w:tcPr>
          <w:p>
            <w:pPr>
              <w:spacing w:line="360" w:lineRule="exact"/>
              <w:jc w:val="center"/>
              <w:rPr>
                <w:szCs w:val="21"/>
              </w:rPr>
            </w:pPr>
            <w:bookmarkStart w:id="277" w:name="OLE_LINK33" w:colFirst="2" w:colLast="2"/>
            <w:bookmarkStart w:id="278" w:name="OLE_LINK34" w:colFirst="2" w:colLast="2"/>
            <w:bookmarkStart w:id="279" w:name="_Hlk436041997"/>
            <w:r>
              <w:rPr>
                <w:rFonts w:hint="eastAsia"/>
                <w:szCs w:val="21"/>
              </w:rPr>
              <w:t>林地</w:t>
            </w:r>
          </w:p>
        </w:tc>
        <w:tc>
          <w:tcPr>
            <w:tcW w:w="1868" w:type="dxa"/>
            <w:vAlign w:val="center"/>
          </w:tcPr>
          <w:p>
            <w:pPr>
              <w:widowControl/>
              <w:spacing w:line="360" w:lineRule="exact"/>
              <w:jc w:val="center"/>
              <w:textAlignment w:val="center"/>
              <w:rPr>
                <w:szCs w:val="21"/>
              </w:rPr>
            </w:pPr>
            <w:r>
              <w:rPr>
                <w:rFonts w:hint="eastAsia"/>
                <w:szCs w:val="21"/>
              </w:rPr>
              <w:t>11682</w:t>
            </w:r>
          </w:p>
        </w:tc>
        <w:tc>
          <w:tcPr>
            <w:tcW w:w="1870" w:type="dxa"/>
            <w:vAlign w:val="center"/>
          </w:tcPr>
          <w:p>
            <w:pPr>
              <w:spacing w:line="360" w:lineRule="exact"/>
              <w:jc w:val="center"/>
              <w:rPr>
                <w:szCs w:val="21"/>
              </w:rPr>
            </w:pPr>
            <w:r>
              <w:rPr>
                <w:rFonts w:hint="eastAsia"/>
                <w:szCs w:val="21"/>
              </w:rPr>
              <w:t>34.06</w:t>
            </w:r>
          </w:p>
        </w:tc>
        <w:tc>
          <w:tcPr>
            <w:tcW w:w="1868" w:type="dxa"/>
            <w:vAlign w:val="center"/>
          </w:tcPr>
          <w:p>
            <w:pPr>
              <w:widowControl/>
              <w:spacing w:line="360" w:lineRule="exact"/>
              <w:jc w:val="center"/>
              <w:textAlignment w:val="center"/>
              <w:rPr>
                <w:szCs w:val="21"/>
              </w:rPr>
            </w:pPr>
            <w:r>
              <w:rPr>
                <w:rFonts w:hint="eastAsia"/>
                <w:szCs w:val="21"/>
              </w:rPr>
              <w:t>481.33</w:t>
            </w:r>
          </w:p>
        </w:tc>
        <w:tc>
          <w:tcPr>
            <w:tcW w:w="1868" w:type="dxa"/>
            <w:vAlign w:val="center"/>
          </w:tcPr>
          <w:p>
            <w:pPr>
              <w:spacing w:line="360" w:lineRule="exact"/>
              <w:jc w:val="center"/>
              <w:rPr>
                <w:szCs w:val="21"/>
              </w:rPr>
            </w:pPr>
            <w:r>
              <w:rPr>
                <w:rFonts w:hint="eastAsia"/>
                <w:szCs w:val="21"/>
              </w:rPr>
              <w:t>63.88</w:t>
            </w:r>
          </w:p>
        </w:tc>
      </w:tr>
      <w:tr>
        <w:trPr>
          <w:trHeight w:val="397" w:hRule="atLeast"/>
        </w:trPr>
        <w:tc>
          <w:tcPr>
            <w:tcW w:w="1812" w:type="dxa"/>
            <w:vAlign w:val="center"/>
          </w:tcPr>
          <w:p>
            <w:pPr>
              <w:spacing w:line="360" w:lineRule="exact"/>
              <w:jc w:val="center"/>
              <w:rPr>
                <w:szCs w:val="21"/>
              </w:rPr>
            </w:pPr>
            <w:r>
              <w:rPr>
                <w:rFonts w:hint="eastAsia"/>
                <w:szCs w:val="21"/>
              </w:rPr>
              <w:t>草地</w:t>
            </w:r>
          </w:p>
        </w:tc>
        <w:tc>
          <w:tcPr>
            <w:tcW w:w="1868" w:type="dxa"/>
            <w:vAlign w:val="center"/>
          </w:tcPr>
          <w:p>
            <w:pPr>
              <w:widowControl/>
              <w:spacing w:line="360" w:lineRule="exact"/>
              <w:jc w:val="center"/>
              <w:textAlignment w:val="center"/>
              <w:rPr>
                <w:szCs w:val="21"/>
              </w:rPr>
            </w:pPr>
            <w:r>
              <w:rPr>
                <w:rFonts w:hint="eastAsia"/>
                <w:szCs w:val="21"/>
              </w:rPr>
              <w:t>22618</w:t>
            </w:r>
          </w:p>
        </w:tc>
        <w:tc>
          <w:tcPr>
            <w:tcW w:w="1870" w:type="dxa"/>
            <w:vAlign w:val="center"/>
          </w:tcPr>
          <w:p>
            <w:pPr>
              <w:spacing w:line="360" w:lineRule="exact"/>
              <w:jc w:val="center"/>
              <w:rPr>
                <w:szCs w:val="21"/>
              </w:rPr>
            </w:pPr>
            <w:r>
              <w:rPr>
                <w:rFonts w:hint="eastAsia"/>
                <w:szCs w:val="21"/>
              </w:rPr>
              <w:t>65.94</w:t>
            </w:r>
          </w:p>
        </w:tc>
        <w:tc>
          <w:tcPr>
            <w:tcW w:w="1868" w:type="dxa"/>
            <w:vAlign w:val="center"/>
          </w:tcPr>
          <w:p>
            <w:pPr>
              <w:widowControl/>
              <w:spacing w:line="360" w:lineRule="exact"/>
              <w:jc w:val="center"/>
              <w:textAlignment w:val="center"/>
              <w:rPr>
                <w:szCs w:val="21"/>
              </w:rPr>
            </w:pPr>
            <w:r>
              <w:rPr>
                <w:rFonts w:hint="eastAsia"/>
                <w:szCs w:val="21"/>
              </w:rPr>
              <w:t>264.83</w:t>
            </w:r>
          </w:p>
        </w:tc>
        <w:tc>
          <w:tcPr>
            <w:tcW w:w="1868" w:type="dxa"/>
            <w:vAlign w:val="center"/>
          </w:tcPr>
          <w:p>
            <w:pPr>
              <w:spacing w:line="360" w:lineRule="exact"/>
              <w:jc w:val="center"/>
              <w:rPr>
                <w:szCs w:val="21"/>
              </w:rPr>
            </w:pPr>
            <w:r>
              <w:rPr>
                <w:rFonts w:hint="eastAsia"/>
                <w:szCs w:val="21"/>
              </w:rPr>
              <w:t>35.15</w:t>
            </w:r>
          </w:p>
        </w:tc>
      </w:tr>
      <w:tr>
        <w:trPr>
          <w:trHeight w:val="397" w:hRule="atLeast"/>
        </w:trPr>
        <w:tc>
          <w:tcPr>
            <w:tcW w:w="1812" w:type="dxa"/>
            <w:vAlign w:val="center"/>
          </w:tcPr>
          <w:p>
            <w:pPr>
              <w:spacing w:line="360" w:lineRule="exact"/>
              <w:jc w:val="center"/>
              <w:rPr>
                <w:szCs w:val="21"/>
              </w:rPr>
            </w:pPr>
            <w:r>
              <w:rPr>
                <w:rFonts w:hint="eastAsia"/>
                <w:szCs w:val="21"/>
              </w:rPr>
              <w:t>耕地</w:t>
            </w:r>
          </w:p>
        </w:tc>
        <w:tc>
          <w:tcPr>
            <w:tcW w:w="1868" w:type="dxa"/>
            <w:vAlign w:val="center"/>
          </w:tcPr>
          <w:p>
            <w:pPr>
              <w:widowControl/>
              <w:spacing w:line="360" w:lineRule="exact"/>
              <w:jc w:val="center"/>
              <w:textAlignment w:val="center"/>
              <w:rPr>
                <w:szCs w:val="21"/>
              </w:rPr>
            </w:pPr>
            <w:r>
              <w:rPr>
                <w:rFonts w:hint="eastAsia"/>
                <w:szCs w:val="21"/>
              </w:rPr>
              <w:t>0</w:t>
            </w:r>
          </w:p>
        </w:tc>
        <w:tc>
          <w:tcPr>
            <w:tcW w:w="1870" w:type="dxa"/>
            <w:vAlign w:val="center"/>
          </w:tcPr>
          <w:p>
            <w:pPr>
              <w:spacing w:line="360" w:lineRule="exact"/>
              <w:jc w:val="center"/>
              <w:rPr>
                <w:szCs w:val="21"/>
              </w:rPr>
            </w:pPr>
          </w:p>
        </w:tc>
        <w:tc>
          <w:tcPr>
            <w:tcW w:w="1868" w:type="dxa"/>
            <w:vAlign w:val="center"/>
          </w:tcPr>
          <w:p>
            <w:pPr>
              <w:widowControl/>
              <w:spacing w:line="360" w:lineRule="exact"/>
              <w:jc w:val="center"/>
              <w:textAlignment w:val="center"/>
              <w:rPr>
                <w:szCs w:val="21"/>
              </w:rPr>
            </w:pPr>
            <w:r>
              <w:rPr>
                <w:rFonts w:hint="eastAsia"/>
                <w:szCs w:val="21"/>
              </w:rPr>
              <w:t>7.34</w:t>
            </w:r>
          </w:p>
        </w:tc>
        <w:tc>
          <w:tcPr>
            <w:tcW w:w="1868" w:type="dxa"/>
            <w:vAlign w:val="center"/>
          </w:tcPr>
          <w:p>
            <w:pPr>
              <w:spacing w:line="360" w:lineRule="exact"/>
              <w:jc w:val="center"/>
              <w:rPr>
                <w:szCs w:val="21"/>
              </w:rPr>
            </w:pPr>
            <w:r>
              <w:rPr>
                <w:rFonts w:hint="eastAsia"/>
                <w:szCs w:val="21"/>
              </w:rPr>
              <w:t>0.97</w:t>
            </w:r>
          </w:p>
        </w:tc>
      </w:tr>
      <w:tr>
        <w:trPr>
          <w:trHeight w:val="397" w:hRule="atLeast"/>
        </w:trPr>
        <w:tc>
          <w:tcPr>
            <w:tcW w:w="1812" w:type="dxa"/>
            <w:vAlign w:val="center"/>
          </w:tcPr>
          <w:p>
            <w:pPr>
              <w:spacing w:line="360" w:lineRule="exact"/>
              <w:jc w:val="center"/>
              <w:rPr>
                <w:szCs w:val="21"/>
              </w:rPr>
            </w:pPr>
            <w:r>
              <w:rPr>
                <w:rFonts w:hint="eastAsia"/>
                <w:szCs w:val="21"/>
              </w:rPr>
              <w:t>合计</w:t>
            </w:r>
          </w:p>
        </w:tc>
        <w:tc>
          <w:tcPr>
            <w:tcW w:w="1868" w:type="dxa"/>
            <w:vAlign w:val="center"/>
          </w:tcPr>
          <w:p>
            <w:pPr>
              <w:widowControl/>
              <w:spacing w:line="360" w:lineRule="exact"/>
              <w:jc w:val="center"/>
              <w:textAlignment w:val="center"/>
              <w:rPr>
                <w:kern w:val="0"/>
                <w:szCs w:val="21"/>
                <w:lang/>
              </w:rPr>
            </w:pPr>
            <w:r>
              <w:rPr>
                <w:rFonts w:hint="eastAsia"/>
                <w:kern w:val="0"/>
                <w:szCs w:val="21"/>
                <w:lang/>
              </w:rPr>
              <w:t>34300</w:t>
            </w:r>
          </w:p>
        </w:tc>
        <w:tc>
          <w:tcPr>
            <w:tcW w:w="1870" w:type="dxa"/>
            <w:vAlign w:val="center"/>
          </w:tcPr>
          <w:p>
            <w:pPr>
              <w:spacing w:line="360" w:lineRule="exact"/>
              <w:jc w:val="center"/>
              <w:rPr>
                <w:szCs w:val="21"/>
              </w:rPr>
            </w:pPr>
            <w:r>
              <w:rPr>
                <w:rFonts w:hint="eastAsia"/>
                <w:szCs w:val="21"/>
              </w:rPr>
              <w:t>100</w:t>
            </w:r>
          </w:p>
        </w:tc>
        <w:tc>
          <w:tcPr>
            <w:tcW w:w="1868" w:type="dxa"/>
            <w:vAlign w:val="center"/>
          </w:tcPr>
          <w:p>
            <w:pPr>
              <w:widowControl/>
              <w:spacing w:line="360" w:lineRule="exact"/>
              <w:jc w:val="center"/>
              <w:textAlignment w:val="center"/>
              <w:rPr>
                <w:szCs w:val="21"/>
              </w:rPr>
            </w:pPr>
            <w:r>
              <w:rPr>
                <w:rFonts w:hint="eastAsia"/>
                <w:kern w:val="0"/>
                <w:szCs w:val="21"/>
                <w:lang/>
              </w:rPr>
              <w:t>753.5</w:t>
            </w:r>
          </w:p>
        </w:tc>
        <w:tc>
          <w:tcPr>
            <w:tcW w:w="1868" w:type="dxa"/>
            <w:vAlign w:val="center"/>
          </w:tcPr>
          <w:p>
            <w:pPr>
              <w:spacing w:line="360" w:lineRule="exact"/>
              <w:jc w:val="center"/>
              <w:rPr>
                <w:szCs w:val="21"/>
              </w:rPr>
            </w:pPr>
            <w:r>
              <w:rPr>
                <w:rFonts w:hint="eastAsia"/>
                <w:szCs w:val="21"/>
              </w:rPr>
              <w:t>100</w:t>
            </w:r>
          </w:p>
        </w:tc>
      </w:tr>
      <w:bookmarkEnd w:id="277"/>
      <w:bookmarkEnd w:id="278"/>
      <w:bookmarkEnd w:id="279"/>
    </w:tbl>
    <w:p>
      <w:pPr>
        <w:wordWrap w:val="0"/>
        <w:spacing w:line="420" w:lineRule="exact"/>
        <w:ind w:firstLine="480" w:firstLineChars="200"/>
        <w:rPr>
          <w:sz w:val="24"/>
        </w:rPr>
      </w:pPr>
      <w:r>
        <w:rPr>
          <w:sz w:val="24"/>
        </w:rPr>
        <w:t>由表</w:t>
      </w:r>
      <w:r>
        <w:rPr>
          <w:rFonts w:hint="eastAsia"/>
          <w:sz w:val="24"/>
        </w:rPr>
        <w:t>3</w:t>
      </w:r>
      <w:r>
        <w:rPr>
          <w:sz w:val="24"/>
        </w:rPr>
        <w:t>可知：</w:t>
      </w:r>
    </w:p>
    <w:p>
      <w:pPr>
        <w:wordWrap w:val="0"/>
        <w:spacing w:line="420" w:lineRule="exact"/>
        <w:ind w:firstLine="480" w:firstLineChars="200"/>
        <w:rPr>
          <w:sz w:val="24"/>
        </w:rPr>
      </w:pPr>
      <w:r>
        <w:rPr>
          <w:sz w:val="24"/>
        </w:rPr>
        <w:t>（1）评价区土地利用现状</w:t>
      </w:r>
    </w:p>
    <w:p>
      <w:pPr>
        <w:wordWrap w:val="0"/>
        <w:spacing w:line="420" w:lineRule="exact"/>
        <w:ind w:firstLine="480" w:firstLineChars="200"/>
        <w:rPr>
          <w:sz w:val="24"/>
        </w:rPr>
      </w:pPr>
      <w:r>
        <w:rPr>
          <w:rFonts w:hint="eastAsia" w:cs="宋体"/>
          <w:sz w:val="24"/>
        </w:rPr>
        <w:t>①</w:t>
      </w:r>
      <w:r>
        <w:rPr>
          <w:sz w:val="24"/>
        </w:rPr>
        <w:t>评价区土地利用现状主要</w:t>
      </w:r>
      <w:r>
        <w:rPr>
          <w:rFonts w:hint="eastAsia"/>
          <w:sz w:val="24"/>
        </w:rPr>
        <w:t>由灌木林地和草地组成</w:t>
      </w:r>
      <w:r>
        <w:rPr>
          <w:sz w:val="24"/>
        </w:rPr>
        <w:t>，</w:t>
      </w:r>
      <w:r>
        <w:rPr>
          <w:rFonts w:hint="eastAsia"/>
          <w:sz w:val="24"/>
        </w:rPr>
        <w:t>分别</w:t>
      </w:r>
      <w:r>
        <w:rPr>
          <w:sz w:val="24"/>
        </w:rPr>
        <w:t>占</w:t>
      </w:r>
      <w:r>
        <w:rPr>
          <w:rFonts w:hint="eastAsia"/>
          <w:sz w:val="24"/>
        </w:rPr>
        <w:t>评价区</w:t>
      </w:r>
      <w:r>
        <w:rPr>
          <w:sz w:val="24"/>
        </w:rPr>
        <w:t>总面积的</w:t>
      </w:r>
      <w:r>
        <w:rPr>
          <w:rFonts w:hint="eastAsia"/>
          <w:sz w:val="24"/>
        </w:rPr>
        <w:t>34.06</w:t>
      </w:r>
      <w:r>
        <w:rPr>
          <w:sz w:val="24"/>
        </w:rPr>
        <w:t>%</w:t>
      </w:r>
      <w:r>
        <w:rPr>
          <w:rFonts w:hint="eastAsia"/>
          <w:sz w:val="24"/>
        </w:rPr>
        <w:t>、65.94%。</w:t>
      </w:r>
    </w:p>
    <w:p>
      <w:pPr>
        <w:wordWrap w:val="0"/>
        <w:spacing w:line="420" w:lineRule="exact"/>
        <w:ind w:firstLine="480" w:firstLineChars="200"/>
        <w:rPr>
          <w:sz w:val="24"/>
        </w:rPr>
      </w:pPr>
      <w:r>
        <w:rPr>
          <w:rFonts w:hint="eastAsia" w:cs="宋体"/>
          <w:sz w:val="24"/>
        </w:rPr>
        <w:t>②</w:t>
      </w:r>
      <w:r>
        <w:rPr>
          <w:rFonts w:hint="eastAsia"/>
          <w:sz w:val="24"/>
        </w:rPr>
        <w:t>草地主要分布在场区内的山区、丘陵、半山区的荒坡地和荒山地。草本植被多为一年、多年生禾草及蒿类草丛。</w:t>
      </w:r>
    </w:p>
    <w:p>
      <w:pPr>
        <w:wordWrap w:val="0"/>
        <w:spacing w:line="420" w:lineRule="exact"/>
        <w:ind w:firstLine="480" w:firstLineChars="200"/>
        <w:rPr>
          <w:sz w:val="24"/>
        </w:rPr>
      </w:pPr>
      <w:r>
        <w:rPr>
          <w:rFonts w:hint="eastAsia"/>
          <w:sz w:val="24"/>
        </w:rPr>
        <w:t>③灌木林地，主要分布场区山地和丘陵、阳坡地带，灌木种类有黄刺玫、沙棘、荆条等。</w:t>
      </w:r>
    </w:p>
    <w:p>
      <w:pPr>
        <w:wordWrap w:val="0"/>
        <w:spacing w:line="420" w:lineRule="exact"/>
        <w:ind w:firstLine="480" w:firstLineChars="200"/>
        <w:rPr>
          <w:sz w:val="24"/>
        </w:rPr>
      </w:pPr>
      <w:r>
        <w:rPr>
          <w:sz w:val="24"/>
        </w:rPr>
        <w:t>（2）工程</w:t>
      </w:r>
      <w:r>
        <w:rPr>
          <w:rFonts w:hint="eastAsia"/>
          <w:sz w:val="24"/>
        </w:rPr>
        <w:t>永久</w:t>
      </w:r>
      <w:r>
        <w:rPr>
          <w:sz w:val="24"/>
        </w:rPr>
        <w:t>占地区土地利用现状</w:t>
      </w:r>
    </w:p>
    <w:p>
      <w:pPr>
        <w:wordWrap w:val="0"/>
        <w:spacing w:line="420" w:lineRule="exact"/>
        <w:ind w:firstLine="480" w:firstLineChars="200"/>
        <w:rPr>
          <w:sz w:val="24"/>
        </w:rPr>
      </w:pPr>
      <w:r>
        <w:rPr>
          <w:sz w:val="24"/>
        </w:rPr>
        <w:t>风电场永久占地面积为</w:t>
      </w:r>
      <w:r>
        <w:rPr>
          <w:rFonts w:hint="eastAsia"/>
          <w:sz w:val="24"/>
        </w:rPr>
        <w:t>1056</w:t>
      </w:r>
      <w:r>
        <w:rPr>
          <w:sz w:val="24"/>
        </w:rPr>
        <w:t>m</w:t>
      </w:r>
      <w:r>
        <w:rPr>
          <w:sz w:val="24"/>
          <w:vertAlign w:val="superscript"/>
        </w:rPr>
        <w:t>2</w:t>
      </w:r>
      <w:r>
        <w:rPr>
          <w:sz w:val="24"/>
        </w:rPr>
        <w:t>、临时占地面积为</w:t>
      </w:r>
      <w:r>
        <w:rPr>
          <w:rFonts w:hint="eastAsia"/>
          <w:sz w:val="24"/>
        </w:rPr>
        <w:t>3.3244h</w:t>
      </w:r>
      <w:r>
        <w:rPr>
          <w:sz w:val="24"/>
        </w:rPr>
        <w:t>m</w:t>
      </w:r>
      <w:r>
        <w:rPr>
          <w:sz w:val="24"/>
          <w:vertAlign w:val="superscript"/>
        </w:rPr>
        <w:t>2</w:t>
      </w:r>
      <w:r>
        <w:rPr>
          <w:sz w:val="24"/>
        </w:rPr>
        <w:t>。</w:t>
      </w:r>
    </w:p>
    <w:p>
      <w:pPr>
        <w:wordWrap w:val="0"/>
        <w:spacing w:line="420" w:lineRule="exact"/>
        <w:ind w:firstLine="480" w:firstLineChars="200"/>
        <w:rPr>
          <w:sz w:val="24"/>
        </w:rPr>
      </w:pPr>
      <w:r>
        <w:rPr>
          <w:sz w:val="24"/>
        </w:rPr>
        <w:t>永久占地面积中风力发电机组和箱变基础占地面积为</w:t>
      </w:r>
      <w:r>
        <w:rPr>
          <w:rFonts w:hint="eastAsia"/>
          <w:sz w:val="24"/>
        </w:rPr>
        <w:t>1056</w:t>
      </w:r>
      <w:r>
        <w:rPr>
          <w:sz w:val="24"/>
        </w:rPr>
        <w:t>m</w:t>
      </w:r>
      <w:r>
        <w:rPr>
          <w:sz w:val="24"/>
          <w:vertAlign w:val="superscript"/>
        </w:rPr>
        <w:t>2</w:t>
      </w:r>
      <w:r>
        <w:rPr>
          <w:sz w:val="24"/>
        </w:rPr>
        <w:t>（</w:t>
      </w:r>
      <w:r>
        <w:rPr>
          <w:rFonts w:hint="eastAsia"/>
          <w:sz w:val="24"/>
        </w:rPr>
        <w:t>草地</w:t>
      </w:r>
      <w:r>
        <w:rPr>
          <w:sz w:val="24"/>
        </w:rPr>
        <w:t>）、</w:t>
      </w:r>
      <w:r>
        <w:rPr>
          <w:rFonts w:hint="eastAsia"/>
          <w:sz w:val="24"/>
        </w:rPr>
        <w:t>吊装平台</w:t>
      </w:r>
      <w:r>
        <w:rPr>
          <w:sz w:val="24"/>
        </w:rPr>
        <w:t>占地面积为</w:t>
      </w:r>
      <w:r>
        <w:rPr>
          <w:rFonts w:hint="eastAsia"/>
          <w:sz w:val="24"/>
        </w:rPr>
        <w:t>4944</w:t>
      </w:r>
      <w:r>
        <w:rPr>
          <w:sz w:val="24"/>
        </w:rPr>
        <w:t>m</w:t>
      </w:r>
      <w:r>
        <w:rPr>
          <w:sz w:val="24"/>
          <w:vertAlign w:val="superscript"/>
        </w:rPr>
        <w:t>2</w:t>
      </w:r>
      <w:r>
        <w:rPr>
          <w:sz w:val="24"/>
        </w:rPr>
        <w:t>（</w:t>
      </w:r>
      <w:r>
        <w:rPr>
          <w:rFonts w:hint="eastAsia"/>
          <w:sz w:val="24"/>
        </w:rPr>
        <w:t>草地</w:t>
      </w:r>
      <w:r>
        <w:rPr>
          <w:sz w:val="24"/>
        </w:rPr>
        <w:t>）、</w:t>
      </w:r>
      <w:r>
        <w:rPr>
          <w:rFonts w:hint="eastAsia"/>
          <w:sz w:val="24"/>
        </w:rPr>
        <w:t>施工及</w:t>
      </w:r>
      <w:r>
        <w:rPr>
          <w:sz w:val="24"/>
        </w:rPr>
        <w:t>检修道路占地面积为</w:t>
      </w:r>
      <w:r>
        <w:rPr>
          <w:rFonts w:hint="eastAsia"/>
          <w:sz w:val="24"/>
        </w:rPr>
        <w:t>2.2h</w:t>
      </w:r>
      <w:r>
        <w:rPr>
          <w:sz w:val="24"/>
        </w:rPr>
        <w:t>m</w:t>
      </w:r>
      <w:r>
        <w:rPr>
          <w:sz w:val="24"/>
          <w:vertAlign w:val="superscript"/>
        </w:rPr>
        <w:t>2</w:t>
      </w:r>
      <w:r>
        <w:rPr>
          <w:sz w:val="24"/>
        </w:rPr>
        <w:t>（</w:t>
      </w:r>
      <w:r>
        <w:rPr>
          <w:rFonts w:hint="eastAsia"/>
          <w:sz w:val="24"/>
        </w:rPr>
        <w:t>其它</w:t>
      </w:r>
      <w:r>
        <w:rPr>
          <w:sz w:val="24"/>
        </w:rPr>
        <w:t>草地</w:t>
      </w:r>
      <w:r>
        <w:rPr>
          <w:rFonts w:hint="eastAsia"/>
          <w:sz w:val="24"/>
        </w:rPr>
        <w:t>10318</w:t>
      </w:r>
      <w:r>
        <w:rPr>
          <w:sz w:val="24"/>
        </w:rPr>
        <w:t>m</w:t>
      </w:r>
      <w:r>
        <w:rPr>
          <w:sz w:val="24"/>
          <w:vertAlign w:val="superscript"/>
        </w:rPr>
        <w:t>2</w:t>
      </w:r>
      <w:r>
        <w:rPr>
          <w:sz w:val="24"/>
        </w:rPr>
        <w:t>、</w:t>
      </w:r>
      <w:r>
        <w:rPr>
          <w:rFonts w:hint="eastAsia"/>
          <w:sz w:val="24"/>
        </w:rPr>
        <w:t>灌木林地11682</w:t>
      </w:r>
      <w:r>
        <w:rPr>
          <w:sz w:val="24"/>
        </w:rPr>
        <w:t>m</w:t>
      </w:r>
      <w:r>
        <w:rPr>
          <w:sz w:val="24"/>
          <w:vertAlign w:val="superscript"/>
        </w:rPr>
        <w:t>2</w:t>
      </w:r>
      <w:r>
        <w:rPr>
          <w:sz w:val="24"/>
        </w:rPr>
        <w:t>）</w:t>
      </w:r>
      <w:r>
        <w:rPr>
          <w:rFonts w:hint="eastAsia"/>
          <w:sz w:val="24"/>
        </w:rPr>
        <w:t>，施工临时占地6300m</w:t>
      </w:r>
      <w:r>
        <w:rPr>
          <w:rFonts w:hint="eastAsia"/>
          <w:sz w:val="24"/>
          <w:vertAlign w:val="superscript"/>
        </w:rPr>
        <w:t>2</w:t>
      </w:r>
      <w:r>
        <w:rPr>
          <w:sz w:val="24"/>
        </w:rPr>
        <w:t>（</w:t>
      </w:r>
      <w:r>
        <w:rPr>
          <w:rFonts w:hint="eastAsia"/>
          <w:sz w:val="24"/>
        </w:rPr>
        <w:t>草地</w:t>
      </w:r>
      <w:r>
        <w:rPr>
          <w:sz w:val="24"/>
        </w:rPr>
        <w:t>）。</w:t>
      </w:r>
    </w:p>
    <w:p>
      <w:pPr>
        <w:wordWrap w:val="0"/>
        <w:spacing w:line="420" w:lineRule="exact"/>
        <w:ind w:firstLine="480" w:firstLineChars="200"/>
        <w:rPr>
          <w:sz w:val="24"/>
        </w:rPr>
      </w:pPr>
      <w:r>
        <w:rPr>
          <w:sz w:val="24"/>
        </w:rPr>
        <w:t>临时占地面积中风力发电机组</w:t>
      </w:r>
      <w:r>
        <w:rPr>
          <w:rFonts w:hint="eastAsia"/>
          <w:sz w:val="24"/>
        </w:rPr>
        <w:t>（含</w:t>
      </w:r>
      <w:r>
        <w:rPr>
          <w:sz w:val="24"/>
        </w:rPr>
        <w:t>箱变</w:t>
      </w:r>
      <w:r>
        <w:rPr>
          <w:rFonts w:hint="eastAsia"/>
          <w:sz w:val="24"/>
        </w:rPr>
        <w:t>）及吊装平台</w:t>
      </w:r>
      <w:r>
        <w:rPr>
          <w:sz w:val="24"/>
        </w:rPr>
        <w:t>占地面积为</w:t>
      </w:r>
      <w:r>
        <w:rPr>
          <w:rFonts w:hint="eastAsia"/>
          <w:sz w:val="24"/>
        </w:rPr>
        <w:t>235.5hm</w:t>
      </w:r>
      <w:r>
        <w:rPr>
          <w:rFonts w:hint="eastAsia"/>
          <w:sz w:val="24"/>
          <w:vertAlign w:val="superscript"/>
        </w:rPr>
        <w:t>2</w:t>
      </w:r>
      <w:r>
        <w:rPr>
          <w:sz w:val="24"/>
        </w:rPr>
        <w:t>（</w:t>
      </w:r>
      <w:r>
        <w:rPr>
          <w:rFonts w:hint="eastAsia"/>
          <w:sz w:val="24"/>
        </w:rPr>
        <w:t>其它</w:t>
      </w:r>
      <w:r>
        <w:rPr>
          <w:sz w:val="24"/>
        </w:rPr>
        <w:t>草地</w:t>
      </w:r>
      <w:r>
        <w:rPr>
          <w:rFonts w:hint="eastAsia"/>
          <w:sz w:val="24"/>
        </w:rPr>
        <w:t>103.15h</w:t>
      </w:r>
      <w:r>
        <w:rPr>
          <w:sz w:val="24"/>
        </w:rPr>
        <w:t>m</w:t>
      </w:r>
      <w:r>
        <w:rPr>
          <w:sz w:val="24"/>
          <w:vertAlign w:val="superscript"/>
        </w:rPr>
        <w:t>2</w:t>
      </w:r>
      <w:r>
        <w:rPr>
          <w:sz w:val="24"/>
        </w:rPr>
        <w:t>、</w:t>
      </w:r>
      <w:r>
        <w:rPr>
          <w:rFonts w:hint="eastAsia"/>
          <w:sz w:val="24"/>
        </w:rPr>
        <w:t>灌木林地132.35h</w:t>
      </w:r>
      <w:r>
        <w:rPr>
          <w:sz w:val="24"/>
        </w:rPr>
        <w:t>m</w:t>
      </w:r>
      <w:r>
        <w:rPr>
          <w:sz w:val="24"/>
          <w:vertAlign w:val="superscript"/>
        </w:rPr>
        <w:t>2</w:t>
      </w:r>
      <w:r>
        <w:rPr>
          <w:sz w:val="24"/>
        </w:rPr>
        <w:t>）、集电线路占地面积为</w:t>
      </w:r>
      <w:r>
        <w:rPr>
          <w:rFonts w:hint="eastAsia"/>
          <w:sz w:val="24"/>
        </w:rPr>
        <w:t>1.0h</w:t>
      </w:r>
      <w:r>
        <w:rPr>
          <w:sz w:val="24"/>
        </w:rPr>
        <w:t>m</w:t>
      </w:r>
      <w:r>
        <w:rPr>
          <w:sz w:val="24"/>
          <w:vertAlign w:val="superscript"/>
        </w:rPr>
        <w:t>2</w:t>
      </w:r>
      <w:r>
        <w:rPr>
          <w:sz w:val="24"/>
        </w:rPr>
        <w:t>（</w:t>
      </w:r>
      <w:r>
        <w:rPr>
          <w:rFonts w:hint="eastAsia"/>
          <w:sz w:val="24"/>
        </w:rPr>
        <w:t>其它</w:t>
      </w:r>
      <w:r>
        <w:rPr>
          <w:sz w:val="24"/>
        </w:rPr>
        <w:t>草地</w:t>
      </w:r>
      <w:r>
        <w:rPr>
          <w:rFonts w:hint="eastAsia"/>
          <w:sz w:val="24"/>
        </w:rPr>
        <w:t>0.38h</w:t>
      </w:r>
      <w:r>
        <w:rPr>
          <w:sz w:val="24"/>
        </w:rPr>
        <w:t>m</w:t>
      </w:r>
      <w:r>
        <w:rPr>
          <w:sz w:val="24"/>
          <w:vertAlign w:val="superscript"/>
        </w:rPr>
        <w:t>2</w:t>
      </w:r>
      <w:r>
        <w:rPr>
          <w:sz w:val="24"/>
        </w:rPr>
        <w:t>、</w:t>
      </w:r>
      <w:r>
        <w:rPr>
          <w:rFonts w:hint="eastAsia"/>
          <w:sz w:val="24"/>
        </w:rPr>
        <w:t>灌木林地0.59h</w:t>
      </w:r>
      <w:r>
        <w:rPr>
          <w:sz w:val="24"/>
        </w:rPr>
        <w:t>m</w:t>
      </w:r>
      <w:r>
        <w:rPr>
          <w:sz w:val="24"/>
          <w:vertAlign w:val="superscript"/>
        </w:rPr>
        <w:t>2</w:t>
      </w:r>
      <w:r>
        <w:rPr>
          <w:rFonts w:hint="eastAsia"/>
          <w:sz w:val="24"/>
        </w:rPr>
        <w:t>、耕地0.03h</w:t>
      </w:r>
      <w:r>
        <w:rPr>
          <w:sz w:val="24"/>
        </w:rPr>
        <w:t>m</w:t>
      </w:r>
      <w:r>
        <w:rPr>
          <w:sz w:val="24"/>
          <w:vertAlign w:val="superscript"/>
        </w:rPr>
        <w:t>2</w:t>
      </w:r>
      <w:r>
        <w:rPr>
          <w:sz w:val="24"/>
        </w:rPr>
        <w:t>），施工</w:t>
      </w:r>
      <w:r>
        <w:rPr>
          <w:rFonts w:hint="eastAsia"/>
          <w:sz w:val="24"/>
        </w:rPr>
        <w:t>及</w:t>
      </w:r>
      <w:r>
        <w:rPr>
          <w:sz w:val="24"/>
        </w:rPr>
        <w:t>检修道路</w:t>
      </w:r>
      <w:r>
        <w:rPr>
          <w:rFonts w:hint="eastAsia"/>
          <w:sz w:val="24"/>
        </w:rPr>
        <w:t>占地400h</w:t>
      </w:r>
      <w:r>
        <w:rPr>
          <w:sz w:val="24"/>
        </w:rPr>
        <w:t>m</w:t>
      </w:r>
      <w:r>
        <w:rPr>
          <w:sz w:val="24"/>
          <w:vertAlign w:val="superscript"/>
        </w:rPr>
        <w:t>2</w:t>
      </w:r>
      <w:r>
        <w:rPr>
          <w:sz w:val="24"/>
        </w:rPr>
        <w:t>（</w:t>
      </w:r>
      <w:r>
        <w:rPr>
          <w:rFonts w:hint="eastAsia"/>
          <w:sz w:val="24"/>
        </w:rPr>
        <w:t>其它</w:t>
      </w:r>
      <w:r>
        <w:rPr>
          <w:sz w:val="24"/>
        </w:rPr>
        <w:t>草地</w:t>
      </w:r>
      <w:r>
        <w:rPr>
          <w:rFonts w:hint="eastAsia"/>
          <w:sz w:val="24"/>
        </w:rPr>
        <w:t>112.8h</w:t>
      </w:r>
      <w:r>
        <w:rPr>
          <w:sz w:val="24"/>
        </w:rPr>
        <w:t>m</w:t>
      </w:r>
      <w:r>
        <w:rPr>
          <w:sz w:val="24"/>
          <w:vertAlign w:val="superscript"/>
        </w:rPr>
        <w:t>2</w:t>
      </w:r>
      <w:r>
        <w:rPr>
          <w:sz w:val="24"/>
        </w:rPr>
        <w:t>、</w:t>
      </w:r>
      <w:r>
        <w:rPr>
          <w:rFonts w:hint="eastAsia"/>
          <w:sz w:val="24"/>
        </w:rPr>
        <w:t>灌木林地287.2h</w:t>
      </w:r>
      <w:r>
        <w:rPr>
          <w:sz w:val="24"/>
        </w:rPr>
        <w:t>m</w:t>
      </w:r>
      <w:r>
        <w:rPr>
          <w:sz w:val="24"/>
          <w:vertAlign w:val="superscript"/>
        </w:rPr>
        <w:t>2</w:t>
      </w:r>
      <w:r>
        <w:rPr>
          <w:sz w:val="24"/>
        </w:rPr>
        <w:t>）、施工场</w:t>
      </w:r>
      <w:r>
        <w:rPr>
          <w:rFonts w:hint="eastAsia"/>
          <w:sz w:val="24"/>
        </w:rPr>
        <w:t>临时</w:t>
      </w:r>
      <w:r>
        <w:rPr>
          <w:sz w:val="24"/>
        </w:rPr>
        <w:t>占地面积为</w:t>
      </w:r>
      <w:r>
        <w:rPr>
          <w:rFonts w:hint="eastAsia"/>
          <w:sz w:val="24"/>
        </w:rPr>
        <w:t>117h</w:t>
      </w:r>
      <w:r>
        <w:rPr>
          <w:sz w:val="24"/>
        </w:rPr>
        <w:t>m</w:t>
      </w:r>
      <w:r>
        <w:rPr>
          <w:sz w:val="24"/>
          <w:vertAlign w:val="superscript"/>
        </w:rPr>
        <w:t>2</w:t>
      </w:r>
      <w:r>
        <w:rPr>
          <w:sz w:val="24"/>
        </w:rPr>
        <w:t>（</w:t>
      </w:r>
      <w:r>
        <w:rPr>
          <w:rFonts w:hint="eastAsia"/>
          <w:sz w:val="24"/>
        </w:rPr>
        <w:t>其它</w:t>
      </w:r>
      <w:r>
        <w:rPr>
          <w:sz w:val="24"/>
        </w:rPr>
        <w:t>草地</w:t>
      </w:r>
      <w:r>
        <w:rPr>
          <w:rFonts w:hint="eastAsia"/>
          <w:sz w:val="24"/>
        </w:rPr>
        <w:t>48.5h</w:t>
      </w:r>
      <w:r>
        <w:rPr>
          <w:sz w:val="24"/>
        </w:rPr>
        <w:t>m</w:t>
      </w:r>
      <w:r>
        <w:rPr>
          <w:sz w:val="24"/>
          <w:vertAlign w:val="superscript"/>
        </w:rPr>
        <w:t>2</w:t>
      </w:r>
      <w:r>
        <w:rPr>
          <w:sz w:val="24"/>
        </w:rPr>
        <w:t>、</w:t>
      </w:r>
      <w:r>
        <w:rPr>
          <w:rFonts w:hint="eastAsia"/>
          <w:sz w:val="24"/>
        </w:rPr>
        <w:t>灌木林地61.19h</w:t>
      </w:r>
      <w:r>
        <w:rPr>
          <w:sz w:val="24"/>
        </w:rPr>
        <w:t>m</w:t>
      </w:r>
      <w:r>
        <w:rPr>
          <w:sz w:val="24"/>
          <w:vertAlign w:val="superscript"/>
        </w:rPr>
        <w:t>2</w:t>
      </w:r>
      <w:r>
        <w:rPr>
          <w:rFonts w:hint="eastAsia"/>
          <w:sz w:val="24"/>
        </w:rPr>
        <w:t>、耕地7.31h</w:t>
      </w:r>
      <w:r>
        <w:rPr>
          <w:sz w:val="24"/>
        </w:rPr>
        <w:t>m</w:t>
      </w:r>
      <w:r>
        <w:rPr>
          <w:sz w:val="24"/>
          <w:vertAlign w:val="superscript"/>
        </w:rPr>
        <w:t>2</w:t>
      </w:r>
      <w:r>
        <w:rPr>
          <w:sz w:val="24"/>
        </w:rPr>
        <w:t>）。</w:t>
      </w:r>
    </w:p>
    <w:p>
      <w:pPr>
        <w:wordWrap w:val="0"/>
        <w:spacing w:line="420" w:lineRule="exact"/>
        <w:ind w:firstLine="480" w:firstLineChars="200"/>
        <w:rPr>
          <w:sz w:val="24"/>
        </w:rPr>
      </w:pPr>
      <w:r>
        <w:rPr>
          <w:sz w:val="24"/>
        </w:rPr>
        <w:t>工程占地区现阶段土地利用类型</w:t>
      </w:r>
      <w:r>
        <w:rPr>
          <w:rFonts w:hint="eastAsia"/>
          <w:sz w:val="24"/>
        </w:rPr>
        <w:t>主要为灌木林地和草地</w:t>
      </w:r>
      <w:r>
        <w:rPr>
          <w:sz w:val="24"/>
        </w:rPr>
        <w:t>。</w:t>
      </w:r>
    </w:p>
    <w:p>
      <w:pPr>
        <w:wordWrap w:val="0"/>
        <w:spacing w:line="420" w:lineRule="exact"/>
        <w:ind w:firstLine="480" w:firstLineChars="200"/>
        <w:rPr>
          <w:sz w:val="24"/>
        </w:rPr>
      </w:pPr>
      <w:r>
        <w:rPr>
          <w:sz w:val="24"/>
        </w:rPr>
        <w:t>（3）土地利用现状评价</w:t>
      </w:r>
    </w:p>
    <w:p>
      <w:pPr>
        <w:wordWrap w:val="0"/>
        <w:spacing w:line="420" w:lineRule="exact"/>
        <w:ind w:firstLine="480" w:firstLineChars="200"/>
        <w:rPr>
          <w:sz w:val="24"/>
        </w:rPr>
      </w:pPr>
      <w:r>
        <w:rPr>
          <w:sz w:val="24"/>
        </w:rPr>
        <w:t>评价区以</w:t>
      </w:r>
      <w:r>
        <w:rPr>
          <w:rFonts w:hint="eastAsia"/>
          <w:sz w:val="24"/>
        </w:rPr>
        <w:t>山地</w:t>
      </w:r>
      <w:r>
        <w:rPr>
          <w:sz w:val="24"/>
        </w:rPr>
        <w:t>地貌为主，现阶段土地利用类型主要为</w:t>
      </w:r>
      <w:r>
        <w:rPr>
          <w:rFonts w:hint="eastAsia"/>
          <w:sz w:val="24"/>
        </w:rPr>
        <w:t>灌木林地、荒草地和少量耕地。灌木类型主要以黄刺玫、沙棘为主，</w:t>
      </w:r>
      <w:r>
        <w:rPr>
          <w:sz w:val="24"/>
        </w:rPr>
        <w:t>草</w:t>
      </w:r>
      <w:r>
        <w:rPr>
          <w:rFonts w:hint="eastAsia"/>
          <w:sz w:val="24"/>
        </w:rPr>
        <w:t>地主要为一年、多年生禾草及蒿类草丛；耕地以种植玉米为主。</w:t>
      </w:r>
    </w:p>
    <w:p>
      <w:pPr>
        <w:pStyle w:val="4"/>
        <w:wordWrap w:val="0"/>
        <w:adjustRightInd w:val="0"/>
        <w:snapToGrid w:val="0"/>
        <w:spacing w:before="0" w:after="0" w:line="520" w:lineRule="exact"/>
        <w:ind w:left="617" w:hanging="617" w:hangingChars="256"/>
        <w:rPr>
          <w:sz w:val="24"/>
          <w:szCs w:val="24"/>
        </w:rPr>
      </w:pPr>
      <w:bookmarkStart w:id="280" w:name="_Toc528854958"/>
      <w:r>
        <w:rPr>
          <w:rFonts w:hint="eastAsia"/>
          <w:sz w:val="24"/>
          <w:szCs w:val="24"/>
        </w:rPr>
        <w:t>2.3植被类型现状</w:t>
      </w:r>
      <w:bookmarkEnd w:id="275"/>
      <w:bookmarkEnd w:id="276"/>
      <w:bookmarkEnd w:id="280"/>
    </w:p>
    <w:p>
      <w:pPr>
        <w:wordWrap w:val="0"/>
        <w:spacing w:line="420" w:lineRule="exact"/>
        <w:ind w:firstLine="480" w:firstLineChars="200"/>
        <w:rPr>
          <w:sz w:val="24"/>
        </w:rPr>
      </w:pPr>
      <w:r>
        <w:rPr>
          <w:rFonts w:hint="eastAsia"/>
          <w:sz w:val="24"/>
        </w:rPr>
        <w:t>（1）植被概况</w:t>
      </w:r>
    </w:p>
    <w:p>
      <w:pPr>
        <w:wordWrap w:val="0"/>
        <w:spacing w:line="420" w:lineRule="exact"/>
        <w:ind w:firstLine="480" w:firstLineChars="200"/>
        <w:rPr>
          <w:sz w:val="24"/>
        </w:rPr>
      </w:pPr>
      <w:r>
        <w:rPr>
          <w:rFonts w:hint="eastAsia"/>
          <w:sz w:val="24"/>
        </w:rPr>
        <w:t>岢岚县习见种子植物</w:t>
      </w:r>
      <w:r>
        <w:rPr>
          <w:sz w:val="24"/>
        </w:rPr>
        <w:t>311</w:t>
      </w:r>
      <w:r>
        <w:rPr>
          <w:rFonts w:hint="eastAsia"/>
          <w:sz w:val="24"/>
        </w:rPr>
        <w:t>种，分属</w:t>
      </w:r>
      <w:r>
        <w:rPr>
          <w:sz w:val="24"/>
        </w:rPr>
        <w:t>54</w:t>
      </w:r>
      <w:r>
        <w:rPr>
          <w:rFonts w:hint="eastAsia"/>
          <w:sz w:val="24"/>
        </w:rPr>
        <w:t>科、</w:t>
      </w:r>
      <w:r>
        <w:rPr>
          <w:sz w:val="24"/>
        </w:rPr>
        <w:t>157</w:t>
      </w:r>
      <w:r>
        <w:rPr>
          <w:rFonts w:hint="eastAsia"/>
          <w:sz w:val="24"/>
        </w:rPr>
        <w:t>属。其中野生植物</w:t>
      </w:r>
      <w:r>
        <w:rPr>
          <w:sz w:val="24"/>
        </w:rPr>
        <w:t>27</w:t>
      </w:r>
      <w:r>
        <w:rPr>
          <w:rFonts w:hint="eastAsia"/>
          <w:sz w:val="24"/>
        </w:rPr>
        <w:t>科、</w:t>
      </w:r>
      <w:r>
        <w:rPr>
          <w:sz w:val="24"/>
        </w:rPr>
        <w:t>194</w:t>
      </w:r>
      <w:r>
        <w:rPr>
          <w:rFonts w:hint="eastAsia"/>
          <w:sz w:val="24"/>
        </w:rPr>
        <w:t>种，栽培植物</w:t>
      </w:r>
      <w:r>
        <w:rPr>
          <w:sz w:val="24"/>
        </w:rPr>
        <w:t>27</w:t>
      </w:r>
      <w:r>
        <w:rPr>
          <w:rFonts w:hint="eastAsia"/>
          <w:sz w:val="24"/>
        </w:rPr>
        <w:t>科、</w:t>
      </w:r>
      <w:r>
        <w:rPr>
          <w:sz w:val="24"/>
        </w:rPr>
        <w:t>117</w:t>
      </w:r>
      <w:r>
        <w:rPr>
          <w:rFonts w:hint="eastAsia"/>
          <w:sz w:val="24"/>
        </w:rPr>
        <w:t>种。主要植被类型有：针叶林，它们在用材林中占有很重要的地位，总面积达</w:t>
      </w:r>
      <w:r>
        <w:rPr>
          <w:sz w:val="24"/>
        </w:rPr>
        <w:t>6870.33</w:t>
      </w:r>
      <w:r>
        <w:rPr>
          <w:rFonts w:hint="eastAsia"/>
          <w:sz w:val="24"/>
        </w:rPr>
        <w:t>公顷；阔叶林，全县乡、镇均有分布，面积</w:t>
      </w:r>
      <w:r>
        <w:rPr>
          <w:sz w:val="24"/>
        </w:rPr>
        <w:t>9137.26</w:t>
      </w:r>
      <w:r>
        <w:rPr>
          <w:rFonts w:hint="eastAsia"/>
          <w:sz w:val="24"/>
        </w:rPr>
        <w:t>公顷；疏林草丛，面积</w:t>
      </w:r>
      <w:r>
        <w:rPr>
          <w:sz w:val="24"/>
        </w:rPr>
        <w:t>3396.86</w:t>
      </w:r>
      <w:r>
        <w:rPr>
          <w:rFonts w:hint="eastAsia"/>
          <w:sz w:val="24"/>
        </w:rPr>
        <w:t>公顷，灌丛，主要以沙棘、黄刺玫为主，灌丛分布较为普遍，面积</w:t>
      </w:r>
      <w:r>
        <w:rPr>
          <w:sz w:val="24"/>
        </w:rPr>
        <w:t>21714.86</w:t>
      </w:r>
      <w:r>
        <w:rPr>
          <w:rFonts w:hint="eastAsia"/>
          <w:sz w:val="24"/>
        </w:rPr>
        <w:t>公顷，占林地面积的</w:t>
      </w:r>
      <w:r>
        <w:rPr>
          <w:sz w:val="24"/>
        </w:rPr>
        <w:t>48.7%</w:t>
      </w:r>
      <w:r>
        <w:rPr>
          <w:rFonts w:hint="eastAsia"/>
          <w:sz w:val="24"/>
        </w:rPr>
        <w:t>，平均</w:t>
      </w:r>
      <w:r>
        <w:rPr>
          <w:sz w:val="24"/>
        </w:rPr>
        <w:t>86.7%</w:t>
      </w:r>
      <w:r>
        <w:rPr>
          <w:rFonts w:hint="eastAsia"/>
          <w:sz w:val="24"/>
        </w:rPr>
        <w:t>；草地主要分布在黄土丘陵区，面积</w:t>
      </w:r>
      <w:r>
        <w:rPr>
          <w:sz w:val="24"/>
        </w:rPr>
        <w:t>70709.46</w:t>
      </w:r>
      <w:r>
        <w:rPr>
          <w:rFonts w:hint="eastAsia"/>
          <w:sz w:val="24"/>
        </w:rPr>
        <w:t>公顷。</w:t>
      </w:r>
    </w:p>
    <w:p>
      <w:pPr>
        <w:wordWrap w:val="0"/>
        <w:spacing w:line="420" w:lineRule="exact"/>
        <w:ind w:firstLine="480" w:firstLineChars="200"/>
        <w:rPr>
          <w:rFonts w:cs="宋?"/>
          <w:kern w:val="0"/>
          <w:sz w:val="24"/>
        </w:rPr>
      </w:pPr>
      <w:r>
        <w:rPr>
          <w:rFonts w:hint="eastAsia"/>
          <w:sz w:val="24"/>
        </w:rPr>
        <w:t>经过现场实地调查结果，项目评价范围内植被以灌丛植被和草本植被为主，根据资料和现场调查，评价区内未发现国家和山西省重点野生保护植物</w:t>
      </w:r>
      <w:r>
        <w:rPr>
          <w:rFonts w:cs="宋?"/>
          <w:kern w:val="0"/>
          <w:sz w:val="24"/>
        </w:rPr>
        <w:t>。</w:t>
      </w:r>
      <w:r>
        <w:rPr>
          <w:rFonts w:hint="eastAsia" w:cs="宋?"/>
          <w:kern w:val="0"/>
          <w:sz w:val="24"/>
        </w:rPr>
        <w:t>本项目风电场区域内植被类型分布见表4、表5和附图13。</w:t>
      </w:r>
    </w:p>
    <w:p>
      <w:pPr>
        <w:autoSpaceDE w:val="0"/>
        <w:autoSpaceDN w:val="0"/>
        <w:adjustRightInd w:val="0"/>
        <w:spacing w:line="420" w:lineRule="exact"/>
        <w:jc w:val="center"/>
        <w:rPr>
          <w:rFonts w:cs="宋?"/>
          <w:kern w:val="0"/>
          <w:sz w:val="24"/>
        </w:rPr>
      </w:pPr>
      <w:r>
        <w:rPr>
          <w:rFonts w:cs="宋?"/>
          <w:kern w:val="0"/>
          <w:sz w:val="24"/>
        </w:rPr>
        <w:t>表</w:t>
      </w:r>
      <w:r>
        <w:rPr>
          <w:kern w:val="0"/>
          <w:sz w:val="24"/>
        </w:rPr>
        <w:t>4</w:t>
      </w:r>
      <w:r>
        <w:rPr>
          <w:rFonts w:hint="eastAsia"/>
          <w:kern w:val="0"/>
          <w:sz w:val="24"/>
        </w:rPr>
        <w:t xml:space="preserve">  </w:t>
      </w:r>
      <w:r>
        <w:rPr>
          <w:rFonts w:cs="宋?"/>
          <w:kern w:val="0"/>
          <w:sz w:val="24"/>
        </w:rPr>
        <w:t>风电场</w:t>
      </w:r>
      <w:r>
        <w:rPr>
          <w:rFonts w:hint="eastAsia" w:cs="宋?"/>
          <w:kern w:val="0"/>
          <w:sz w:val="24"/>
        </w:rPr>
        <w:t>占地范围</w:t>
      </w:r>
      <w:r>
        <w:rPr>
          <w:rFonts w:cs="宋?"/>
          <w:kern w:val="0"/>
          <w:sz w:val="24"/>
        </w:rPr>
        <w:t>内植被类型分布</w:t>
      </w:r>
    </w:p>
    <w:tbl>
      <w:tblPr>
        <w:tblW w:w="90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left w:w="0" w:type="dxa"/>
          <w:right w:w="0" w:type="dxa"/>
        </w:tblCellMar>
      </w:tblPr>
      <w:tblGrid>
        <w:gridCol w:w="785"/>
        <w:gridCol w:w="1752"/>
        <w:gridCol w:w="1309"/>
        <w:gridCol w:w="1547"/>
        <w:gridCol w:w="1277"/>
        <w:gridCol w:w="1102"/>
        <w:gridCol w:w="1308"/>
      </w:tblGrid>
      <w:tr>
        <w:trPr>
          <w:trHeight w:val="284" w:hRule="atLeast"/>
          <w:jc w:val="center"/>
        </w:trPr>
        <w:tc>
          <w:tcPr>
            <w:tcW w:w="785" w:type="dxa"/>
            <w:vMerge w:val="restart"/>
            <w:tcBorders>
              <w:tl2br w:val="nil"/>
              <w:tr2bl w:val="nil"/>
            </w:tcBorders>
            <w:vAlign w:val="center"/>
          </w:tcPr>
          <w:p>
            <w:pPr>
              <w:spacing w:line="360" w:lineRule="exact"/>
              <w:jc w:val="center"/>
              <w:rPr>
                <w:szCs w:val="21"/>
              </w:rPr>
            </w:pPr>
            <w:r>
              <w:rPr>
                <w:szCs w:val="21"/>
              </w:rPr>
              <w:t>占地</w:t>
            </w:r>
          </w:p>
          <w:p>
            <w:pPr>
              <w:spacing w:line="360" w:lineRule="exact"/>
              <w:jc w:val="center"/>
              <w:rPr>
                <w:szCs w:val="21"/>
              </w:rPr>
            </w:pPr>
            <w:r>
              <w:rPr>
                <w:szCs w:val="21"/>
              </w:rPr>
              <w:t>类型</w:t>
            </w:r>
          </w:p>
        </w:tc>
        <w:tc>
          <w:tcPr>
            <w:tcW w:w="8295" w:type="dxa"/>
            <w:gridSpan w:val="6"/>
            <w:tcBorders>
              <w:tl2br w:val="nil"/>
              <w:tr2bl w:val="nil"/>
            </w:tcBorders>
            <w:vAlign w:val="center"/>
          </w:tcPr>
          <w:p>
            <w:pPr>
              <w:spacing w:line="360" w:lineRule="exact"/>
              <w:jc w:val="center"/>
              <w:rPr>
                <w:szCs w:val="21"/>
              </w:rPr>
            </w:pPr>
            <w:r>
              <w:rPr>
                <w:szCs w:val="21"/>
              </w:rPr>
              <w:t>占地</w:t>
            </w:r>
            <w:r>
              <w:rPr>
                <w:rFonts w:hint="eastAsia"/>
                <w:szCs w:val="21"/>
              </w:rPr>
              <w:t>范围</w:t>
            </w:r>
            <w:r>
              <w:rPr>
                <w:szCs w:val="21"/>
              </w:rPr>
              <w:t>面积（m</w:t>
            </w:r>
            <w:r>
              <w:rPr>
                <w:szCs w:val="21"/>
                <w:vertAlign w:val="superscript"/>
              </w:rPr>
              <w:t>2</w:t>
            </w:r>
            <w:r>
              <w:rPr>
                <w:szCs w:val="21"/>
              </w:rPr>
              <w:t>）</w:t>
            </w:r>
          </w:p>
        </w:tc>
      </w:tr>
      <w:tr>
        <w:trPr>
          <w:trHeight w:val="284" w:hRule="atLeast"/>
          <w:jc w:val="center"/>
        </w:trPr>
        <w:tc>
          <w:tcPr>
            <w:tcW w:w="785" w:type="dxa"/>
            <w:vMerge w:val="continue"/>
            <w:tcBorders>
              <w:tl2br w:val="nil"/>
              <w:tr2bl w:val="nil"/>
            </w:tcBorders>
            <w:vAlign w:val="center"/>
          </w:tcPr>
          <w:p>
            <w:pPr>
              <w:spacing w:line="360" w:lineRule="exact"/>
              <w:jc w:val="center"/>
              <w:rPr>
                <w:szCs w:val="21"/>
              </w:rPr>
            </w:pPr>
          </w:p>
        </w:tc>
        <w:tc>
          <w:tcPr>
            <w:tcW w:w="1752" w:type="dxa"/>
            <w:tcBorders>
              <w:tl2br w:val="nil"/>
              <w:tr2bl w:val="nil"/>
            </w:tcBorders>
            <w:vAlign w:val="center"/>
          </w:tcPr>
          <w:p>
            <w:pPr>
              <w:spacing w:line="360" w:lineRule="exact"/>
              <w:jc w:val="center"/>
              <w:rPr>
                <w:szCs w:val="21"/>
              </w:rPr>
            </w:pPr>
            <w:r>
              <w:rPr>
                <w:szCs w:val="21"/>
              </w:rPr>
              <w:t>风电机组</w:t>
            </w:r>
            <w:r>
              <w:rPr>
                <w:rFonts w:hint="eastAsia"/>
                <w:szCs w:val="21"/>
              </w:rPr>
              <w:t>（含箱变）</w:t>
            </w:r>
          </w:p>
        </w:tc>
        <w:tc>
          <w:tcPr>
            <w:tcW w:w="1309" w:type="dxa"/>
            <w:tcBorders>
              <w:tl2br w:val="nil"/>
              <w:tr2bl w:val="nil"/>
            </w:tcBorders>
            <w:vAlign w:val="center"/>
          </w:tcPr>
          <w:p>
            <w:pPr>
              <w:spacing w:line="360" w:lineRule="exact"/>
              <w:jc w:val="center"/>
              <w:rPr>
                <w:szCs w:val="21"/>
              </w:rPr>
            </w:pPr>
            <w:r>
              <w:rPr>
                <w:rFonts w:hint="eastAsia"/>
                <w:szCs w:val="21"/>
              </w:rPr>
              <w:t>吊装平台</w:t>
            </w:r>
          </w:p>
        </w:tc>
        <w:tc>
          <w:tcPr>
            <w:tcW w:w="1547" w:type="dxa"/>
            <w:tcBorders>
              <w:tl2br w:val="nil"/>
              <w:tr2bl w:val="nil"/>
            </w:tcBorders>
            <w:vAlign w:val="center"/>
          </w:tcPr>
          <w:p>
            <w:pPr>
              <w:spacing w:line="360" w:lineRule="exact"/>
              <w:jc w:val="center"/>
              <w:rPr>
                <w:szCs w:val="21"/>
              </w:rPr>
            </w:pPr>
            <w:r>
              <w:rPr>
                <w:rFonts w:hint="eastAsia"/>
                <w:szCs w:val="21"/>
              </w:rPr>
              <w:t>施工及</w:t>
            </w:r>
            <w:r>
              <w:rPr>
                <w:szCs w:val="21"/>
              </w:rPr>
              <w:t>检修道路</w:t>
            </w:r>
          </w:p>
        </w:tc>
        <w:tc>
          <w:tcPr>
            <w:tcW w:w="1277" w:type="dxa"/>
            <w:tcBorders>
              <w:tl2br w:val="nil"/>
              <w:tr2bl w:val="nil"/>
            </w:tcBorders>
            <w:vAlign w:val="center"/>
          </w:tcPr>
          <w:p>
            <w:pPr>
              <w:spacing w:line="360" w:lineRule="exact"/>
              <w:jc w:val="center"/>
              <w:rPr>
                <w:szCs w:val="21"/>
              </w:rPr>
            </w:pPr>
            <w:r>
              <w:rPr>
                <w:rFonts w:hint="eastAsia"/>
                <w:szCs w:val="21"/>
              </w:rPr>
              <w:t>施工临时占地</w:t>
            </w:r>
          </w:p>
        </w:tc>
        <w:tc>
          <w:tcPr>
            <w:tcW w:w="1102" w:type="dxa"/>
            <w:tcBorders>
              <w:tl2br w:val="nil"/>
              <w:tr2bl w:val="nil"/>
            </w:tcBorders>
            <w:vAlign w:val="center"/>
          </w:tcPr>
          <w:p>
            <w:pPr>
              <w:spacing w:line="360" w:lineRule="exact"/>
              <w:jc w:val="center"/>
              <w:rPr>
                <w:szCs w:val="21"/>
              </w:rPr>
            </w:pPr>
            <w:r>
              <w:rPr>
                <w:rFonts w:hint="eastAsia"/>
                <w:szCs w:val="21"/>
              </w:rPr>
              <w:t>小计</w:t>
            </w:r>
          </w:p>
        </w:tc>
        <w:tc>
          <w:tcPr>
            <w:tcW w:w="1308" w:type="dxa"/>
            <w:tcBorders>
              <w:tl2br w:val="nil"/>
              <w:tr2bl w:val="nil"/>
            </w:tcBorders>
            <w:vAlign w:val="center"/>
          </w:tcPr>
          <w:p>
            <w:pPr>
              <w:spacing w:line="360" w:lineRule="exact"/>
              <w:jc w:val="center"/>
              <w:rPr>
                <w:szCs w:val="21"/>
              </w:rPr>
            </w:pPr>
            <w:r>
              <w:rPr>
                <w:rFonts w:hint="eastAsia"/>
                <w:szCs w:val="21"/>
              </w:rPr>
              <w:t>所占比例</w:t>
            </w:r>
          </w:p>
        </w:tc>
      </w:tr>
      <w:tr>
        <w:trPr>
          <w:trHeight w:val="284" w:hRule="atLeast"/>
          <w:jc w:val="center"/>
        </w:trPr>
        <w:tc>
          <w:tcPr>
            <w:tcW w:w="785" w:type="dxa"/>
            <w:tcBorders>
              <w:tl2br w:val="nil"/>
              <w:tr2bl w:val="nil"/>
            </w:tcBorders>
            <w:vAlign w:val="center"/>
          </w:tcPr>
          <w:p>
            <w:pPr>
              <w:spacing w:line="360" w:lineRule="exact"/>
              <w:jc w:val="center"/>
            </w:pPr>
            <w:r>
              <w:rPr>
                <w:rFonts w:hint="eastAsia"/>
              </w:rPr>
              <w:t>灌木林</w:t>
            </w:r>
          </w:p>
        </w:tc>
        <w:tc>
          <w:tcPr>
            <w:tcW w:w="1752" w:type="dxa"/>
            <w:tcBorders>
              <w:tl2br w:val="nil"/>
              <w:tr2bl w:val="nil"/>
            </w:tcBorders>
            <w:vAlign w:val="center"/>
          </w:tcPr>
          <w:p>
            <w:pPr>
              <w:spacing w:line="360" w:lineRule="exact"/>
              <w:jc w:val="center"/>
              <w:rPr>
                <w:sz w:val="22"/>
                <w:szCs w:val="22"/>
              </w:rPr>
            </w:pPr>
            <w:r>
              <w:rPr>
                <w:rFonts w:hint="eastAsia"/>
                <w:sz w:val="22"/>
                <w:szCs w:val="22"/>
              </w:rPr>
              <w:t>-</w:t>
            </w:r>
          </w:p>
        </w:tc>
        <w:tc>
          <w:tcPr>
            <w:tcW w:w="1309" w:type="dxa"/>
            <w:tcBorders>
              <w:tl2br w:val="nil"/>
              <w:tr2bl w:val="nil"/>
            </w:tcBorders>
            <w:vAlign w:val="center"/>
          </w:tcPr>
          <w:p>
            <w:pPr>
              <w:spacing w:line="360" w:lineRule="exact"/>
              <w:jc w:val="center"/>
              <w:rPr>
                <w:sz w:val="22"/>
                <w:szCs w:val="22"/>
              </w:rPr>
            </w:pPr>
            <w:r>
              <w:rPr>
                <w:rFonts w:hint="eastAsia"/>
                <w:sz w:val="22"/>
                <w:szCs w:val="22"/>
              </w:rPr>
              <w:t>-</w:t>
            </w:r>
          </w:p>
        </w:tc>
        <w:tc>
          <w:tcPr>
            <w:tcW w:w="1547" w:type="dxa"/>
            <w:tcBorders>
              <w:tl2br w:val="nil"/>
              <w:tr2bl w:val="nil"/>
            </w:tcBorders>
            <w:vAlign w:val="center"/>
          </w:tcPr>
          <w:p>
            <w:pPr>
              <w:spacing w:line="360" w:lineRule="exact"/>
              <w:jc w:val="center"/>
              <w:rPr>
                <w:szCs w:val="21"/>
              </w:rPr>
            </w:pPr>
            <w:r>
              <w:rPr>
                <w:rFonts w:hint="eastAsia"/>
                <w:szCs w:val="21"/>
              </w:rPr>
              <w:t>1379</w:t>
            </w:r>
          </w:p>
        </w:tc>
        <w:tc>
          <w:tcPr>
            <w:tcW w:w="1277" w:type="dxa"/>
            <w:tcBorders>
              <w:tl2br w:val="nil"/>
              <w:tr2bl w:val="nil"/>
            </w:tcBorders>
            <w:vAlign w:val="center"/>
          </w:tcPr>
          <w:p>
            <w:pPr>
              <w:spacing w:line="360" w:lineRule="exact"/>
              <w:jc w:val="center"/>
              <w:rPr>
                <w:szCs w:val="21"/>
              </w:rPr>
            </w:pPr>
            <w:r>
              <w:rPr>
                <w:rFonts w:hint="eastAsia"/>
                <w:sz w:val="22"/>
                <w:szCs w:val="22"/>
              </w:rPr>
              <w:t>-</w:t>
            </w:r>
          </w:p>
        </w:tc>
        <w:tc>
          <w:tcPr>
            <w:tcW w:w="1102" w:type="dxa"/>
            <w:tcBorders>
              <w:tl2br w:val="nil"/>
              <w:tr2bl w:val="nil"/>
            </w:tcBorders>
            <w:vAlign w:val="center"/>
          </w:tcPr>
          <w:p>
            <w:pPr>
              <w:spacing w:line="360" w:lineRule="exact"/>
              <w:jc w:val="center"/>
              <w:rPr>
                <w:kern w:val="0"/>
                <w:szCs w:val="21"/>
                <w:lang/>
              </w:rPr>
            </w:pPr>
            <w:r>
              <w:rPr>
                <w:rFonts w:hint="eastAsia"/>
                <w:kern w:val="0"/>
                <w:szCs w:val="21"/>
                <w:lang/>
              </w:rPr>
              <w:t>1379</w:t>
            </w:r>
          </w:p>
        </w:tc>
        <w:tc>
          <w:tcPr>
            <w:tcW w:w="1308" w:type="dxa"/>
            <w:tcBorders>
              <w:tl2br w:val="nil"/>
              <w:tr2bl w:val="nil"/>
            </w:tcBorders>
            <w:vAlign w:val="center"/>
          </w:tcPr>
          <w:p>
            <w:pPr>
              <w:spacing w:line="360" w:lineRule="exact"/>
              <w:jc w:val="center"/>
              <w:rPr>
                <w:szCs w:val="21"/>
              </w:rPr>
            </w:pPr>
            <w:r>
              <w:rPr>
                <w:rFonts w:hint="eastAsia"/>
                <w:szCs w:val="21"/>
              </w:rPr>
              <w:t>4.02</w:t>
            </w:r>
          </w:p>
        </w:tc>
      </w:tr>
      <w:tr>
        <w:trPr>
          <w:trHeight w:val="284" w:hRule="atLeast"/>
          <w:jc w:val="center"/>
        </w:trPr>
        <w:tc>
          <w:tcPr>
            <w:tcW w:w="785" w:type="dxa"/>
            <w:tcBorders>
              <w:tl2br w:val="nil"/>
              <w:tr2bl w:val="nil"/>
            </w:tcBorders>
            <w:vAlign w:val="center"/>
          </w:tcPr>
          <w:p>
            <w:pPr>
              <w:spacing w:line="360" w:lineRule="exact"/>
              <w:jc w:val="center"/>
            </w:pPr>
            <w:r>
              <w:rPr>
                <w:rFonts w:hint="eastAsia"/>
              </w:rPr>
              <w:t>针叶林</w:t>
            </w:r>
          </w:p>
        </w:tc>
        <w:tc>
          <w:tcPr>
            <w:tcW w:w="1752" w:type="dxa"/>
            <w:tcBorders>
              <w:tl2br w:val="nil"/>
              <w:tr2bl w:val="nil"/>
            </w:tcBorders>
            <w:vAlign w:val="center"/>
          </w:tcPr>
          <w:p>
            <w:pPr>
              <w:spacing w:line="360" w:lineRule="exact"/>
              <w:jc w:val="center"/>
              <w:rPr>
                <w:sz w:val="22"/>
                <w:szCs w:val="22"/>
              </w:rPr>
            </w:pPr>
            <w:r>
              <w:rPr>
                <w:rFonts w:hint="eastAsia"/>
                <w:sz w:val="22"/>
                <w:szCs w:val="22"/>
              </w:rPr>
              <w:t>-</w:t>
            </w:r>
          </w:p>
        </w:tc>
        <w:tc>
          <w:tcPr>
            <w:tcW w:w="1309" w:type="dxa"/>
            <w:tcBorders>
              <w:tl2br w:val="nil"/>
              <w:tr2bl w:val="nil"/>
            </w:tcBorders>
            <w:vAlign w:val="center"/>
          </w:tcPr>
          <w:p>
            <w:pPr>
              <w:spacing w:line="360" w:lineRule="exact"/>
              <w:jc w:val="center"/>
              <w:rPr>
                <w:sz w:val="22"/>
                <w:szCs w:val="22"/>
              </w:rPr>
            </w:pPr>
            <w:r>
              <w:rPr>
                <w:rFonts w:hint="eastAsia"/>
                <w:sz w:val="22"/>
                <w:szCs w:val="22"/>
              </w:rPr>
              <w:t>-</w:t>
            </w:r>
          </w:p>
        </w:tc>
        <w:tc>
          <w:tcPr>
            <w:tcW w:w="1547" w:type="dxa"/>
            <w:tcBorders>
              <w:tl2br w:val="nil"/>
              <w:tr2bl w:val="nil"/>
            </w:tcBorders>
            <w:vAlign w:val="center"/>
          </w:tcPr>
          <w:p>
            <w:pPr>
              <w:spacing w:line="360" w:lineRule="exact"/>
              <w:jc w:val="center"/>
              <w:rPr>
                <w:szCs w:val="21"/>
              </w:rPr>
            </w:pPr>
            <w:r>
              <w:rPr>
                <w:rFonts w:hint="eastAsia"/>
                <w:szCs w:val="21"/>
              </w:rPr>
              <w:t>10303</w:t>
            </w:r>
          </w:p>
        </w:tc>
        <w:tc>
          <w:tcPr>
            <w:tcW w:w="1277" w:type="dxa"/>
            <w:tcBorders>
              <w:tl2br w:val="nil"/>
              <w:tr2bl w:val="nil"/>
            </w:tcBorders>
            <w:vAlign w:val="center"/>
          </w:tcPr>
          <w:p>
            <w:pPr>
              <w:spacing w:line="360" w:lineRule="exact"/>
              <w:jc w:val="center"/>
              <w:rPr>
                <w:szCs w:val="21"/>
              </w:rPr>
            </w:pPr>
            <w:r>
              <w:rPr>
                <w:rFonts w:hint="eastAsia"/>
                <w:szCs w:val="21"/>
              </w:rPr>
              <w:t>-</w:t>
            </w:r>
          </w:p>
        </w:tc>
        <w:tc>
          <w:tcPr>
            <w:tcW w:w="1102" w:type="dxa"/>
            <w:tcBorders>
              <w:tl2br w:val="nil"/>
              <w:tr2bl w:val="nil"/>
            </w:tcBorders>
            <w:vAlign w:val="center"/>
          </w:tcPr>
          <w:p>
            <w:pPr>
              <w:spacing w:line="360" w:lineRule="exact"/>
              <w:jc w:val="center"/>
              <w:rPr>
                <w:kern w:val="0"/>
                <w:szCs w:val="21"/>
                <w:lang/>
              </w:rPr>
            </w:pPr>
            <w:r>
              <w:rPr>
                <w:rFonts w:hint="eastAsia"/>
                <w:kern w:val="0"/>
                <w:szCs w:val="21"/>
                <w:lang/>
              </w:rPr>
              <w:t>10303</w:t>
            </w:r>
          </w:p>
        </w:tc>
        <w:tc>
          <w:tcPr>
            <w:tcW w:w="1308" w:type="dxa"/>
            <w:tcBorders>
              <w:tl2br w:val="nil"/>
              <w:tr2bl w:val="nil"/>
            </w:tcBorders>
            <w:vAlign w:val="center"/>
          </w:tcPr>
          <w:p>
            <w:pPr>
              <w:spacing w:line="360" w:lineRule="exact"/>
              <w:jc w:val="center"/>
              <w:rPr>
                <w:szCs w:val="21"/>
              </w:rPr>
            </w:pPr>
            <w:r>
              <w:rPr>
                <w:rFonts w:hint="eastAsia"/>
                <w:szCs w:val="21"/>
              </w:rPr>
              <w:t>30.04</w:t>
            </w:r>
          </w:p>
        </w:tc>
      </w:tr>
      <w:tr>
        <w:trPr>
          <w:trHeight w:val="255" w:hRule="atLeast"/>
          <w:jc w:val="center"/>
        </w:trPr>
        <w:tc>
          <w:tcPr>
            <w:tcW w:w="785" w:type="dxa"/>
            <w:tcBorders>
              <w:tl2br w:val="nil"/>
              <w:tr2bl w:val="nil"/>
            </w:tcBorders>
            <w:vAlign w:val="center"/>
          </w:tcPr>
          <w:p>
            <w:pPr>
              <w:spacing w:line="360" w:lineRule="exact"/>
              <w:jc w:val="center"/>
            </w:pPr>
            <w:r>
              <w:rPr>
                <w:rFonts w:hint="eastAsia"/>
              </w:rPr>
              <w:t>草丛</w:t>
            </w:r>
          </w:p>
        </w:tc>
        <w:tc>
          <w:tcPr>
            <w:tcW w:w="1752" w:type="dxa"/>
            <w:tcBorders>
              <w:tl2br w:val="nil"/>
              <w:tr2bl w:val="nil"/>
            </w:tcBorders>
            <w:vAlign w:val="center"/>
          </w:tcPr>
          <w:p>
            <w:pPr>
              <w:spacing w:line="360" w:lineRule="exact"/>
              <w:jc w:val="center"/>
              <w:rPr>
                <w:sz w:val="22"/>
                <w:szCs w:val="22"/>
              </w:rPr>
            </w:pPr>
            <w:r>
              <w:rPr>
                <w:rFonts w:hint="eastAsia"/>
                <w:sz w:val="22"/>
                <w:szCs w:val="22"/>
              </w:rPr>
              <w:t>1056</w:t>
            </w:r>
          </w:p>
        </w:tc>
        <w:tc>
          <w:tcPr>
            <w:tcW w:w="1309" w:type="dxa"/>
            <w:tcBorders>
              <w:tl2br w:val="nil"/>
              <w:tr2bl w:val="nil"/>
            </w:tcBorders>
            <w:vAlign w:val="center"/>
          </w:tcPr>
          <w:p>
            <w:pPr>
              <w:spacing w:line="360" w:lineRule="exact"/>
              <w:jc w:val="center"/>
              <w:rPr>
                <w:sz w:val="22"/>
                <w:szCs w:val="22"/>
              </w:rPr>
            </w:pPr>
            <w:r>
              <w:rPr>
                <w:rFonts w:hint="eastAsia"/>
                <w:sz w:val="22"/>
                <w:szCs w:val="22"/>
              </w:rPr>
              <w:t>4944</w:t>
            </w:r>
          </w:p>
        </w:tc>
        <w:tc>
          <w:tcPr>
            <w:tcW w:w="1547" w:type="dxa"/>
            <w:tcBorders>
              <w:tl2br w:val="nil"/>
              <w:tr2bl w:val="nil"/>
            </w:tcBorders>
            <w:vAlign w:val="center"/>
          </w:tcPr>
          <w:p>
            <w:pPr>
              <w:spacing w:line="360" w:lineRule="exact"/>
              <w:jc w:val="center"/>
              <w:rPr>
                <w:szCs w:val="21"/>
              </w:rPr>
            </w:pPr>
            <w:r>
              <w:rPr>
                <w:rFonts w:hint="eastAsia"/>
                <w:szCs w:val="21"/>
              </w:rPr>
              <w:t>10318</w:t>
            </w:r>
          </w:p>
        </w:tc>
        <w:tc>
          <w:tcPr>
            <w:tcW w:w="1277" w:type="dxa"/>
            <w:tcBorders>
              <w:tl2br w:val="nil"/>
              <w:tr2bl w:val="nil"/>
            </w:tcBorders>
            <w:vAlign w:val="center"/>
          </w:tcPr>
          <w:p>
            <w:pPr>
              <w:spacing w:line="360" w:lineRule="exact"/>
              <w:jc w:val="center"/>
              <w:rPr>
                <w:szCs w:val="21"/>
              </w:rPr>
            </w:pPr>
            <w:r>
              <w:rPr>
                <w:rFonts w:hint="eastAsia"/>
                <w:szCs w:val="21"/>
              </w:rPr>
              <w:t>6300</w:t>
            </w:r>
          </w:p>
        </w:tc>
        <w:tc>
          <w:tcPr>
            <w:tcW w:w="1102" w:type="dxa"/>
            <w:tcBorders>
              <w:tl2br w:val="nil"/>
              <w:tr2bl w:val="nil"/>
            </w:tcBorders>
            <w:vAlign w:val="center"/>
          </w:tcPr>
          <w:p>
            <w:pPr>
              <w:spacing w:line="360" w:lineRule="exact"/>
              <w:jc w:val="center"/>
              <w:rPr>
                <w:kern w:val="0"/>
                <w:szCs w:val="21"/>
                <w:lang/>
              </w:rPr>
            </w:pPr>
            <w:r>
              <w:rPr>
                <w:rFonts w:hint="eastAsia"/>
                <w:kern w:val="0"/>
                <w:szCs w:val="21"/>
                <w:lang/>
              </w:rPr>
              <w:t>22618</w:t>
            </w:r>
          </w:p>
        </w:tc>
        <w:tc>
          <w:tcPr>
            <w:tcW w:w="1308" w:type="dxa"/>
            <w:tcBorders>
              <w:tl2br w:val="nil"/>
              <w:tr2bl w:val="nil"/>
            </w:tcBorders>
            <w:vAlign w:val="center"/>
          </w:tcPr>
          <w:p>
            <w:pPr>
              <w:spacing w:line="360" w:lineRule="exact"/>
              <w:jc w:val="center"/>
              <w:rPr>
                <w:szCs w:val="21"/>
              </w:rPr>
            </w:pPr>
            <w:r>
              <w:rPr>
                <w:rFonts w:hint="eastAsia"/>
                <w:szCs w:val="21"/>
              </w:rPr>
              <w:t>65.94</w:t>
            </w:r>
          </w:p>
        </w:tc>
      </w:tr>
      <w:tr>
        <w:trPr>
          <w:trHeight w:val="284" w:hRule="atLeast"/>
          <w:jc w:val="center"/>
        </w:trPr>
        <w:tc>
          <w:tcPr>
            <w:tcW w:w="785" w:type="dxa"/>
            <w:tcBorders>
              <w:tl2br w:val="nil"/>
              <w:tr2bl w:val="nil"/>
            </w:tcBorders>
            <w:vAlign w:val="center"/>
          </w:tcPr>
          <w:p>
            <w:pPr>
              <w:spacing w:line="360" w:lineRule="exact"/>
              <w:jc w:val="center"/>
              <w:rPr>
                <w:szCs w:val="21"/>
              </w:rPr>
            </w:pPr>
            <w:r>
              <w:rPr>
                <w:szCs w:val="21"/>
              </w:rPr>
              <w:t>合计</w:t>
            </w:r>
          </w:p>
        </w:tc>
        <w:tc>
          <w:tcPr>
            <w:tcW w:w="1752" w:type="dxa"/>
            <w:tcBorders>
              <w:tl2br w:val="nil"/>
              <w:tr2bl w:val="nil"/>
            </w:tcBorders>
            <w:vAlign w:val="center"/>
          </w:tcPr>
          <w:p>
            <w:pPr>
              <w:spacing w:line="360" w:lineRule="exact"/>
              <w:jc w:val="center"/>
              <w:rPr>
                <w:szCs w:val="21"/>
              </w:rPr>
            </w:pPr>
            <w:r>
              <w:rPr>
                <w:rFonts w:hint="eastAsia"/>
                <w:szCs w:val="21"/>
              </w:rPr>
              <w:t>1056</w:t>
            </w:r>
          </w:p>
        </w:tc>
        <w:tc>
          <w:tcPr>
            <w:tcW w:w="1309" w:type="dxa"/>
            <w:tcBorders>
              <w:tl2br w:val="nil"/>
              <w:tr2bl w:val="nil"/>
            </w:tcBorders>
            <w:vAlign w:val="center"/>
          </w:tcPr>
          <w:p>
            <w:pPr>
              <w:spacing w:line="360" w:lineRule="exact"/>
              <w:jc w:val="center"/>
              <w:rPr>
                <w:szCs w:val="21"/>
              </w:rPr>
            </w:pPr>
            <w:r>
              <w:rPr>
                <w:rFonts w:hint="eastAsia"/>
                <w:szCs w:val="21"/>
              </w:rPr>
              <w:t>4944</w:t>
            </w:r>
          </w:p>
        </w:tc>
        <w:tc>
          <w:tcPr>
            <w:tcW w:w="1547" w:type="dxa"/>
            <w:tcBorders>
              <w:tl2br w:val="nil"/>
              <w:tr2bl w:val="nil"/>
            </w:tcBorders>
            <w:vAlign w:val="center"/>
          </w:tcPr>
          <w:p>
            <w:pPr>
              <w:spacing w:line="360" w:lineRule="exact"/>
              <w:jc w:val="center"/>
              <w:rPr>
                <w:szCs w:val="21"/>
              </w:rPr>
            </w:pPr>
            <w:r>
              <w:rPr>
                <w:rFonts w:hint="eastAsia"/>
                <w:szCs w:val="21"/>
              </w:rPr>
              <w:t>22000</w:t>
            </w:r>
          </w:p>
        </w:tc>
        <w:tc>
          <w:tcPr>
            <w:tcW w:w="1277" w:type="dxa"/>
            <w:tcBorders>
              <w:tl2br w:val="nil"/>
              <w:tr2bl w:val="nil"/>
            </w:tcBorders>
            <w:vAlign w:val="center"/>
          </w:tcPr>
          <w:p>
            <w:pPr>
              <w:spacing w:line="360" w:lineRule="exact"/>
              <w:jc w:val="center"/>
              <w:rPr>
                <w:szCs w:val="21"/>
              </w:rPr>
            </w:pPr>
            <w:r>
              <w:rPr>
                <w:rFonts w:hint="eastAsia"/>
                <w:szCs w:val="21"/>
              </w:rPr>
              <w:t>6300</w:t>
            </w:r>
          </w:p>
        </w:tc>
        <w:tc>
          <w:tcPr>
            <w:tcW w:w="1102" w:type="dxa"/>
            <w:tcBorders>
              <w:tl2br w:val="nil"/>
              <w:tr2bl w:val="nil"/>
            </w:tcBorders>
            <w:vAlign w:val="center"/>
          </w:tcPr>
          <w:p>
            <w:pPr>
              <w:spacing w:line="360" w:lineRule="exact"/>
              <w:jc w:val="center"/>
              <w:rPr>
                <w:kern w:val="0"/>
                <w:szCs w:val="21"/>
                <w:lang/>
              </w:rPr>
            </w:pPr>
            <w:r>
              <w:rPr>
                <w:rFonts w:hint="eastAsia"/>
                <w:kern w:val="0"/>
                <w:szCs w:val="21"/>
                <w:lang/>
              </w:rPr>
              <w:t>34300</w:t>
            </w:r>
          </w:p>
        </w:tc>
        <w:tc>
          <w:tcPr>
            <w:tcW w:w="1308" w:type="dxa"/>
            <w:tcBorders>
              <w:tl2br w:val="nil"/>
              <w:tr2bl w:val="nil"/>
            </w:tcBorders>
            <w:vAlign w:val="center"/>
          </w:tcPr>
          <w:p>
            <w:pPr>
              <w:spacing w:line="360" w:lineRule="exact"/>
              <w:jc w:val="center"/>
              <w:rPr>
                <w:szCs w:val="21"/>
              </w:rPr>
            </w:pPr>
            <w:r>
              <w:rPr>
                <w:rFonts w:hint="eastAsia"/>
                <w:szCs w:val="21"/>
              </w:rPr>
              <w:t>100</w:t>
            </w:r>
          </w:p>
        </w:tc>
      </w:tr>
    </w:tbl>
    <w:p>
      <w:pPr>
        <w:spacing w:line="440" w:lineRule="exact"/>
        <w:ind w:firstLine="480" w:firstLineChars="200"/>
        <w:jc w:val="center"/>
        <w:rPr>
          <w:rFonts w:cs="宋?"/>
          <w:kern w:val="0"/>
          <w:sz w:val="24"/>
        </w:rPr>
      </w:pPr>
      <w:r>
        <w:rPr>
          <w:rFonts w:hint="eastAsia" w:cs="宋?"/>
          <w:kern w:val="0"/>
          <w:sz w:val="24"/>
        </w:rPr>
        <w:t>表5  风电场评价范围内植被类型分布</w:t>
      </w:r>
    </w:p>
    <w:tbl>
      <w:tblPr>
        <w:tblW w:w="90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left w:w="0" w:type="dxa"/>
          <w:right w:w="0" w:type="dxa"/>
        </w:tblCellMar>
      </w:tblPr>
      <w:tblGrid>
        <w:gridCol w:w="1138"/>
        <w:gridCol w:w="1030"/>
        <w:gridCol w:w="892"/>
        <w:gridCol w:w="1204"/>
        <w:gridCol w:w="1204"/>
        <w:gridCol w:w="1204"/>
        <w:gridCol w:w="1204"/>
        <w:gridCol w:w="1204"/>
      </w:tblGrid>
      <w:tr>
        <w:trPr>
          <w:trHeight w:val="284" w:hRule="atLeast"/>
          <w:jc w:val="center"/>
        </w:trPr>
        <w:tc>
          <w:tcPr>
            <w:tcW w:w="1138" w:type="dxa"/>
            <w:vMerge w:val="restart"/>
            <w:tcBorders>
              <w:tl2br w:val="nil"/>
              <w:tr2bl w:val="nil"/>
            </w:tcBorders>
            <w:vAlign w:val="center"/>
          </w:tcPr>
          <w:p>
            <w:pPr>
              <w:snapToGrid w:val="0"/>
              <w:spacing w:line="360" w:lineRule="exact"/>
              <w:jc w:val="center"/>
              <w:rPr>
                <w:szCs w:val="21"/>
              </w:rPr>
            </w:pPr>
            <w:r>
              <w:rPr>
                <w:szCs w:val="21"/>
              </w:rPr>
              <w:t>占地类型</w:t>
            </w:r>
          </w:p>
        </w:tc>
        <w:tc>
          <w:tcPr>
            <w:tcW w:w="7942" w:type="dxa"/>
            <w:gridSpan w:val="7"/>
            <w:tcBorders>
              <w:tl2br w:val="nil"/>
              <w:tr2bl w:val="nil"/>
            </w:tcBorders>
            <w:vAlign w:val="center"/>
          </w:tcPr>
          <w:p>
            <w:pPr>
              <w:snapToGrid w:val="0"/>
              <w:spacing w:line="360" w:lineRule="exact"/>
              <w:jc w:val="center"/>
              <w:rPr>
                <w:szCs w:val="21"/>
              </w:rPr>
            </w:pPr>
            <w:r>
              <w:rPr>
                <w:rFonts w:hint="eastAsia"/>
                <w:szCs w:val="21"/>
              </w:rPr>
              <w:t>评价范围</w:t>
            </w:r>
            <w:r>
              <w:rPr>
                <w:szCs w:val="21"/>
              </w:rPr>
              <w:t>面积（</w:t>
            </w:r>
            <w:r>
              <w:rPr>
                <w:rFonts w:hint="eastAsia"/>
                <w:szCs w:val="21"/>
              </w:rPr>
              <w:t>h</w:t>
            </w:r>
            <w:r>
              <w:rPr>
                <w:szCs w:val="21"/>
              </w:rPr>
              <w:t>m</w:t>
            </w:r>
            <w:r>
              <w:rPr>
                <w:szCs w:val="21"/>
                <w:vertAlign w:val="superscript"/>
              </w:rPr>
              <w:t>2</w:t>
            </w:r>
            <w:r>
              <w:rPr>
                <w:szCs w:val="21"/>
              </w:rPr>
              <w:t>）</w:t>
            </w:r>
          </w:p>
        </w:tc>
      </w:tr>
      <w:tr>
        <w:trPr>
          <w:trHeight w:val="284" w:hRule="atLeast"/>
          <w:jc w:val="center"/>
        </w:trPr>
        <w:tc>
          <w:tcPr>
            <w:tcW w:w="1138" w:type="dxa"/>
            <w:vMerge w:val="continue"/>
            <w:tcBorders>
              <w:tl2br w:val="nil"/>
              <w:tr2bl w:val="nil"/>
            </w:tcBorders>
            <w:vAlign w:val="center"/>
          </w:tcPr>
          <w:p>
            <w:pPr>
              <w:snapToGrid w:val="0"/>
              <w:spacing w:line="360" w:lineRule="exact"/>
              <w:jc w:val="center"/>
              <w:rPr>
                <w:szCs w:val="21"/>
              </w:rPr>
            </w:pPr>
          </w:p>
        </w:tc>
        <w:tc>
          <w:tcPr>
            <w:tcW w:w="1030" w:type="dxa"/>
            <w:tcBorders>
              <w:tl2br w:val="nil"/>
              <w:tr2bl w:val="nil"/>
            </w:tcBorders>
            <w:vAlign w:val="center"/>
          </w:tcPr>
          <w:p>
            <w:pPr>
              <w:snapToGrid w:val="0"/>
              <w:spacing w:line="360" w:lineRule="exact"/>
              <w:jc w:val="center"/>
              <w:rPr>
                <w:szCs w:val="21"/>
              </w:rPr>
            </w:pPr>
            <w:r>
              <w:rPr>
                <w:szCs w:val="21"/>
              </w:rPr>
              <w:t>风电机组</w:t>
            </w:r>
            <w:r>
              <w:rPr>
                <w:rFonts w:hint="eastAsia"/>
                <w:szCs w:val="21"/>
              </w:rPr>
              <w:t>（含箱变）</w:t>
            </w:r>
          </w:p>
        </w:tc>
        <w:tc>
          <w:tcPr>
            <w:tcW w:w="892" w:type="dxa"/>
            <w:tcBorders>
              <w:tl2br w:val="nil"/>
              <w:tr2bl w:val="nil"/>
            </w:tcBorders>
            <w:vAlign w:val="center"/>
          </w:tcPr>
          <w:p>
            <w:pPr>
              <w:snapToGrid w:val="0"/>
              <w:spacing w:line="360" w:lineRule="exact"/>
              <w:jc w:val="center"/>
              <w:rPr>
                <w:szCs w:val="21"/>
              </w:rPr>
            </w:pPr>
            <w:r>
              <w:rPr>
                <w:rFonts w:hint="eastAsia"/>
                <w:szCs w:val="21"/>
              </w:rPr>
              <w:t>吊装平台</w:t>
            </w:r>
          </w:p>
        </w:tc>
        <w:tc>
          <w:tcPr>
            <w:tcW w:w="1204" w:type="dxa"/>
            <w:tcBorders>
              <w:tl2br w:val="nil"/>
              <w:tr2bl w:val="nil"/>
            </w:tcBorders>
            <w:vAlign w:val="center"/>
          </w:tcPr>
          <w:p>
            <w:pPr>
              <w:snapToGrid w:val="0"/>
              <w:spacing w:line="360" w:lineRule="exact"/>
              <w:jc w:val="center"/>
              <w:rPr>
                <w:szCs w:val="21"/>
              </w:rPr>
            </w:pPr>
            <w:r>
              <w:rPr>
                <w:rFonts w:hint="eastAsia"/>
                <w:szCs w:val="21"/>
              </w:rPr>
              <w:t>集电线路</w:t>
            </w:r>
          </w:p>
        </w:tc>
        <w:tc>
          <w:tcPr>
            <w:tcW w:w="1204" w:type="dxa"/>
            <w:tcBorders>
              <w:tl2br w:val="nil"/>
              <w:tr2bl w:val="nil"/>
            </w:tcBorders>
            <w:vAlign w:val="center"/>
          </w:tcPr>
          <w:p>
            <w:pPr>
              <w:snapToGrid w:val="0"/>
              <w:spacing w:line="360" w:lineRule="exact"/>
              <w:jc w:val="center"/>
              <w:rPr>
                <w:szCs w:val="21"/>
              </w:rPr>
            </w:pPr>
            <w:r>
              <w:rPr>
                <w:rFonts w:hint="eastAsia"/>
                <w:szCs w:val="21"/>
              </w:rPr>
              <w:t>施工及</w:t>
            </w:r>
            <w:r>
              <w:rPr>
                <w:szCs w:val="21"/>
              </w:rPr>
              <w:t>检修道路</w:t>
            </w:r>
          </w:p>
        </w:tc>
        <w:tc>
          <w:tcPr>
            <w:tcW w:w="1204" w:type="dxa"/>
            <w:tcBorders>
              <w:tl2br w:val="nil"/>
              <w:tr2bl w:val="nil"/>
            </w:tcBorders>
            <w:vAlign w:val="center"/>
          </w:tcPr>
          <w:p>
            <w:pPr>
              <w:snapToGrid w:val="0"/>
              <w:spacing w:line="360" w:lineRule="exact"/>
              <w:jc w:val="center"/>
              <w:rPr>
                <w:szCs w:val="21"/>
              </w:rPr>
            </w:pPr>
            <w:r>
              <w:rPr>
                <w:rFonts w:hint="eastAsia"/>
                <w:szCs w:val="21"/>
              </w:rPr>
              <w:t>施工临时占地</w:t>
            </w:r>
          </w:p>
        </w:tc>
        <w:tc>
          <w:tcPr>
            <w:tcW w:w="1204" w:type="dxa"/>
            <w:tcBorders>
              <w:tl2br w:val="nil"/>
              <w:tr2bl w:val="nil"/>
            </w:tcBorders>
            <w:vAlign w:val="center"/>
          </w:tcPr>
          <w:p>
            <w:pPr>
              <w:snapToGrid w:val="0"/>
              <w:spacing w:line="360" w:lineRule="exact"/>
              <w:jc w:val="center"/>
              <w:rPr>
                <w:szCs w:val="21"/>
              </w:rPr>
            </w:pPr>
            <w:r>
              <w:rPr>
                <w:rFonts w:hint="eastAsia"/>
                <w:szCs w:val="21"/>
              </w:rPr>
              <w:t>小计</w:t>
            </w:r>
          </w:p>
        </w:tc>
        <w:tc>
          <w:tcPr>
            <w:tcW w:w="1204" w:type="dxa"/>
            <w:tcBorders>
              <w:tl2br w:val="nil"/>
              <w:tr2bl w:val="nil"/>
            </w:tcBorders>
            <w:vAlign w:val="center"/>
          </w:tcPr>
          <w:p>
            <w:pPr>
              <w:snapToGrid w:val="0"/>
              <w:spacing w:line="360" w:lineRule="exact"/>
              <w:jc w:val="center"/>
              <w:rPr>
                <w:szCs w:val="21"/>
              </w:rPr>
            </w:pPr>
            <w:r>
              <w:rPr>
                <w:rFonts w:hint="eastAsia"/>
                <w:szCs w:val="21"/>
              </w:rPr>
              <w:t>所占比例</w:t>
            </w:r>
          </w:p>
        </w:tc>
      </w:tr>
      <w:tr>
        <w:trPr>
          <w:trHeight w:val="284" w:hRule="atLeast"/>
          <w:jc w:val="center"/>
        </w:trPr>
        <w:tc>
          <w:tcPr>
            <w:tcW w:w="1138" w:type="dxa"/>
            <w:tcBorders>
              <w:tl2br w:val="nil"/>
              <w:tr2bl w:val="nil"/>
            </w:tcBorders>
            <w:vAlign w:val="center"/>
          </w:tcPr>
          <w:p>
            <w:pPr>
              <w:snapToGrid w:val="0"/>
              <w:spacing w:line="360" w:lineRule="exact"/>
              <w:jc w:val="center"/>
            </w:pPr>
            <w:r>
              <w:rPr>
                <w:rFonts w:hint="eastAsia"/>
              </w:rPr>
              <w:t>落叶阔叶林</w:t>
            </w:r>
          </w:p>
        </w:tc>
        <w:tc>
          <w:tcPr>
            <w:tcW w:w="1922" w:type="dxa"/>
            <w:gridSpan w:val="2"/>
            <w:tcBorders>
              <w:tl2br w:val="nil"/>
              <w:tr2bl w:val="nil"/>
            </w:tcBorders>
            <w:vAlign w:val="center"/>
          </w:tcPr>
          <w:p>
            <w:pPr>
              <w:snapToGrid w:val="0"/>
              <w:spacing w:line="360" w:lineRule="exact"/>
              <w:jc w:val="center"/>
              <w:rPr>
                <w:sz w:val="22"/>
                <w:szCs w:val="22"/>
              </w:rPr>
            </w:pPr>
            <w:r>
              <w:rPr>
                <w:rFonts w:hint="eastAsia"/>
                <w:sz w:val="22"/>
                <w:szCs w:val="22"/>
              </w:rPr>
              <w:t>30.71</w:t>
            </w:r>
          </w:p>
        </w:tc>
        <w:tc>
          <w:tcPr>
            <w:tcW w:w="1204" w:type="dxa"/>
            <w:tcBorders>
              <w:tl2br w:val="nil"/>
              <w:tr2bl w:val="nil"/>
            </w:tcBorders>
            <w:vAlign w:val="center"/>
          </w:tcPr>
          <w:p>
            <w:pPr>
              <w:snapToGrid w:val="0"/>
              <w:spacing w:line="360" w:lineRule="exact"/>
              <w:jc w:val="center"/>
              <w:rPr>
                <w:sz w:val="22"/>
                <w:szCs w:val="22"/>
              </w:rPr>
            </w:pPr>
            <w:r>
              <w:rPr>
                <w:rFonts w:hint="eastAsia"/>
                <w:sz w:val="22"/>
                <w:szCs w:val="22"/>
              </w:rPr>
              <w:t>0.18</w:t>
            </w:r>
          </w:p>
        </w:tc>
        <w:tc>
          <w:tcPr>
            <w:tcW w:w="1204" w:type="dxa"/>
            <w:tcBorders>
              <w:tl2br w:val="nil"/>
              <w:tr2bl w:val="nil"/>
            </w:tcBorders>
            <w:vAlign w:val="center"/>
          </w:tcPr>
          <w:p>
            <w:pPr>
              <w:snapToGrid w:val="0"/>
              <w:spacing w:line="360" w:lineRule="exact"/>
              <w:jc w:val="center"/>
              <w:rPr>
                <w:szCs w:val="21"/>
              </w:rPr>
            </w:pPr>
            <w:r>
              <w:rPr>
                <w:rFonts w:hint="eastAsia"/>
                <w:szCs w:val="21"/>
              </w:rPr>
              <w:t>17.81</w:t>
            </w:r>
          </w:p>
        </w:tc>
        <w:tc>
          <w:tcPr>
            <w:tcW w:w="1204" w:type="dxa"/>
            <w:tcBorders>
              <w:tl2br w:val="nil"/>
              <w:tr2bl w:val="nil"/>
            </w:tcBorders>
            <w:vAlign w:val="center"/>
          </w:tcPr>
          <w:p>
            <w:pPr>
              <w:snapToGrid w:val="0"/>
              <w:spacing w:line="360" w:lineRule="exact"/>
              <w:jc w:val="center"/>
              <w:rPr>
                <w:szCs w:val="21"/>
              </w:rPr>
            </w:pPr>
            <w:r>
              <w:rPr>
                <w:rFonts w:hint="eastAsia"/>
                <w:szCs w:val="21"/>
              </w:rPr>
              <w:t>28.88</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77.58</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10.30</w:t>
            </w:r>
          </w:p>
        </w:tc>
      </w:tr>
      <w:tr>
        <w:trPr>
          <w:trHeight w:val="284" w:hRule="atLeast"/>
          <w:jc w:val="center"/>
        </w:trPr>
        <w:tc>
          <w:tcPr>
            <w:tcW w:w="1138" w:type="dxa"/>
            <w:tcBorders>
              <w:tl2br w:val="nil"/>
              <w:tr2bl w:val="nil"/>
            </w:tcBorders>
            <w:vAlign w:val="center"/>
          </w:tcPr>
          <w:p>
            <w:pPr>
              <w:snapToGrid w:val="0"/>
              <w:spacing w:line="360" w:lineRule="exact"/>
              <w:jc w:val="center"/>
            </w:pPr>
            <w:r>
              <w:rPr>
                <w:rFonts w:hint="eastAsia"/>
              </w:rPr>
              <w:t>灌木林</w:t>
            </w:r>
          </w:p>
        </w:tc>
        <w:tc>
          <w:tcPr>
            <w:tcW w:w="1922" w:type="dxa"/>
            <w:gridSpan w:val="2"/>
            <w:tcBorders>
              <w:tl2br w:val="nil"/>
              <w:tr2bl w:val="nil"/>
            </w:tcBorders>
            <w:vAlign w:val="center"/>
          </w:tcPr>
          <w:p>
            <w:pPr>
              <w:snapToGrid w:val="0"/>
              <w:spacing w:line="360" w:lineRule="exact"/>
              <w:jc w:val="center"/>
              <w:rPr>
                <w:sz w:val="22"/>
                <w:szCs w:val="22"/>
              </w:rPr>
            </w:pPr>
            <w:r>
              <w:rPr>
                <w:rFonts w:hint="eastAsia"/>
                <w:sz w:val="22"/>
                <w:szCs w:val="22"/>
              </w:rPr>
              <w:t>43.01</w:t>
            </w:r>
          </w:p>
        </w:tc>
        <w:tc>
          <w:tcPr>
            <w:tcW w:w="1204" w:type="dxa"/>
            <w:tcBorders>
              <w:tl2br w:val="nil"/>
              <w:tr2bl w:val="nil"/>
            </w:tcBorders>
            <w:vAlign w:val="center"/>
          </w:tcPr>
          <w:p>
            <w:pPr>
              <w:snapToGrid w:val="0"/>
              <w:spacing w:line="360" w:lineRule="exact"/>
              <w:jc w:val="center"/>
              <w:rPr>
                <w:sz w:val="22"/>
                <w:szCs w:val="22"/>
              </w:rPr>
            </w:pPr>
            <w:r>
              <w:rPr>
                <w:rFonts w:hint="eastAsia"/>
                <w:sz w:val="22"/>
                <w:szCs w:val="22"/>
              </w:rPr>
              <w:t>0.17</w:t>
            </w:r>
          </w:p>
        </w:tc>
        <w:tc>
          <w:tcPr>
            <w:tcW w:w="1204" w:type="dxa"/>
            <w:tcBorders>
              <w:tl2br w:val="nil"/>
              <w:tr2bl w:val="nil"/>
            </w:tcBorders>
            <w:vAlign w:val="center"/>
          </w:tcPr>
          <w:p>
            <w:pPr>
              <w:snapToGrid w:val="0"/>
              <w:spacing w:line="360" w:lineRule="exact"/>
              <w:jc w:val="center"/>
              <w:rPr>
                <w:szCs w:val="21"/>
              </w:rPr>
            </w:pPr>
            <w:r>
              <w:rPr>
                <w:rFonts w:hint="eastAsia"/>
                <w:szCs w:val="21"/>
              </w:rPr>
              <w:t>62.32</w:t>
            </w:r>
          </w:p>
        </w:tc>
        <w:tc>
          <w:tcPr>
            <w:tcW w:w="1204" w:type="dxa"/>
            <w:tcBorders>
              <w:tl2br w:val="nil"/>
              <w:tr2bl w:val="nil"/>
            </w:tcBorders>
            <w:vAlign w:val="center"/>
          </w:tcPr>
          <w:p>
            <w:pPr>
              <w:snapToGrid w:val="0"/>
              <w:spacing w:line="360" w:lineRule="exact"/>
              <w:jc w:val="center"/>
              <w:rPr>
                <w:szCs w:val="21"/>
              </w:rPr>
            </w:pPr>
            <w:r>
              <w:rPr>
                <w:rFonts w:hint="eastAsia"/>
                <w:szCs w:val="21"/>
              </w:rPr>
              <w:t>-</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105.5</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14.00</w:t>
            </w:r>
          </w:p>
        </w:tc>
      </w:tr>
      <w:tr>
        <w:trPr>
          <w:trHeight w:val="284" w:hRule="atLeast"/>
          <w:jc w:val="center"/>
        </w:trPr>
        <w:tc>
          <w:tcPr>
            <w:tcW w:w="1138" w:type="dxa"/>
            <w:tcBorders>
              <w:tl2br w:val="nil"/>
              <w:tr2bl w:val="nil"/>
            </w:tcBorders>
            <w:vAlign w:val="center"/>
          </w:tcPr>
          <w:p>
            <w:pPr>
              <w:snapToGrid w:val="0"/>
              <w:spacing w:line="360" w:lineRule="exact"/>
              <w:jc w:val="center"/>
            </w:pPr>
            <w:r>
              <w:rPr>
                <w:rFonts w:hint="eastAsia"/>
              </w:rPr>
              <w:t>针叶林</w:t>
            </w:r>
          </w:p>
        </w:tc>
        <w:tc>
          <w:tcPr>
            <w:tcW w:w="1922" w:type="dxa"/>
            <w:gridSpan w:val="2"/>
            <w:tcBorders>
              <w:tl2br w:val="nil"/>
              <w:tr2bl w:val="nil"/>
            </w:tcBorders>
            <w:vAlign w:val="center"/>
          </w:tcPr>
          <w:p>
            <w:pPr>
              <w:snapToGrid w:val="0"/>
              <w:spacing w:line="360" w:lineRule="exact"/>
              <w:jc w:val="center"/>
              <w:rPr>
                <w:sz w:val="22"/>
                <w:szCs w:val="22"/>
              </w:rPr>
            </w:pPr>
            <w:r>
              <w:rPr>
                <w:rFonts w:hint="eastAsia"/>
                <w:sz w:val="22"/>
                <w:szCs w:val="22"/>
              </w:rPr>
              <w:t>58.63</w:t>
            </w:r>
          </w:p>
        </w:tc>
        <w:tc>
          <w:tcPr>
            <w:tcW w:w="1204" w:type="dxa"/>
            <w:tcBorders>
              <w:tl2br w:val="nil"/>
              <w:tr2bl w:val="nil"/>
            </w:tcBorders>
            <w:vAlign w:val="center"/>
          </w:tcPr>
          <w:p>
            <w:pPr>
              <w:snapToGrid w:val="0"/>
              <w:spacing w:line="360" w:lineRule="exact"/>
              <w:jc w:val="center"/>
              <w:rPr>
                <w:sz w:val="22"/>
                <w:szCs w:val="22"/>
              </w:rPr>
            </w:pPr>
            <w:r>
              <w:rPr>
                <w:rFonts w:hint="eastAsia"/>
                <w:sz w:val="22"/>
                <w:szCs w:val="22"/>
              </w:rPr>
              <w:t>0.24</w:t>
            </w:r>
          </w:p>
        </w:tc>
        <w:tc>
          <w:tcPr>
            <w:tcW w:w="1204" w:type="dxa"/>
            <w:tcBorders>
              <w:tl2br w:val="nil"/>
              <w:tr2bl w:val="nil"/>
            </w:tcBorders>
            <w:vAlign w:val="center"/>
          </w:tcPr>
          <w:p>
            <w:pPr>
              <w:snapToGrid w:val="0"/>
              <w:spacing w:line="360" w:lineRule="exact"/>
              <w:jc w:val="center"/>
              <w:rPr>
                <w:szCs w:val="21"/>
              </w:rPr>
            </w:pPr>
            <w:r>
              <w:rPr>
                <w:rFonts w:hint="eastAsia"/>
                <w:szCs w:val="21"/>
              </w:rPr>
              <w:t>207.07</w:t>
            </w:r>
          </w:p>
        </w:tc>
        <w:tc>
          <w:tcPr>
            <w:tcW w:w="1204" w:type="dxa"/>
            <w:tcBorders>
              <w:tl2br w:val="nil"/>
              <w:tr2bl w:val="nil"/>
            </w:tcBorders>
            <w:vAlign w:val="center"/>
          </w:tcPr>
          <w:p>
            <w:pPr>
              <w:snapToGrid w:val="0"/>
              <w:spacing w:line="360" w:lineRule="exact"/>
              <w:jc w:val="center"/>
              <w:rPr>
                <w:szCs w:val="21"/>
              </w:rPr>
            </w:pPr>
            <w:r>
              <w:rPr>
                <w:rFonts w:hint="eastAsia"/>
                <w:szCs w:val="21"/>
              </w:rPr>
              <w:t>32.31</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298.25</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39.58</w:t>
            </w:r>
          </w:p>
        </w:tc>
      </w:tr>
      <w:tr>
        <w:trPr>
          <w:trHeight w:val="255" w:hRule="atLeast"/>
          <w:jc w:val="center"/>
        </w:trPr>
        <w:tc>
          <w:tcPr>
            <w:tcW w:w="1138" w:type="dxa"/>
            <w:tcBorders>
              <w:tl2br w:val="nil"/>
              <w:tr2bl w:val="nil"/>
            </w:tcBorders>
            <w:vAlign w:val="center"/>
          </w:tcPr>
          <w:p>
            <w:pPr>
              <w:snapToGrid w:val="0"/>
              <w:spacing w:line="360" w:lineRule="exact"/>
              <w:jc w:val="center"/>
            </w:pPr>
            <w:r>
              <w:rPr>
                <w:rFonts w:hint="eastAsia"/>
              </w:rPr>
              <w:t>草丛</w:t>
            </w:r>
          </w:p>
        </w:tc>
        <w:tc>
          <w:tcPr>
            <w:tcW w:w="1922" w:type="dxa"/>
            <w:gridSpan w:val="2"/>
            <w:tcBorders>
              <w:tl2br w:val="nil"/>
              <w:tr2bl w:val="nil"/>
            </w:tcBorders>
            <w:vAlign w:val="center"/>
          </w:tcPr>
          <w:p>
            <w:pPr>
              <w:snapToGrid w:val="0"/>
              <w:spacing w:line="360" w:lineRule="exact"/>
              <w:jc w:val="center"/>
              <w:rPr>
                <w:sz w:val="22"/>
                <w:szCs w:val="22"/>
              </w:rPr>
            </w:pPr>
            <w:r>
              <w:rPr>
                <w:rFonts w:hint="eastAsia"/>
                <w:sz w:val="22"/>
                <w:szCs w:val="22"/>
              </w:rPr>
              <w:t>103.15</w:t>
            </w:r>
          </w:p>
        </w:tc>
        <w:tc>
          <w:tcPr>
            <w:tcW w:w="1204" w:type="dxa"/>
            <w:tcBorders>
              <w:tl2br w:val="nil"/>
              <w:tr2bl w:val="nil"/>
            </w:tcBorders>
            <w:vAlign w:val="center"/>
          </w:tcPr>
          <w:p>
            <w:pPr>
              <w:snapToGrid w:val="0"/>
              <w:spacing w:line="360" w:lineRule="exact"/>
              <w:jc w:val="center"/>
              <w:rPr>
                <w:sz w:val="22"/>
                <w:szCs w:val="22"/>
              </w:rPr>
            </w:pPr>
            <w:r>
              <w:rPr>
                <w:rFonts w:hint="eastAsia"/>
                <w:sz w:val="22"/>
                <w:szCs w:val="22"/>
              </w:rPr>
              <w:t>0.38</w:t>
            </w:r>
          </w:p>
        </w:tc>
        <w:tc>
          <w:tcPr>
            <w:tcW w:w="1204" w:type="dxa"/>
            <w:tcBorders>
              <w:tl2br w:val="nil"/>
              <w:tr2bl w:val="nil"/>
            </w:tcBorders>
            <w:vAlign w:val="center"/>
          </w:tcPr>
          <w:p>
            <w:pPr>
              <w:snapToGrid w:val="0"/>
              <w:spacing w:line="360" w:lineRule="exact"/>
              <w:jc w:val="center"/>
              <w:rPr>
                <w:szCs w:val="21"/>
              </w:rPr>
            </w:pPr>
            <w:r>
              <w:rPr>
                <w:rFonts w:hint="eastAsia"/>
                <w:szCs w:val="21"/>
              </w:rPr>
              <w:t>112.8</w:t>
            </w:r>
          </w:p>
        </w:tc>
        <w:tc>
          <w:tcPr>
            <w:tcW w:w="1204" w:type="dxa"/>
            <w:tcBorders>
              <w:tl2br w:val="nil"/>
              <w:tr2bl w:val="nil"/>
            </w:tcBorders>
            <w:vAlign w:val="center"/>
          </w:tcPr>
          <w:p>
            <w:pPr>
              <w:snapToGrid w:val="0"/>
              <w:spacing w:line="360" w:lineRule="exact"/>
              <w:jc w:val="center"/>
              <w:rPr>
                <w:szCs w:val="21"/>
              </w:rPr>
            </w:pPr>
            <w:r>
              <w:rPr>
                <w:rFonts w:hint="eastAsia"/>
                <w:szCs w:val="21"/>
              </w:rPr>
              <w:t>48.5</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264.83</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kern w:val="0"/>
                <w:szCs w:val="21"/>
                <w:lang/>
              </w:rPr>
              <w:t>35.15</w:t>
            </w:r>
          </w:p>
        </w:tc>
      </w:tr>
      <w:tr>
        <w:trPr>
          <w:trHeight w:val="255" w:hRule="atLeast"/>
          <w:jc w:val="center"/>
        </w:trPr>
        <w:tc>
          <w:tcPr>
            <w:tcW w:w="1138" w:type="dxa"/>
            <w:tcBorders>
              <w:tl2br w:val="nil"/>
              <w:tr2bl w:val="nil"/>
            </w:tcBorders>
            <w:vAlign w:val="center"/>
          </w:tcPr>
          <w:p>
            <w:pPr>
              <w:snapToGrid w:val="0"/>
              <w:spacing w:line="360" w:lineRule="exact"/>
              <w:jc w:val="center"/>
            </w:pPr>
            <w:r>
              <w:rPr>
                <w:rFonts w:hint="eastAsia"/>
              </w:rPr>
              <w:t>农田植被</w:t>
            </w:r>
          </w:p>
        </w:tc>
        <w:tc>
          <w:tcPr>
            <w:tcW w:w="1922" w:type="dxa"/>
            <w:gridSpan w:val="2"/>
            <w:tcBorders>
              <w:tl2br w:val="nil"/>
              <w:tr2bl w:val="nil"/>
            </w:tcBorders>
            <w:vAlign w:val="center"/>
          </w:tcPr>
          <w:p>
            <w:pPr>
              <w:snapToGrid w:val="0"/>
              <w:spacing w:line="360" w:lineRule="exact"/>
              <w:jc w:val="center"/>
              <w:rPr>
                <w:sz w:val="22"/>
                <w:szCs w:val="22"/>
              </w:rPr>
            </w:pPr>
            <w:r>
              <w:rPr>
                <w:rFonts w:hint="eastAsia"/>
                <w:sz w:val="22"/>
                <w:szCs w:val="22"/>
              </w:rPr>
              <w:t>-</w:t>
            </w:r>
          </w:p>
        </w:tc>
        <w:tc>
          <w:tcPr>
            <w:tcW w:w="1204" w:type="dxa"/>
            <w:tcBorders>
              <w:tl2br w:val="nil"/>
              <w:tr2bl w:val="nil"/>
            </w:tcBorders>
            <w:vAlign w:val="center"/>
          </w:tcPr>
          <w:p>
            <w:pPr>
              <w:snapToGrid w:val="0"/>
              <w:spacing w:line="360" w:lineRule="exact"/>
              <w:jc w:val="center"/>
              <w:rPr>
                <w:sz w:val="22"/>
                <w:szCs w:val="22"/>
              </w:rPr>
            </w:pPr>
            <w:r>
              <w:rPr>
                <w:rFonts w:hint="eastAsia"/>
                <w:sz w:val="22"/>
                <w:szCs w:val="22"/>
              </w:rPr>
              <w:t>0.03</w:t>
            </w:r>
          </w:p>
        </w:tc>
        <w:tc>
          <w:tcPr>
            <w:tcW w:w="1204" w:type="dxa"/>
            <w:tcBorders>
              <w:tl2br w:val="nil"/>
              <w:tr2bl w:val="nil"/>
            </w:tcBorders>
            <w:vAlign w:val="center"/>
          </w:tcPr>
          <w:p>
            <w:pPr>
              <w:snapToGrid w:val="0"/>
              <w:spacing w:line="360" w:lineRule="exact"/>
              <w:jc w:val="center"/>
              <w:rPr>
                <w:szCs w:val="21"/>
              </w:rPr>
            </w:pPr>
            <w:r>
              <w:rPr>
                <w:rFonts w:hint="eastAsia"/>
                <w:szCs w:val="21"/>
              </w:rPr>
              <w:t>-</w:t>
            </w:r>
          </w:p>
        </w:tc>
        <w:tc>
          <w:tcPr>
            <w:tcW w:w="1204" w:type="dxa"/>
            <w:tcBorders>
              <w:tl2br w:val="nil"/>
              <w:tr2bl w:val="nil"/>
            </w:tcBorders>
            <w:vAlign w:val="center"/>
          </w:tcPr>
          <w:p>
            <w:pPr>
              <w:snapToGrid w:val="0"/>
              <w:spacing w:line="360" w:lineRule="exact"/>
              <w:jc w:val="center"/>
              <w:rPr>
                <w:szCs w:val="21"/>
              </w:rPr>
            </w:pPr>
            <w:r>
              <w:rPr>
                <w:rFonts w:hint="eastAsia"/>
                <w:szCs w:val="21"/>
              </w:rPr>
              <w:t>7.31</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szCs w:val="21"/>
              </w:rPr>
              <w:t>7.34</w:t>
            </w:r>
          </w:p>
        </w:tc>
        <w:tc>
          <w:tcPr>
            <w:tcW w:w="1204" w:type="dxa"/>
            <w:tcBorders>
              <w:tl2br w:val="nil"/>
              <w:tr2bl w:val="nil"/>
            </w:tcBorders>
            <w:vAlign w:val="center"/>
          </w:tcPr>
          <w:p>
            <w:pPr>
              <w:widowControl/>
              <w:snapToGrid w:val="0"/>
              <w:spacing w:line="360" w:lineRule="exact"/>
              <w:jc w:val="center"/>
              <w:textAlignment w:val="center"/>
              <w:rPr>
                <w:kern w:val="0"/>
                <w:szCs w:val="21"/>
                <w:lang/>
              </w:rPr>
            </w:pPr>
            <w:r>
              <w:rPr>
                <w:rFonts w:hint="eastAsia"/>
                <w:kern w:val="0"/>
                <w:szCs w:val="21"/>
                <w:lang/>
              </w:rPr>
              <w:t>0.97</w:t>
            </w:r>
          </w:p>
        </w:tc>
      </w:tr>
      <w:tr>
        <w:trPr>
          <w:trHeight w:val="284" w:hRule="atLeast"/>
          <w:jc w:val="center"/>
        </w:trPr>
        <w:tc>
          <w:tcPr>
            <w:tcW w:w="1138" w:type="dxa"/>
            <w:tcBorders>
              <w:tl2br w:val="nil"/>
              <w:tr2bl w:val="nil"/>
            </w:tcBorders>
            <w:vAlign w:val="center"/>
          </w:tcPr>
          <w:p>
            <w:pPr>
              <w:snapToGrid w:val="0"/>
              <w:spacing w:line="360" w:lineRule="exact"/>
              <w:jc w:val="center"/>
            </w:pPr>
            <w:r>
              <w:t>合计</w:t>
            </w:r>
          </w:p>
        </w:tc>
        <w:tc>
          <w:tcPr>
            <w:tcW w:w="1922" w:type="dxa"/>
            <w:gridSpan w:val="2"/>
            <w:tcBorders>
              <w:tl2br w:val="nil"/>
              <w:tr2bl w:val="nil"/>
            </w:tcBorders>
            <w:vAlign w:val="center"/>
          </w:tcPr>
          <w:p>
            <w:pPr>
              <w:snapToGrid w:val="0"/>
              <w:spacing w:line="360" w:lineRule="exact"/>
              <w:jc w:val="center"/>
              <w:rPr>
                <w:szCs w:val="21"/>
              </w:rPr>
            </w:pPr>
            <w:r>
              <w:rPr>
                <w:rFonts w:hint="eastAsia"/>
                <w:szCs w:val="21"/>
              </w:rPr>
              <w:t>235.5</w:t>
            </w:r>
          </w:p>
        </w:tc>
        <w:tc>
          <w:tcPr>
            <w:tcW w:w="1204" w:type="dxa"/>
            <w:tcBorders>
              <w:tl2br w:val="nil"/>
              <w:tr2bl w:val="nil"/>
            </w:tcBorders>
            <w:vAlign w:val="center"/>
          </w:tcPr>
          <w:p>
            <w:pPr>
              <w:snapToGrid w:val="0"/>
              <w:spacing w:line="360" w:lineRule="exact"/>
              <w:jc w:val="center"/>
              <w:rPr>
                <w:szCs w:val="21"/>
              </w:rPr>
            </w:pPr>
            <w:r>
              <w:rPr>
                <w:rFonts w:hint="eastAsia"/>
                <w:szCs w:val="21"/>
              </w:rPr>
              <w:t>1</w:t>
            </w:r>
          </w:p>
        </w:tc>
        <w:tc>
          <w:tcPr>
            <w:tcW w:w="1204" w:type="dxa"/>
            <w:tcBorders>
              <w:tl2br w:val="nil"/>
              <w:tr2bl w:val="nil"/>
            </w:tcBorders>
            <w:vAlign w:val="center"/>
          </w:tcPr>
          <w:p>
            <w:pPr>
              <w:snapToGrid w:val="0"/>
              <w:spacing w:line="360" w:lineRule="exact"/>
              <w:jc w:val="center"/>
              <w:rPr>
                <w:szCs w:val="21"/>
              </w:rPr>
            </w:pPr>
            <w:r>
              <w:rPr>
                <w:rFonts w:hint="eastAsia"/>
                <w:szCs w:val="21"/>
              </w:rPr>
              <w:t>400</w:t>
            </w:r>
          </w:p>
        </w:tc>
        <w:tc>
          <w:tcPr>
            <w:tcW w:w="1204" w:type="dxa"/>
            <w:tcBorders>
              <w:tl2br w:val="nil"/>
              <w:tr2bl w:val="nil"/>
            </w:tcBorders>
            <w:vAlign w:val="center"/>
          </w:tcPr>
          <w:p>
            <w:pPr>
              <w:snapToGrid w:val="0"/>
              <w:spacing w:line="360" w:lineRule="exact"/>
              <w:jc w:val="center"/>
              <w:rPr>
                <w:szCs w:val="21"/>
              </w:rPr>
            </w:pPr>
            <w:r>
              <w:rPr>
                <w:rFonts w:hint="eastAsia"/>
                <w:szCs w:val="21"/>
              </w:rPr>
              <w:t>117</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kern w:val="0"/>
                <w:szCs w:val="21"/>
                <w:lang/>
              </w:rPr>
              <w:t>753.5</w:t>
            </w:r>
          </w:p>
        </w:tc>
        <w:tc>
          <w:tcPr>
            <w:tcW w:w="1204" w:type="dxa"/>
            <w:tcBorders>
              <w:tl2br w:val="nil"/>
              <w:tr2bl w:val="nil"/>
            </w:tcBorders>
            <w:vAlign w:val="center"/>
          </w:tcPr>
          <w:p>
            <w:pPr>
              <w:widowControl/>
              <w:snapToGrid w:val="0"/>
              <w:spacing w:line="360" w:lineRule="exact"/>
              <w:jc w:val="center"/>
              <w:textAlignment w:val="center"/>
              <w:rPr>
                <w:szCs w:val="21"/>
              </w:rPr>
            </w:pPr>
            <w:r>
              <w:rPr>
                <w:rFonts w:hint="eastAsia"/>
                <w:kern w:val="0"/>
                <w:szCs w:val="21"/>
                <w:lang/>
              </w:rPr>
              <w:t>100</w:t>
            </w:r>
          </w:p>
        </w:tc>
      </w:tr>
    </w:tbl>
    <w:p>
      <w:pPr>
        <w:pStyle w:val="4"/>
        <w:wordWrap w:val="0"/>
        <w:adjustRightInd w:val="0"/>
        <w:snapToGrid w:val="0"/>
        <w:spacing w:before="0" w:after="0" w:line="520" w:lineRule="exact"/>
        <w:ind w:left="617" w:hanging="617" w:hangingChars="256"/>
        <w:rPr>
          <w:sz w:val="24"/>
          <w:szCs w:val="24"/>
        </w:rPr>
      </w:pPr>
      <w:bookmarkStart w:id="281" w:name="_Toc396142029"/>
      <w:bookmarkStart w:id="282" w:name="_Toc436993116"/>
      <w:bookmarkStart w:id="283" w:name="_Toc528854959"/>
      <w:r>
        <w:rPr>
          <w:rFonts w:hint="eastAsia"/>
          <w:sz w:val="24"/>
          <w:szCs w:val="24"/>
        </w:rPr>
        <w:t>2.4土壤侵蚀现状</w:t>
      </w:r>
      <w:bookmarkEnd w:id="281"/>
      <w:bookmarkEnd w:id="282"/>
      <w:bookmarkEnd w:id="283"/>
    </w:p>
    <w:p>
      <w:pPr>
        <w:wordWrap w:val="0"/>
        <w:spacing w:line="420" w:lineRule="exact"/>
        <w:ind w:firstLine="480" w:firstLineChars="200"/>
        <w:rPr>
          <w:sz w:val="24"/>
        </w:rPr>
      </w:pPr>
      <w:r>
        <w:rPr>
          <w:rFonts w:hint="eastAsia"/>
          <w:sz w:val="24"/>
        </w:rPr>
        <w:t>（1）土壤侵蚀强度分级原则</w:t>
      </w:r>
    </w:p>
    <w:p>
      <w:pPr>
        <w:wordWrap w:val="0"/>
        <w:spacing w:line="420" w:lineRule="exact"/>
        <w:ind w:firstLine="480" w:firstLineChars="200"/>
        <w:rPr>
          <w:sz w:val="24"/>
        </w:rPr>
      </w:pPr>
      <w:r>
        <w:rPr>
          <w:sz w:val="24"/>
        </w:rPr>
        <w:t>微度侵蚀：土壤侵蚀模数为＜1000t/km</w:t>
      </w:r>
      <w:r>
        <w:rPr>
          <w:sz w:val="24"/>
          <w:vertAlign w:val="superscript"/>
        </w:rPr>
        <w:t>2</w:t>
      </w:r>
      <w:r>
        <w:rPr>
          <w:sz w:val="24"/>
        </w:rPr>
        <w:t>·a</w:t>
      </w:r>
    </w:p>
    <w:p>
      <w:pPr>
        <w:wordWrap w:val="0"/>
        <w:spacing w:line="420" w:lineRule="exact"/>
        <w:ind w:firstLine="480" w:firstLineChars="200"/>
        <w:rPr>
          <w:sz w:val="24"/>
        </w:rPr>
      </w:pPr>
      <w:r>
        <w:rPr>
          <w:rFonts w:hint="eastAsia"/>
          <w:sz w:val="24"/>
        </w:rPr>
        <w:t>轻</w:t>
      </w:r>
      <w:r>
        <w:rPr>
          <w:sz w:val="24"/>
        </w:rPr>
        <w:t>度侵蚀：土壤侵蚀模数为1000</w:t>
      </w:r>
      <w:r>
        <w:rPr>
          <w:rFonts w:hint="eastAsia"/>
          <w:sz w:val="24"/>
        </w:rPr>
        <w:t>~2500</w:t>
      </w:r>
      <w:r>
        <w:rPr>
          <w:sz w:val="24"/>
        </w:rPr>
        <w:t>t/km</w:t>
      </w:r>
      <w:r>
        <w:rPr>
          <w:sz w:val="24"/>
          <w:vertAlign w:val="superscript"/>
        </w:rPr>
        <w:t>2</w:t>
      </w:r>
      <w:r>
        <w:rPr>
          <w:sz w:val="24"/>
        </w:rPr>
        <w:t>·a</w:t>
      </w:r>
    </w:p>
    <w:p>
      <w:pPr>
        <w:wordWrap w:val="0"/>
        <w:spacing w:line="420" w:lineRule="exact"/>
        <w:ind w:firstLine="480" w:firstLineChars="200"/>
        <w:rPr>
          <w:sz w:val="24"/>
        </w:rPr>
      </w:pPr>
      <w:r>
        <w:rPr>
          <w:rFonts w:hint="eastAsia"/>
          <w:sz w:val="24"/>
        </w:rPr>
        <w:t>中</w:t>
      </w:r>
      <w:r>
        <w:rPr>
          <w:sz w:val="24"/>
        </w:rPr>
        <w:t>度侵蚀：土壤侵蚀模数为</w:t>
      </w:r>
      <w:r>
        <w:rPr>
          <w:rFonts w:hint="eastAsia"/>
          <w:sz w:val="24"/>
        </w:rPr>
        <w:t>2500~5000</w:t>
      </w:r>
      <w:r>
        <w:rPr>
          <w:sz w:val="24"/>
        </w:rPr>
        <w:t>t/km</w:t>
      </w:r>
      <w:r>
        <w:rPr>
          <w:sz w:val="24"/>
          <w:vertAlign w:val="superscript"/>
        </w:rPr>
        <w:t>2</w:t>
      </w:r>
      <w:r>
        <w:rPr>
          <w:sz w:val="24"/>
        </w:rPr>
        <w:t>·a</w:t>
      </w:r>
    </w:p>
    <w:p>
      <w:pPr>
        <w:wordWrap w:val="0"/>
        <w:spacing w:line="420" w:lineRule="exact"/>
        <w:ind w:firstLine="480" w:firstLineChars="200"/>
        <w:rPr>
          <w:sz w:val="24"/>
        </w:rPr>
      </w:pPr>
      <w:r>
        <w:rPr>
          <w:rFonts w:hint="eastAsia"/>
          <w:sz w:val="24"/>
        </w:rPr>
        <w:t>重</w:t>
      </w:r>
      <w:r>
        <w:rPr>
          <w:sz w:val="24"/>
        </w:rPr>
        <w:t>度侵蚀：土壤侵蚀模数为</w:t>
      </w:r>
      <w:r>
        <w:rPr>
          <w:rFonts w:hint="eastAsia"/>
          <w:sz w:val="24"/>
        </w:rPr>
        <w:t>5</w:t>
      </w:r>
      <w:r>
        <w:rPr>
          <w:sz w:val="24"/>
        </w:rPr>
        <w:t>000</w:t>
      </w:r>
      <w:r>
        <w:rPr>
          <w:rFonts w:hint="eastAsia"/>
          <w:sz w:val="24"/>
        </w:rPr>
        <w:t>~8000</w:t>
      </w:r>
      <w:r>
        <w:rPr>
          <w:sz w:val="24"/>
        </w:rPr>
        <w:t>t/km</w:t>
      </w:r>
      <w:r>
        <w:rPr>
          <w:sz w:val="24"/>
          <w:vertAlign w:val="superscript"/>
        </w:rPr>
        <w:t>2</w:t>
      </w:r>
      <w:r>
        <w:rPr>
          <w:sz w:val="24"/>
        </w:rPr>
        <w:t>·a</w:t>
      </w:r>
    </w:p>
    <w:p>
      <w:pPr>
        <w:wordWrap w:val="0"/>
        <w:spacing w:line="420" w:lineRule="exact"/>
        <w:ind w:firstLine="480" w:firstLineChars="200"/>
        <w:rPr>
          <w:sz w:val="24"/>
        </w:rPr>
      </w:pPr>
      <w:r>
        <w:rPr>
          <w:rFonts w:hint="eastAsia"/>
          <w:sz w:val="24"/>
        </w:rPr>
        <w:t>强度</w:t>
      </w:r>
      <w:r>
        <w:rPr>
          <w:sz w:val="24"/>
        </w:rPr>
        <w:t>度侵蚀：土壤侵蚀模数为</w:t>
      </w:r>
      <w:r>
        <w:rPr>
          <w:rFonts w:hint="eastAsia"/>
          <w:sz w:val="24"/>
        </w:rPr>
        <w:t>8</w:t>
      </w:r>
      <w:r>
        <w:rPr>
          <w:sz w:val="24"/>
        </w:rPr>
        <w:t>000</w:t>
      </w:r>
      <w:r>
        <w:rPr>
          <w:rFonts w:hint="eastAsia"/>
          <w:sz w:val="24"/>
        </w:rPr>
        <w:t>~15000</w:t>
      </w:r>
      <w:r>
        <w:rPr>
          <w:sz w:val="24"/>
        </w:rPr>
        <w:t>t/km</w:t>
      </w:r>
      <w:r>
        <w:rPr>
          <w:sz w:val="24"/>
          <w:vertAlign w:val="superscript"/>
        </w:rPr>
        <w:t>2</w:t>
      </w:r>
      <w:r>
        <w:rPr>
          <w:sz w:val="24"/>
        </w:rPr>
        <w:t>·a</w:t>
      </w:r>
    </w:p>
    <w:p>
      <w:pPr>
        <w:wordWrap w:val="0"/>
        <w:spacing w:line="420" w:lineRule="exact"/>
        <w:ind w:firstLine="480" w:firstLineChars="200"/>
        <w:rPr>
          <w:sz w:val="24"/>
        </w:rPr>
      </w:pPr>
      <w:r>
        <w:rPr>
          <w:rFonts w:hint="eastAsia"/>
          <w:sz w:val="24"/>
        </w:rPr>
        <w:t>极</w:t>
      </w:r>
      <w:r>
        <w:rPr>
          <w:sz w:val="24"/>
        </w:rPr>
        <w:t>度侵蚀：土壤侵蚀模数为</w:t>
      </w:r>
      <w:r>
        <w:rPr>
          <w:rFonts w:hint="eastAsia"/>
          <w:sz w:val="24"/>
        </w:rPr>
        <w:t>＞</w:t>
      </w:r>
      <w:r>
        <w:rPr>
          <w:sz w:val="24"/>
        </w:rPr>
        <w:t>1</w:t>
      </w:r>
      <w:r>
        <w:rPr>
          <w:rFonts w:hint="eastAsia"/>
          <w:sz w:val="24"/>
        </w:rPr>
        <w:t>5</w:t>
      </w:r>
      <w:r>
        <w:rPr>
          <w:sz w:val="24"/>
        </w:rPr>
        <w:t>000t/km</w:t>
      </w:r>
      <w:r>
        <w:rPr>
          <w:sz w:val="24"/>
          <w:vertAlign w:val="superscript"/>
        </w:rPr>
        <w:t>2</w:t>
      </w:r>
      <w:r>
        <w:rPr>
          <w:sz w:val="24"/>
        </w:rPr>
        <w:t>·a</w:t>
      </w:r>
    </w:p>
    <w:p>
      <w:pPr>
        <w:wordWrap w:val="0"/>
        <w:spacing w:line="420" w:lineRule="exact"/>
        <w:ind w:firstLine="480" w:firstLineChars="200"/>
        <w:rPr>
          <w:sz w:val="24"/>
        </w:rPr>
      </w:pPr>
      <w:r>
        <w:rPr>
          <w:sz w:val="24"/>
        </w:rPr>
        <w:t>（2）现状调查结果</w:t>
      </w:r>
    </w:p>
    <w:p>
      <w:pPr>
        <w:wordWrap w:val="0"/>
        <w:spacing w:line="420" w:lineRule="exact"/>
        <w:ind w:firstLine="480" w:firstLineChars="200"/>
        <w:rPr>
          <w:sz w:val="24"/>
        </w:rPr>
      </w:pPr>
      <w:r>
        <w:rPr>
          <w:rFonts w:hint="eastAsia"/>
          <w:sz w:val="24"/>
        </w:rPr>
        <w:t>根据现场调查，项目所在区域植被覆盖度较高，属于微度侵蚀区。</w:t>
      </w:r>
      <w:r>
        <w:rPr>
          <w:sz w:val="24"/>
        </w:rPr>
        <w:t>项目区</w:t>
      </w:r>
      <w:r>
        <w:rPr>
          <w:rFonts w:hint="eastAsia"/>
          <w:sz w:val="24"/>
        </w:rPr>
        <w:t>风电场土壤侵蚀现状见表6、表7和附图14</w:t>
      </w:r>
      <w:r>
        <w:rPr>
          <w:sz w:val="24"/>
        </w:rPr>
        <w:t>。</w:t>
      </w:r>
    </w:p>
    <w:p>
      <w:pPr>
        <w:autoSpaceDE w:val="0"/>
        <w:autoSpaceDN w:val="0"/>
        <w:adjustRightInd w:val="0"/>
        <w:spacing w:line="420" w:lineRule="exact"/>
        <w:jc w:val="center"/>
        <w:rPr>
          <w:rFonts w:cs="宋?"/>
          <w:kern w:val="0"/>
          <w:sz w:val="24"/>
        </w:rPr>
      </w:pPr>
      <w:r>
        <w:rPr>
          <w:rFonts w:hint="eastAsia" w:cs="宋?"/>
          <w:kern w:val="0"/>
          <w:sz w:val="24"/>
        </w:rPr>
        <w:t>表6 风电场占地范围内土壤侵蚀结果表</w:t>
      </w:r>
    </w:p>
    <w:tbl>
      <w:tblP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1561"/>
        <w:gridCol w:w="2010"/>
        <w:gridCol w:w="1081"/>
        <w:gridCol w:w="2074"/>
        <w:gridCol w:w="1411"/>
        <w:gridCol w:w="943"/>
      </w:tblGrid>
      <w:tr>
        <w:trPr>
          <w:trHeight w:val="284" w:hRule="atLeast"/>
          <w:jc w:val="center"/>
        </w:trPr>
        <w:tc>
          <w:tcPr>
            <w:tcW w:w="1561" w:type="dxa"/>
            <w:vMerge w:val="restart"/>
            <w:vAlign w:val="center"/>
          </w:tcPr>
          <w:p>
            <w:pPr>
              <w:snapToGrid w:val="0"/>
              <w:spacing w:line="360" w:lineRule="exact"/>
              <w:jc w:val="center"/>
            </w:pPr>
            <w:r>
              <w:t>占地类型</w:t>
            </w:r>
          </w:p>
        </w:tc>
        <w:tc>
          <w:tcPr>
            <w:tcW w:w="7519" w:type="dxa"/>
            <w:gridSpan w:val="5"/>
            <w:vAlign w:val="center"/>
          </w:tcPr>
          <w:p>
            <w:pPr>
              <w:snapToGrid w:val="0"/>
              <w:spacing w:line="360" w:lineRule="exact"/>
              <w:jc w:val="center"/>
            </w:pPr>
            <w:r>
              <w:t>占地</w:t>
            </w:r>
            <w:r>
              <w:rPr>
                <w:rFonts w:hint="eastAsia"/>
              </w:rPr>
              <w:t>范围</w:t>
            </w:r>
            <w:r>
              <w:t>面积（m</w:t>
            </w:r>
            <w:r>
              <w:rPr>
                <w:vertAlign w:val="superscript"/>
              </w:rPr>
              <w:t>2</w:t>
            </w:r>
            <w:r>
              <w:t>）</w:t>
            </w:r>
          </w:p>
        </w:tc>
      </w:tr>
      <w:tr>
        <w:trPr>
          <w:trHeight w:val="284" w:hRule="atLeast"/>
          <w:jc w:val="center"/>
        </w:trPr>
        <w:tc>
          <w:tcPr>
            <w:tcW w:w="1561" w:type="dxa"/>
            <w:vMerge w:val="continue"/>
            <w:vAlign w:val="center"/>
          </w:tcPr>
          <w:p>
            <w:pPr>
              <w:snapToGrid w:val="0"/>
              <w:spacing w:line="360" w:lineRule="exact"/>
              <w:jc w:val="center"/>
            </w:pPr>
          </w:p>
        </w:tc>
        <w:tc>
          <w:tcPr>
            <w:tcW w:w="2010" w:type="dxa"/>
            <w:vAlign w:val="center"/>
          </w:tcPr>
          <w:p>
            <w:pPr>
              <w:snapToGrid w:val="0"/>
              <w:spacing w:line="360" w:lineRule="exact"/>
              <w:jc w:val="center"/>
            </w:pPr>
            <w:r>
              <w:t>风电机组</w:t>
            </w:r>
            <w:r>
              <w:rPr>
                <w:rFonts w:hint="eastAsia"/>
              </w:rPr>
              <w:t>（含箱变）</w:t>
            </w:r>
          </w:p>
        </w:tc>
        <w:tc>
          <w:tcPr>
            <w:tcW w:w="1081" w:type="dxa"/>
            <w:vAlign w:val="center"/>
          </w:tcPr>
          <w:p>
            <w:pPr>
              <w:snapToGrid w:val="0"/>
              <w:spacing w:line="360" w:lineRule="exact"/>
              <w:jc w:val="center"/>
            </w:pPr>
            <w:r>
              <w:rPr>
                <w:rFonts w:hint="eastAsia"/>
              </w:rPr>
              <w:t>吊装平台</w:t>
            </w:r>
          </w:p>
        </w:tc>
        <w:tc>
          <w:tcPr>
            <w:tcW w:w="2074" w:type="dxa"/>
            <w:vAlign w:val="center"/>
          </w:tcPr>
          <w:p>
            <w:pPr>
              <w:snapToGrid w:val="0"/>
              <w:spacing w:line="360" w:lineRule="exact"/>
              <w:jc w:val="center"/>
            </w:pPr>
            <w:r>
              <w:rPr>
                <w:rFonts w:hint="eastAsia"/>
              </w:rPr>
              <w:t>施工及</w:t>
            </w:r>
            <w:r>
              <w:t>检修道路</w:t>
            </w:r>
          </w:p>
        </w:tc>
        <w:tc>
          <w:tcPr>
            <w:tcW w:w="1411" w:type="dxa"/>
            <w:vAlign w:val="center"/>
          </w:tcPr>
          <w:p>
            <w:pPr>
              <w:snapToGrid w:val="0"/>
              <w:spacing w:line="360" w:lineRule="exact"/>
              <w:jc w:val="center"/>
            </w:pPr>
            <w:r>
              <w:rPr>
                <w:rFonts w:hint="eastAsia"/>
              </w:rPr>
              <w:t>施工临时占地</w:t>
            </w:r>
          </w:p>
        </w:tc>
        <w:tc>
          <w:tcPr>
            <w:tcW w:w="943" w:type="dxa"/>
            <w:vAlign w:val="center"/>
          </w:tcPr>
          <w:p>
            <w:pPr>
              <w:snapToGrid w:val="0"/>
              <w:spacing w:line="360" w:lineRule="exact"/>
              <w:jc w:val="center"/>
            </w:pPr>
            <w:r>
              <w:t>小计</w:t>
            </w:r>
          </w:p>
        </w:tc>
      </w:tr>
      <w:tr>
        <w:trPr>
          <w:trHeight w:val="284" w:hRule="atLeast"/>
          <w:jc w:val="center"/>
        </w:trPr>
        <w:tc>
          <w:tcPr>
            <w:tcW w:w="1561" w:type="dxa"/>
            <w:vAlign w:val="center"/>
          </w:tcPr>
          <w:p>
            <w:pPr>
              <w:snapToGrid w:val="0"/>
              <w:spacing w:line="360" w:lineRule="exact"/>
              <w:jc w:val="center"/>
            </w:pPr>
            <w:r>
              <w:rPr>
                <w:rFonts w:hint="eastAsia"/>
              </w:rPr>
              <w:t>微度侵蚀</w:t>
            </w:r>
          </w:p>
        </w:tc>
        <w:tc>
          <w:tcPr>
            <w:tcW w:w="2010" w:type="dxa"/>
            <w:vAlign w:val="center"/>
          </w:tcPr>
          <w:p>
            <w:pPr>
              <w:snapToGrid w:val="0"/>
              <w:spacing w:line="360" w:lineRule="exact"/>
              <w:jc w:val="center"/>
              <w:rPr>
                <w:sz w:val="22"/>
                <w:szCs w:val="22"/>
              </w:rPr>
            </w:pPr>
            <w:r>
              <w:rPr>
                <w:rFonts w:hint="eastAsia"/>
                <w:sz w:val="22"/>
                <w:szCs w:val="22"/>
              </w:rPr>
              <w:t>-</w:t>
            </w:r>
          </w:p>
        </w:tc>
        <w:tc>
          <w:tcPr>
            <w:tcW w:w="1081" w:type="dxa"/>
            <w:vAlign w:val="center"/>
          </w:tcPr>
          <w:p>
            <w:pPr>
              <w:snapToGrid w:val="0"/>
              <w:spacing w:line="360" w:lineRule="exact"/>
              <w:jc w:val="center"/>
              <w:rPr>
                <w:sz w:val="22"/>
                <w:szCs w:val="22"/>
              </w:rPr>
            </w:pPr>
            <w:r>
              <w:rPr>
                <w:rFonts w:hint="eastAsia"/>
                <w:sz w:val="22"/>
                <w:szCs w:val="22"/>
              </w:rPr>
              <w:t>-</w:t>
            </w:r>
          </w:p>
        </w:tc>
        <w:tc>
          <w:tcPr>
            <w:tcW w:w="2074" w:type="dxa"/>
            <w:vAlign w:val="center"/>
          </w:tcPr>
          <w:p>
            <w:pPr>
              <w:snapToGrid w:val="0"/>
              <w:spacing w:line="360" w:lineRule="exact"/>
              <w:jc w:val="center"/>
              <w:rPr>
                <w:szCs w:val="21"/>
              </w:rPr>
            </w:pPr>
            <w:r>
              <w:rPr>
                <w:rFonts w:hint="eastAsia"/>
                <w:szCs w:val="21"/>
              </w:rPr>
              <w:t>11682</w:t>
            </w:r>
          </w:p>
        </w:tc>
        <w:tc>
          <w:tcPr>
            <w:tcW w:w="1411" w:type="dxa"/>
            <w:vAlign w:val="center"/>
          </w:tcPr>
          <w:p>
            <w:pPr>
              <w:snapToGrid w:val="0"/>
              <w:spacing w:line="360" w:lineRule="exact"/>
              <w:jc w:val="center"/>
              <w:rPr>
                <w:szCs w:val="21"/>
              </w:rPr>
            </w:pPr>
            <w:r>
              <w:rPr>
                <w:rFonts w:hint="eastAsia"/>
                <w:szCs w:val="21"/>
              </w:rPr>
              <w:t>-</w:t>
            </w:r>
          </w:p>
        </w:tc>
        <w:tc>
          <w:tcPr>
            <w:tcW w:w="943" w:type="dxa"/>
            <w:vAlign w:val="center"/>
          </w:tcPr>
          <w:p>
            <w:pPr>
              <w:snapToGrid w:val="0"/>
              <w:spacing w:line="360" w:lineRule="exact"/>
              <w:jc w:val="center"/>
              <w:rPr>
                <w:szCs w:val="21"/>
              </w:rPr>
            </w:pPr>
            <w:r>
              <w:rPr>
                <w:rFonts w:hint="eastAsia"/>
                <w:szCs w:val="21"/>
              </w:rPr>
              <w:t>11682</w:t>
            </w:r>
          </w:p>
        </w:tc>
      </w:tr>
      <w:tr>
        <w:trPr>
          <w:trHeight w:val="284" w:hRule="atLeast"/>
          <w:jc w:val="center"/>
        </w:trPr>
        <w:tc>
          <w:tcPr>
            <w:tcW w:w="1561" w:type="dxa"/>
            <w:vAlign w:val="center"/>
          </w:tcPr>
          <w:p>
            <w:pPr>
              <w:snapToGrid w:val="0"/>
              <w:spacing w:line="360" w:lineRule="exact"/>
              <w:jc w:val="center"/>
            </w:pPr>
            <w:r>
              <w:rPr>
                <w:rFonts w:hint="eastAsia"/>
              </w:rPr>
              <w:t>轻度侵蚀</w:t>
            </w:r>
          </w:p>
        </w:tc>
        <w:tc>
          <w:tcPr>
            <w:tcW w:w="2010" w:type="dxa"/>
            <w:vAlign w:val="center"/>
          </w:tcPr>
          <w:p>
            <w:pPr>
              <w:snapToGrid w:val="0"/>
              <w:spacing w:line="360" w:lineRule="exact"/>
              <w:jc w:val="center"/>
              <w:rPr>
                <w:sz w:val="22"/>
                <w:szCs w:val="22"/>
              </w:rPr>
            </w:pPr>
            <w:r>
              <w:rPr>
                <w:rFonts w:hint="eastAsia"/>
                <w:sz w:val="22"/>
                <w:szCs w:val="22"/>
              </w:rPr>
              <w:t>1056</w:t>
            </w:r>
          </w:p>
        </w:tc>
        <w:tc>
          <w:tcPr>
            <w:tcW w:w="1081" w:type="dxa"/>
            <w:vAlign w:val="center"/>
          </w:tcPr>
          <w:p>
            <w:pPr>
              <w:snapToGrid w:val="0"/>
              <w:spacing w:line="360" w:lineRule="exact"/>
              <w:jc w:val="center"/>
              <w:rPr>
                <w:sz w:val="22"/>
                <w:szCs w:val="22"/>
              </w:rPr>
            </w:pPr>
            <w:r>
              <w:rPr>
                <w:rFonts w:hint="eastAsia"/>
                <w:sz w:val="22"/>
                <w:szCs w:val="22"/>
              </w:rPr>
              <w:t>4944</w:t>
            </w:r>
          </w:p>
        </w:tc>
        <w:tc>
          <w:tcPr>
            <w:tcW w:w="2074" w:type="dxa"/>
            <w:vAlign w:val="center"/>
          </w:tcPr>
          <w:p>
            <w:pPr>
              <w:snapToGrid w:val="0"/>
              <w:spacing w:line="360" w:lineRule="exact"/>
              <w:jc w:val="center"/>
              <w:rPr>
                <w:szCs w:val="21"/>
              </w:rPr>
            </w:pPr>
            <w:r>
              <w:rPr>
                <w:rFonts w:hint="eastAsia"/>
                <w:szCs w:val="21"/>
              </w:rPr>
              <w:t>10318</w:t>
            </w:r>
          </w:p>
        </w:tc>
        <w:tc>
          <w:tcPr>
            <w:tcW w:w="1411" w:type="dxa"/>
            <w:vAlign w:val="center"/>
          </w:tcPr>
          <w:p>
            <w:pPr>
              <w:snapToGrid w:val="0"/>
              <w:spacing w:line="360" w:lineRule="exact"/>
              <w:jc w:val="center"/>
              <w:rPr>
                <w:szCs w:val="21"/>
              </w:rPr>
            </w:pPr>
            <w:r>
              <w:rPr>
                <w:rFonts w:hint="eastAsia"/>
                <w:szCs w:val="21"/>
              </w:rPr>
              <w:t>6300</w:t>
            </w:r>
          </w:p>
        </w:tc>
        <w:tc>
          <w:tcPr>
            <w:tcW w:w="943" w:type="dxa"/>
            <w:vAlign w:val="center"/>
          </w:tcPr>
          <w:p>
            <w:pPr>
              <w:snapToGrid w:val="0"/>
              <w:spacing w:line="360" w:lineRule="exact"/>
              <w:jc w:val="center"/>
              <w:rPr>
                <w:szCs w:val="21"/>
              </w:rPr>
            </w:pPr>
            <w:r>
              <w:rPr>
                <w:szCs w:val="21"/>
              </w:rPr>
              <w:t>858</w:t>
            </w:r>
          </w:p>
        </w:tc>
      </w:tr>
      <w:tr>
        <w:trPr>
          <w:trHeight w:val="284" w:hRule="atLeast"/>
          <w:jc w:val="center"/>
        </w:trPr>
        <w:tc>
          <w:tcPr>
            <w:tcW w:w="1561" w:type="dxa"/>
            <w:vAlign w:val="center"/>
          </w:tcPr>
          <w:p>
            <w:pPr>
              <w:snapToGrid w:val="0"/>
              <w:spacing w:line="360" w:lineRule="exact"/>
              <w:jc w:val="center"/>
            </w:pPr>
            <w:r>
              <w:t>合计</w:t>
            </w:r>
          </w:p>
        </w:tc>
        <w:tc>
          <w:tcPr>
            <w:tcW w:w="2010" w:type="dxa"/>
            <w:vAlign w:val="center"/>
          </w:tcPr>
          <w:p>
            <w:pPr>
              <w:snapToGrid w:val="0"/>
              <w:spacing w:line="360" w:lineRule="exact"/>
              <w:jc w:val="center"/>
              <w:rPr>
                <w:szCs w:val="21"/>
              </w:rPr>
            </w:pPr>
            <w:r>
              <w:rPr>
                <w:rFonts w:hint="eastAsia"/>
                <w:szCs w:val="21"/>
              </w:rPr>
              <w:t>1056</w:t>
            </w:r>
          </w:p>
        </w:tc>
        <w:tc>
          <w:tcPr>
            <w:tcW w:w="1081" w:type="dxa"/>
            <w:vAlign w:val="center"/>
          </w:tcPr>
          <w:p>
            <w:pPr>
              <w:snapToGrid w:val="0"/>
              <w:spacing w:line="360" w:lineRule="exact"/>
              <w:jc w:val="center"/>
              <w:rPr>
                <w:szCs w:val="21"/>
              </w:rPr>
            </w:pPr>
            <w:r>
              <w:rPr>
                <w:rFonts w:hint="eastAsia"/>
                <w:szCs w:val="21"/>
              </w:rPr>
              <w:t>4944</w:t>
            </w:r>
          </w:p>
        </w:tc>
        <w:tc>
          <w:tcPr>
            <w:tcW w:w="2074" w:type="dxa"/>
            <w:vAlign w:val="center"/>
          </w:tcPr>
          <w:p>
            <w:pPr>
              <w:snapToGrid w:val="0"/>
              <w:spacing w:line="360" w:lineRule="exact"/>
              <w:jc w:val="center"/>
              <w:rPr>
                <w:szCs w:val="21"/>
              </w:rPr>
            </w:pPr>
            <w:r>
              <w:rPr>
                <w:rFonts w:hint="eastAsia"/>
                <w:szCs w:val="21"/>
              </w:rPr>
              <w:t>22000</w:t>
            </w:r>
          </w:p>
        </w:tc>
        <w:tc>
          <w:tcPr>
            <w:tcW w:w="1411" w:type="dxa"/>
            <w:vAlign w:val="center"/>
          </w:tcPr>
          <w:p>
            <w:pPr>
              <w:snapToGrid w:val="0"/>
              <w:spacing w:line="360" w:lineRule="exact"/>
              <w:jc w:val="center"/>
              <w:rPr>
                <w:szCs w:val="21"/>
              </w:rPr>
            </w:pPr>
            <w:r>
              <w:rPr>
                <w:rFonts w:hint="eastAsia"/>
                <w:szCs w:val="21"/>
              </w:rPr>
              <w:t>6300</w:t>
            </w:r>
          </w:p>
        </w:tc>
        <w:tc>
          <w:tcPr>
            <w:tcW w:w="943" w:type="dxa"/>
            <w:vAlign w:val="center"/>
          </w:tcPr>
          <w:p>
            <w:pPr>
              <w:snapToGrid w:val="0"/>
              <w:spacing w:line="360" w:lineRule="exact"/>
              <w:jc w:val="center"/>
              <w:rPr>
                <w:szCs w:val="21"/>
              </w:rPr>
            </w:pPr>
            <w:r>
              <w:rPr>
                <w:rFonts w:hint="eastAsia"/>
                <w:kern w:val="0"/>
                <w:szCs w:val="21"/>
                <w:lang/>
              </w:rPr>
              <w:t>34300</w:t>
            </w:r>
          </w:p>
        </w:tc>
      </w:tr>
    </w:tbl>
    <w:p>
      <w:pPr>
        <w:autoSpaceDE w:val="0"/>
        <w:autoSpaceDN w:val="0"/>
        <w:adjustRightInd w:val="0"/>
        <w:spacing w:line="420" w:lineRule="exact"/>
        <w:jc w:val="center"/>
        <w:rPr>
          <w:rFonts w:cs="宋?"/>
          <w:kern w:val="0"/>
          <w:sz w:val="24"/>
        </w:rPr>
      </w:pPr>
      <w:r>
        <w:rPr>
          <w:rFonts w:hint="eastAsia" w:cs="宋?"/>
          <w:kern w:val="0"/>
          <w:sz w:val="24"/>
        </w:rPr>
        <w:t>表7  风电场评价范围内土壤侵蚀结果表</w:t>
      </w:r>
    </w:p>
    <w:tbl>
      <w:tblP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Pr>
      <w:tblGrid>
        <w:gridCol w:w="1000"/>
        <w:gridCol w:w="2208"/>
        <w:gridCol w:w="990"/>
        <w:gridCol w:w="990"/>
        <w:gridCol w:w="1720"/>
        <w:gridCol w:w="1476"/>
        <w:gridCol w:w="696"/>
      </w:tblGrid>
      <w:tr>
        <w:trPr>
          <w:trHeight w:val="284" w:hRule="atLeast"/>
          <w:jc w:val="center"/>
        </w:trPr>
        <w:tc>
          <w:tcPr>
            <w:tcW w:w="1000" w:type="dxa"/>
            <w:vMerge w:val="restart"/>
            <w:vAlign w:val="center"/>
          </w:tcPr>
          <w:p>
            <w:pPr>
              <w:snapToGrid w:val="0"/>
              <w:spacing w:line="360" w:lineRule="exact"/>
              <w:jc w:val="center"/>
            </w:pPr>
            <w:r>
              <w:t>占地类型</w:t>
            </w:r>
          </w:p>
        </w:tc>
        <w:tc>
          <w:tcPr>
            <w:tcW w:w="8080" w:type="dxa"/>
            <w:gridSpan w:val="6"/>
            <w:vAlign w:val="center"/>
          </w:tcPr>
          <w:p>
            <w:pPr>
              <w:snapToGrid w:val="0"/>
              <w:spacing w:line="360" w:lineRule="exact"/>
              <w:jc w:val="center"/>
            </w:pPr>
            <w:r>
              <w:rPr>
                <w:rFonts w:hint="eastAsia"/>
              </w:rPr>
              <w:t>评价范围</w:t>
            </w:r>
            <w:r>
              <w:t>面积（</w:t>
            </w:r>
            <w:r>
              <w:rPr>
                <w:rFonts w:hint="eastAsia"/>
              </w:rPr>
              <w:t>h</w:t>
            </w:r>
            <w:r>
              <w:t>m</w:t>
            </w:r>
            <w:r>
              <w:rPr>
                <w:vertAlign w:val="superscript"/>
              </w:rPr>
              <w:t>2</w:t>
            </w:r>
            <w:r>
              <w:t>）</w:t>
            </w:r>
          </w:p>
        </w:tc>
      </w:tr>
      <w:tr>
        <w:trPr>
          <w:trHeight w:val="284" w:hRule="atLeast"/>
          <w:jc w:val="center"/>
        </w:trPr>
        <w:tc>
          <w:tcPr>
            <w:tcW w:w="1000" w:type="dxa"/>
            <w:vMerge w:val="continue"/>
            <w:vAlign w:val="center"/>
          </w:tcPr>
          <w:p>
            <w:pPr>
              <w:snapToGrid w:val="0"/>
              <w:spacing w:line="360" w:lineRule="exact"/>
              <w:jc w:val="center"/>
            </w:pPr>
          </w:p>
        </w:tc>
        <w:tc>
          <w:tcPr>
            <w:tcW w:w="2208" w:type="dxa"/>
            <w:vAlign w:val="center"/>
          </w:tcPr>
          <w:p>
            <w:pPr>
              <w:snapToGrid w:val="0"/>
              <w:spacing w:line="360" w:lineRule="exact"/>
              <w:jc w:val="center"/>
            </w:pPr>
            <w:r>
              <w:t>风电机组</w:t>
            </w:r>
            <w:r>
              <w:rPr>
                <w:rFonts w:hint="eastAsia"/>
              </w:rPr>
              <w:t>（含箱变）</w:t>
            </w:r>
          </w:p>
        </w:tc>
        <w:tc>
          <w:tcPr>
            <w:tcW w:w="990" w:type="dxa"/>
            <w:vAlign w:val="center"/>
          </w:tcPr>
          <w:p>
            <w:pPr>
              <w:snapToGrid w:val="0"/>
              <w:spacing w:line="360" w:lineRule="exact"/>
              <w:jc w:val="center"/>
            </w:pPr>
            <w:r>
              <w:rPr>
                <w:rFonts w:hint="eastAsia"/>
              </w:rPr>
              <w:t>吊装平台</w:t>
            </w:r>
          </w:p>
        </w:tc>
        <w:tc>
          <w:tcPr>
            <w:tcW w:w="990" w:type="dxa"/>
            <w:vAlign w:val="center"/>
          </w:tcPr>
          <w:p>
            <w:pPr>
              <w:snapToGrid w:val="0"/>
              <w:spacing w:line="360" w:lineRule="exact"/>
              <w:jc w:val="center"/>
            </w:pPr>
            <w:r>
              <w:t>集电线路</w:t>
            </w:r>
          </w:p>
        </w:tc>
        <w:tc>
          <w:tcPr>
            <w:tcW w:w="1720" w:type="dxa"/>
            <w:vAlign w:val="center"/>
          </w:tcPr>
          <w:p>
            <w:pPr>
              <w:snapToGrid w:val="0"/>
              <w:spacing w:line="360" w:lineRule="exact"/>
              <w:jc w:val="center"/>
            </w:pPr>
            <w:r>
              <w:rPr>
                <w:rFonts w:hint="eastAsia"/>
              </w:rPr>
              <w:t>施工及</w:t>
            </w:r>
            <w:r>
              <w:t>检修道路</w:t>
            </w:r>
          </w:p>
        </w:tc>
        <w:tc>
          <w:tcPr>
            <w:tcW w:w="1476" w:type="dxa"/>
            <w:vAlign w:val="center"/>
          </w:tcPr>
          <w:p>
            <w:pPr>
              <w:snapToGrid w:val="0"/>
              <w:spacing w:line="360" w:lineRule="exact"/>
              <w:jc w:val="center"/>
            </w:pPr>
            <w:r>
              <w:rPr>
                <w:rFonts w:hint="eastAsia"/>
              </w:rPr>
              <w:t>施工临时占地</w:t>
            </w:r>
          </w:p>
        </w:tc>
        <w:tc>
          <w:tcPr>
            <w:tcW w:w="696" w:type="dxa"/>
            <w:vAlign w:val="center"/>
          </w:tcPr>
          <w:p>
            <w:pPr>
              <w:snapToGrid w:val="0"/>
              <w:spacing w:line="360" w:lineRule="exact"/>
              <w:jc w:val="center"/>
            </w:pPr>
            <w:r>
              <w:t>小计</w:t>
            </w:r>
          </w:p>
        </w:tc>
      </w:tr>
      <w:tr>
        <w:trPr>
          <w:trHeight w:val="284" w:hRule="atLeast"/>
          <w:jc w:val="center"/>
        </w:trPr>
        <w:tc>
          <w:tcPr>
            <w:tcW w:w="1000" w:type="dxa"/>
            <w:vAlign w:val="center"/>
          </w:tcPr>
          <w:p>
            <w:pPr>
              <w:snapToGrid w:val="0"/>
              <w:spacing w:line="360" w:lineRule="exact"/>
              <w:jc w:val="center"/>
            </w:pPr>
            <w:r>
              <w:rPr>
                <w:rFonts w:hint="eastAsia"/>
              </w:rPr>
              <w:t>微度侵蚀</w:t>
            </w:r>
          </w:p>
        </w:tc>
        <w:tc>
          <w:tcPr>
            <w:tcW w:w="3198" w:type="dxa"/>
            <w:gridSpan w:val="2"/>
            <w:vAlign w:val="center"/>
          </w:tcPr>
          <w:p>
            <w:pPr>
              <w:snapToGrid w:val="0"/>
              <w:spacing w:line="360" w:lineRule="exact"/>
              <w:jc w:val="center"/>
              <w:rPr>
                <w:sz w:val="22"/>
                <w:szCs w:val="22"/>
              </w:rPr>
            </w:pPr>
            <w:r>
              <w:rPr>
                <w:rFonts w:hint="eastAsia"/>
                <w:sz w:val="22"/>
                <w:szCs w:val="22"/>
              </w:rPr>
              <w:t>132.35</w:t>
            </w:r>
          </w:p>
        </w:tc>
        <w:tc>
          <w:tcPr>
            <w:tcW w:w="990" w:type="dxa"/>
            <w:vAlign w:val="center"/>
          </w:tcPr>
          <w:p>
            <w:pPr>
              <w:snapToGrid w:val="0"/>
              <w:spacing w:line="360" w:lineRule="exact"/>
              <w:jc w:val="center"/>
              <w:rPr>
                <w:sz w:val="22"/>
                <w:szCs w:val="22"/>
              </w:rPr>
            </w:pPr>
            <w:r>
              <w:rPr>
                <w:rFonts w:hint="eastAsia"/>
                <w:sz w:val="22"/>
                <w:szCs w:val="22"/>
              </w:rPr>
              <w:t>0.59</w:t>
            </w:r>
          </w:p>
        </w:tc>
        <w:tc>
          <w:tcPr>
            <w:tcW w:w="1720" w:type="dxa"/>
            <w:vAlign w:val="center"/>
          </w:tcPr>
          <w:p>
            <w:pPr>
              <w:snapToGrid w:val="0"/>
              <w:spacing w:line="360" w:lineRule="exact"/>
              <w:jc w:val="center"/>
              <w:rPr>
                <w:szCs w:val="21"/>
              </w:rPr>
            </w:pPr>
            <w:r>
              <w:rPr>
                <w:rFonts w:hint="eastAsia"/>
                <w:szCs w:val="21"/>
              </w:rPr>
              <w:t>287.2</w:t>
            </w:r>
          </w:p>
        </w:tc>
        <w:tc>
          <w:tcPr>
            <w:tcW w:w="1476" w:type="dxa"/>
            <w:vAlign w:val="center"/>
          </w:tcPr>
          <w:p>
            <w:pPr>
              <w:snapToGrid w:val="0"/>
              <w:spacing w:line="360" w:lineRule="exact"/>
              <w:jc w:val="center"/>
              <w:rPr>
                <w:szCs w:val="21"/>
              </w:rPr>
            </w:pPr>
            <w:r>
              <w:rPr>
                <w:rFonts w:hint="eastAsia"/>
                <w:szCs w:val="21"/>
              </w:rPr>
              <w:t>61.19</w:t>
            </w:r>
          </w:p>
        </w:tc>
        <w:tc>
          <w:tcPr>
            <w:tcW w:w="696" w:type="dxa"/>
            <w:vAlign w:val="center"/>
          </w:tcPr>
          <w:p>
            <w:pPr>
              <w:widowControl/>
              <w:snapToGrid w:val="0"/>
              <w:spacing w:line="360" w:lineRule="exact"/>
              <w:jc w:val="center"/>
              <w:textAlignment w:val="center"/>
              <w:rPr>
                <w:szCs w:val="21"/>
              </w:rPr>
            </w:pPr>
            <w:r>
              <w:rPr>
                <w:rFonts w:hint="eastAsia"/>
                <w:szCs w:val="21"/>
              </w:rPr>
              <w:t>481.33</w:t>
            </w:r>
          </w:p>
        </w:tc>
      </w:tr>
      <w:tr>
        <w:trPr>
          <w:trHeight w:val="284" w:hRule="atLeast"/>
          <w:jc w:val="center"/>
        </w:trPr>
        <w:tc>
          <w:tcPr>
            <w:tcW w:w="1000" w:type="dxa"/>
            <w:vAlign w:val="center"/>
          </w:tcPr>
          <w:p>
            <w:pPr>
              <w:snapToGrid w:val="0"/>
              <w:spacing w:line="360" w:lineRule="exact"/>
              <w:jc w:val="center"/>
            </w:pPr>
            <w:r>
              <w:rPr>
                <w:rFonts w:hint="eastAsia"/>
              </w:rPr>
              <w:t>轻度侵蚀</w:t>
            </w:r>
          </w:p>
        </w:tc>
        <w:tc>
          <w:tcPr>
            <w:tcW w:w="3198" w:type="dxa"/>
            <w:gridSpan w:val="2"/>
            <w:vAlign w:val="center"/>
          </w:tcPr>
          <w:p>
            <w:pPr>
              <w:snapToGrid w:val="0"/>
              <w:spacing w:line="360" w:lineRule="exact"/>
              <w:jc w:val="center"/>
              <w:rPr>
                <w:sz w:val="22"/>
                <w:szCs w:val="22"/>
              </w:rPr>
            </w:pPr>
            <w:r>
              <w:rPr>
                <w:rFonts w:hint="eastAsia"/>
                <w:sz w:val="22"/>
                <w:szCs w:val="22"/>
              </w:rPr>
              <w:t>103.15</w:t>
            </w:r>
          </w:p>
        </w:tc>
        <w:tc>
          <w:tcPr>
            <w:tcW w:w="990" w:type="dxa"/>
            <w:vAlign w:val="center"/>
          </w:tcPr>
          <w:p>
            <w:pPr>
              <w:snapToGrid w:val="0"/>
              <w:spacing w:line="360" w:lineRule="exact"/>
              <w:jc w:val="center"/>
              <w:rPr>
                <w:sz w:val="22"/>
                <w:szCs w:val="22"/>
              </w:rPr>
            </w:pPr>
            <w:r>
              <w:rPr>
                <w:rFonts w:hint="eastAsia"/>
                <w:sz w:val="22"/>
                <w:szCs w:val="22"/>
              </w:rPr>
              <w:t>0.41</w:t>
            </w:r>
          </w:p>
        </w:tc>
        <w:tc>
          <w:tcPr>
            <w:tcW w:w="1720" w:type="dxa"/>
            <w:vAlign w:val="center"/>
          </w:tcPr>
          <w:p>
            <w:pPr>
              <w:snapToGrid w:val="0"/>
              <w:spacing w:line="360" w:lineRule="exact"/>
              <w:jc w:val="center"/>
              <w:rPr>
                <w:szCs w:val="21"/>
              </w:rPr>
            </w:pPr>
            <w:r>
              <w:rPr>
                <w:rFonts w:hint="eastAsia"/>
                <w:szCs w:val="21"/>
              </w:rPr>
              <w:t>112.8</w:t>
            </w:r>
          </w:p>
        </w:tc>
        <w:tc>
          <w:tcPr>
            <w:tcW w:w="1476" w:type="dxa"/>
            <w:vAlign w:val="center"/>
          </w:tcPr>
          <w:p>
            <w:pPr>
              <w:snapToGrid w:val="0"/>
              <w:spacing w:line="360" w:lineRule="exact"/>
              <w:jc w:val="center"/>
              <w:rPr>
                <w:szCs w:val="21"/>
              </w:rPr>
            </w:pPr>
            <w:r>
              <w:rPr>
                <w:rFonts w:hint="eastAsia"/>
                <w:szCs w:val="21"/>
              </w:rPr>
              <w:t>55.81</w:t>
            </w:r>
          </w:p>
        </w:tc>
        <w:tc>
          <w:tcPr>
            <w:tcW w:w="696" w:type="dxa"/>
            <w:vAlign w:val="center"/>
          </w:tcPr>
          <w:p>
            <w:pPr>
              <w:widowControl/>
              <w:snapToGrid w:val="0"/>
              <w:spacing w:line="360" w:lineRule="exact"/>
              <w:jc w:val="center"/>
              <w:textAlignment w:val="center"/>
              <w:rPr>
                <w:szCs w:val="21"/>
              </w:rPr>
            </w:pPr>
            <w:r>
              <w:rPr>
                <w:rFonts w:hint="eastAsia"/>
                <w:szCs w:val="21"/>
              </w:rPr>
              <w:t>272.17</w:t>
            </w:r>
          </w:p>
        </w:tc>
      </w:tr>
      <w:tr>
        <w:trPr>
          <w:trHeight w:val="284" w:hRule="atLeast"/>
          <w:jc w:val="center"/>
        </w:trPr>
        <w:tc>
          <w:tcPr>
            <w:tcW w:w="1000" w:type="dxa"/>
            <w:vAlign w:val="center"/>
          </w:tcPr>
          <w:p>
            <w:pPr>
              <w:snapToGrid w:val="0"/>
              <w:spacing w:line="360" w:lineRule="exact"/>
              <w:jc w:val="center"/>
            </w:pPr>
            <w:r>
              <w:t>合计</w:t>
            </w:r>
          </w:p>
        </w:tc>
        <w:tc>
          <w:tcPr>
            <w:tcW w:w="3198" w:type="dxa"/>
            <w:gridSpan w:val="2"/>
            <w:vAlign w:val="center"/>
          </w:tcPr>
          <w:p>
            <w:pPr>
              <w:snapToGrid w:val="0"/>
              <w:spacing w:line="360" w:lineRule="exact"/>
              <w:jc w:val="center"/>
              <w:rPr>
                <w:szCs w:val="21"/>
              </w:rPr>
            </w:pPr>
            <w:r>
              <w:rPr>
                <w:rFonts w:hint="eastAsia"/>
                <w:szCs w:val="21"/>
              </w:rPr>
              <w:t>235.5</w:t>
            </w:r>
          </w:p>
        </w:tc>
        <w:tc>
          <w:tcPr>
            <w:tcW w:w="990" w:type="dxa"/>
            <w:vAlign w:val="center"/>
          </w:tcPr>
          <w:p>
            <w:pPr>
              <w:snapToGrid w:val="0"/>
              <w:spacing w:line="360" w:lineRule="exact"/>
              <w:jc w:val="center"/>
              <w:rPr>
                <w:szCs w:val="21"/>
              </w:rPr>
            </w:pPr>
            <w:r>
              <w:rPr>
                <w:rFonts w:hint="eastAsia"/>
                <w:szCs w:val="21"/>
              </w:rPr>
              <w:t>1</w:t>
            </w:r>
          </w:p>
        </w:tc>
        <w:tc>
          <w:tcPr>
            <w:tcW w:w="1720" w:type="dxa"/>
            <w:vAlign w:val="center"/>
          </w:tcPr>
          <w:p>
            <w:pPr>
              <w:snapToGrid w:val="0"/>
              <w:spacing w:line="360" w:lineRule="exact"/>
              <w:jc w:val="center"/>
              <w:rPr>
                <w:szCs w:val="21"/>
              </w:rPr>
            </w:pPr>
            <w:r>
              <w:rPr>
                <w:rFonts w:hint="eastAsia"/>
                <w:szCs w:val="21"/>
              </w:rPr>
              <w:t>400</w:t>
            </w:r>
          </w:p>
        </w:tc>
        <w:tc>
          <w:tcPr>
            <w:tcW w:w="1476" w:type="dxa"/>
            <w:vAlign w:val="center"/>
          </w:tcPr>
          <w:p>
            <w:pPr>
              <w:snapToGrid w:val="0"/>
              <w:spacing w:line="360" w:lineRule="exact"/>
              <w:jc w:val="center"/>
              <w:rPr>
                <w:szCs w:val="21"/>
              </w:rPr>
            </w:pPr>
            <w:r>
              <w:rPr>
                <w:rFonts w:hint="eastAsia"/>
                <w:szCs w:val="21"/>
              </w:rPr>
              <w:t>117</w:t>
            </w:r>
          </w:p>
        </w:tc>
        <w:tc>
          <w:tcPr>
            <w:tcW w:w="696" w:type="dxa"/>
            <w:vAlign w:val="center"/>
          </w:tcPr>
          <w:p>
            <w:pPr>
              <w:widowControl/>
              <w:snapToGrid w:val="0"/>
              <w:spacing w:line="360" w:lineRule="exact"/>
              <w:jc w:val="center"/>
              <w:textAlignment w:val="center"/>
              <w:rPr>
                <w:szCs w:val="21"/>
              </w:rPr>
            </w:pPr>
            <w:r>
              <w:rPr>
                <w:rFonts w:hint="eastAsia"/>
                <w:kern w:val="0"/>
                <w:szCs w:val="21"/>
                <w:lang/>
              </w:rPr>
              <w:t>753.5</w:t>
            </w:r>
          </w:p>
        </w:tc>
      </w:tr>
    </w:tbl>
    <w:p>
      <w:pPr>
        <w:pStyle w:val="4"/>
        <w:wordWrap w:val="0"/>
        <w:adjustRightInd w:val="0"/>
        <w:snapToGrid w:val="0"/>
        <w:spacing w:before="0" w:after="0" w:line="520" w:lineRule="exact"/>
        <w:ind w:left="617" w:hanging="617" w:hangingChars="256"/>
        <w:rPr>
          <w:sz w:val="24"/>
          <w:szCs w:val="24"/>
        </w:rPr>
      </w:pPr>
      <w:bookmarkStart w:id="284" w:name="_Toc396142030"/>
      <w:bookmarkStart w:id="285" w:name="_Toc436993117"/>
      <w:bookmarkStart w:id="286" w:name="_Toc528854960"/>
      <w:r>
        <w:rPr>
          <w:rFonts w:hint="eastAsia"/>
          <w:sz w:val="24"/>
          <w:szCs w:val="24"/>
        </w:rPr>
        <w:t>2.5动物分布现状</w:t>
      </w:r>
      <w:bookmarkEnd w:id="284"/>
      <w:bookmarkEnd w:id="285"/>
      <w:bookmarkEnd w:id="286"/>
    </w:p>
    <w:p>
      <w:pPr>
        <w:wordWrap w:val="0"/>
        <w:spacing w:line="420" w:lineRule="exact"/>
        <w:ind w:firstLine="480" w:firstLineChars="200"/>
        <w:rPr>
          <w:sz w:val="24"/>
        </w:rPr>
      </w:pPr>
      <w:bookmarkStart w:id="287" w:name="_Toc396142031"/>
      <w:r>
        <w:rPr>
          <w:rFonts w:hint="eastAsia"/>
          <w:sz w:val="24"/>
        </w:rPr>
        <w:t>根据野生动物资源调查资料，岢岚县野生动物种类较多，共有鸟兽</w:t>
      </w:r>
      <w:r>
        <w:rPr>
          <w:sz w:val="24"/>
        </w:rPr>
        <w:t>150</w:t>
      </w:r>
      <w:r>
        <w:rPr>
          <w:rFonts w:hint="eastAsia"/>
          <w:sz w:val="24"/>
        </w:rPr>
        <w:t>余种，其中：兽类有</w:t>
      </w:r>
      <w:r>
        <w:rPr>
          <w:sz w:val="24"/>
        </w:rPr>
        <w:t>36</w:t>
      </w:r>
      <w:r>
        <w:rPr>
          <w:rFonts w:hint="eastAsia"/>
          <w:sz w:val="24"/>
        </w:rPr>
        <w:t>种，主要有豹、狼、狐狸、野猪、野兔、狍羊、黄鼬、老鼠、松鼠、田鼠、黄鼠、鼢鼠、蝙蝠、原麝、山猫等。</w:t>
      </w:r>
      <w:r>
        <w:rPr>
          <w:sz w:val="24"/>
        </w:rPr>
        <w:t xml:space="preserve"> </w:t>
      </w:r>
    </w:p>
    <w:p>
      <w:pPr>
        <w:wordWrap w:val="0"/>
        <w:spacing w:line="420" w:lineRule="exact"/>
        <w:ind w:firstLine="480" w:firstLineChars="200"/>
        <w:rPr>
          <w:sz w:val="24"/>
        </w:rPr>
      </w:pPr>
      <w:r>
        <w:rPr>
          <w:rFonts w:hint="eastAsia"/>
          <w:sz w:val="24"/>
        </w:rPr>
        <w:t>鸟类有</w:t>
      </w:r>
      <w:r>
        <w:rPr>
          <w:sz w:val="24"/>
        </w:rPr>
        <w:t>115</w:t>
      </w:r>
      <w:r>
        <w:rPr>
          <w:rFonts w:hint="eastAsia"/>
          <w:sz w:val="24"/>
        </w:rPr>
        <w:t>种，主要有麻雀、山雀、喜鹊、乌鸦、红嘴鸦、鹞子、半翅、石鸡、野鸡、褐马鸡、黒鹳、灰鹳、针尾雨燕、雕、猫头鹰、啄木鸟、百灵等。</w:t>
      </w:r>
    </w:p>
    <w:bookmarkEnd w:id="287"/>
    <w:p>
      <w:pPr>
        <w:wordWrap w:val="0"/>
        <w:spacing w:line="420" w:lineRule="exact"/>
        <w:ind w:firstLine="480" w:firstLineChars="200"/>
        <w:rPr>
          <w:sz w:val="24"/>
        </w:rPr>
      </w:pPr>
      <w:bookmarkStart w:id="288" w:name="_Toc436993119"/>
      <w:bookmarkStart w:id="289" w:name="_Toc479326698"/>
      <w:r>
        <w:rPr>
          <w:rFonts w:hint="eastAsia"/>
          <w:sz w:val="24"/>
        </w:rPr>
        <w:t>根据调查及实地走访，评价区内野生动物种类少、以小型动物为主，且均为常见物种，主要有草兔、大杜鹃、山斑鸠、喜鹊、鼠类等，评价区野生动物没有固定的迁徙路线和栖息地，评价区内无国家和山西省重点野生保护动物。</w:t>
      </w:r>
    </w:p>
    <w:p>
      <w:pPr>
        <w:pStyle w:val="3"/>
        <w:wordWrap w:val="0"/>
        <w:spacing w:after="156"/>
        <w:rPr>
          <w:rFonts w:eastAsia="宋体"/>
          <w:b/>
          <w:bCs/>
          <w:color w:val="auto"/>
        </w:rPr>
      </w:pPr>
      <w:bookmarkStart w:id="290" w:name="_Toc528854961"/>
      <w:r>
        <w:rPr>
          <w:rFonts w:hint="eastAsia" w:eastAsia="宋体"/>
          <w:b/>
          <w:bCs/>
          <w:color w:val="auto"/>
        </w:rPr>
        <w:t>3、生态环境影响预测与评价</w:t>
      </w:r>
      <w:bookmarkEnd w:id="288"/>
      <w:bookmarkEnd w:id="289"/>
      <w:bookmarkEnd w:id="290"/>
    </w:p>
    <w:p>
      <w:pPr>
        <w:pStyle w:val="4"/>
        <w:wordWrap w:val="0"/>
        <w:adjustRightInd w:val="0"/>
        <w:snapToGrid w:val="0"/>
        <w:spacing w:before="0" w:after="0" w:line="520" w:lineRule="exact"/>
        <w:ind w:left="617" w:hanging="617" w:hangingChars="256"/>
        <w:rPr>
          <w:sz w:val="24"/>
          <w:szCs w:val="24"/>
        </w:rPr>
      </w:pPr>
      <w:bookmarkStart w:id="291" w:name="_Toc406057770"/>
      <w:bookmarkStart w:id="292" w:name="_Toc436993120"/>
      <w:bookmarkStart w:id="293" w:name="_Toc528854962"/>
      <w:r>
        <w:rPr>
          <w:rFonts w:hint="eastAsia"/>
          <w:sz w:val="24"/>
          <w:szCs w:val="24"/>
        </w:rPr>
        <w:t>3.1项目施工期对生态环境的影响</w:t>
      </w:r>
      <w:bookmarkEnd w:id="291"/>
      <w:bookmarkEnd w:id="292"/>
      <w:bookmarkEnd w:id="293"/>
    </w:p>
    <w:p>
      <w:pPr>
        <w:wordWrap w:val="0"/>
        <w:spacing w:line="440" w:lineRule="exact"/>
        <w:rPr>
          <w:b/>
          <w:sz w:val="24"/>
        </w:rPr>
      </w:pPr>
      <w:r>
        <w:rPr>
          <w:rFonts w:hint="eastAsia"/>
          <w:b/>
          <w:sz w:val="24"/>
        </w:rPr>
        <w:t>3.1.1对土地利用的影响</w:t>
      </w:r>
    </w:p>
    <w:p>
      <w:pPr>
        <w:wordWrap w:val="0"/>
        <w:spacing w:line="420" w:lineRule="exact"/>
        <w:ind w:firstLine="480" w:firstLineChars="200"/>
        <w:rPr>
          <w:b/>
          <w:sz w:val="24"/>
        </w:rPr>
      </w:pPr>
      <w:r>
        <w:rPr>
          <w:rFonts w:hint="eastAsia"/>
          <w:sz w:val="24"/>
        </w:rPr>
        <w:t>工程建设后项目区永久占地的土地利用类型将发生变化，临时占地将恢复为原有地貌，工程永久征用土地面积为1056m</w:t>
      </w:r>
      <w:r>
        <w:rPr>
          <w:rFonts w:hint="eastAsia"/>
          <w:sz w:val="24"/>
          <w:vertAlign w:val="superscript"/>
        </w:rPr>
        <w:t>2</w:t>
      </w:r>
      <w:r>
        <w:rPr>
          <w:rFonts w:hint="eastAsia"/>
          <w:sz w:val="24"/>
        </w:rPr>
        <w:t>，从荒草地、灌木林地变为建设用地。</w:t>
      </w:r>
    </w:p>
    <w:p>
      <w:pPr>
        <w:wordWrap w:val="0"/>
        <w:spacing w:line="440" w:lineRule="exact"/>
        <w:rPr>
          <w:b/>
          <w:sz w:val="24"/>
        </w:rPr>
      </w:pPr>
      <w:r>
        <w:rPr>
          <w:rFonts w:hint="eastAsia"/>
          <w:b/>
          <w:sz w:val="24"/>
        </w:rPr>
        <w:t>3.1.2对植被的影响</w:t>
      </w:r>
    </w:p>
    <w:p>
      <w:pPr>
        <w:wordWrap w:val="0"/>
        <w:spacing w:line="420" w:lineRule="exact"/>
        <w:ind w:firstLine="480" w:firstLineChars="200"/>
        <w:rPr>
          <w:sz w:val="24"/>
        </w:rPr>
      </w:pPr>
      <w:r>
        <w:rPr>
          <w:rFonts w:hint="eastAsia"/>
          <w:sz w:val="24"/>
        </w:rPr>
        <w:t>工程永久和临时占用土地完全损毁了原有的植被类型，其上生活着的植物全部被清除，施工区临近区域的植被也受到了一定程度的损毁。根据</w:t>
      </w:r>
      <w:r>
        <w:rPr>
          <w:sz w:val="24"/>
        </w:rPr>
        <w:t>现场调查</w:t>
      </w:r>
      <w:r>
        <w:rPr>
          <w:rFonts w:hint="eastAsia"/>
          <w:sz w:val="24"/>
        </w:rPr>
        <w:t>结果显示</w:t>
      </w:r>
      <w:r>
        <w:rPr>
          <w:sz w:val="24"/>
        </w:rPr>
        <w:t>，项目</w:t>
      </w:r>
      <w:r>
        <w:rPr>
          <w:rFonts w:hint="eastAsia"/>
          <w:sz w:val="24"/>
        </w:rPr>
        <w:t>所在</w:t>
      </w:r>
      <w:r>
        <w:rPr>
          <w:sz w:val="24"/>
        </w:rPr>
        <w:t>区域山脊背阴面</w:t>
      </w:r>
      <w:r>
        <w:rPr>
          <w:rFonts w:hint="eastAsia"/>
          <w:sz w:val="24"/>
        </w:rPr>
        <w:t>、半阴面</w:t>
      </w:r>
      <w:r>
        <w:rPr>
          <w:sz w:val="24"/>
        </w:rPr>
        <w:t>有</w:t>
      </w:r>
      <w:r>
        <w:rPr>
          <w:rFonts w:hint="eastAsia"/>
          <w:sz w:val="24"/>
        </w:rPr>
        <w:t>连续</w:t>
      </w:r>
      <w:r>
        <w:rPr>
          <w:sz w:val="24"/>
        </w:rPr>
        <w:t>的低矮松林和灌木分布，而在山</w:t>
      </w:r>
      <w:r>
        <w:rPr>
          <w:rFonts w:hint="eastAsia"/>
          <w:sz w:val="24"/>
        </w:rPr>
        <w:t>脊顶部及山脊阳面植被主要为草本植被，无松林分布。本项目风力发电机组占地均选在山脊顶部，且风场内道路均沿山脊分水岭修建，故不会对山脊背阴面的低矮松林和灌木造成较大的破坏。</w:t>
      </w:r>
    </w:p>
    <w:p>
      <w:pPr>
        <w:wordWrap w:val="0"/>
        <w:spacing w:line="420" w:lineRule="exact"/>
        <w:ind w:firstLine="480" w:firstLineChars="200"/>
        <w:rPr>
          <w:sz w:val="24"/>
        </w:rPr>
      </w:pPr>
      <w:r>
        <w:rPr>
          <w:rFonts w:hint="eastAsia"/>
          <w:sz w:val="24"/>
        </w:rPr>
        <w:t>评价区域内自然植物群落主要以草本群落为主，结构较为简单，植被的自然恢复能力较强。随着项目的建成，施工临时占地将进行有效的植被恢复；永久占地损失的植被以荒草地为主，草种为当地常见种，在其附近就可见到相似的群落，物种适应性强，不存在因局部植被损失而导致种群消失或灭迹。故项目建设对植被影响较小。</w:t>
      </w:r>
    </w:p>
    <w:p>
      <w:pPr>
        <w:wordWrap w:val="0"/>
        <w:spacing w:line="420" w:lineRule="exact"/>
        <w:ind w:firstLine="480" w:firstLineChars="200"/>
        <w:rPr>
          <w:sz w:val="24"/>
        </w:rPr>
      </w:pPr>
      <w:r>
        <w:rPr>
          <w:rFonts w:hint="eastAsia"/>
          <w:sz w:val="24"/>
        </w:rPr>
        <w:t>此外，施工期间，因施工产生的粉尘会附着在周围植物的叶面上，影响其生长，但项目建成后，随着降雨的来临，这种影响将会减轻。</w:t>
      </w:r>
    </w:p>
    <w:p>
      <w:pPr>
        <w:wordWrap w:val="0"/>
        <w:spacing w:line="440" w:lineRule="exact"/>
        <w:rPr>
          <w:b/>
          <w:sz w:val="24"/>
        </w:rPr>
      </w:pPr>
      <w:r>
        <w:rPr>
          <w:rFonts w:hint="eastAsia"/>
          <w:b/>
          <w:sz w:val="24"/>
        </w:rPr>
        <w:t>3.1.3对动物的影响</w:t>
      </w:r>
    </w:p>
    <w:p>
      <w:pPr>
        <w:wordWrap w:val="0"/>
        <w:spacing w:line="440" w:lineRule="exact"/>
        <w:ind w:firstLine="480" w:firstLineChars="200"/>
        <w:rPr>
          <w:sz w:val="24"/>
        </w:rPr>
      </w:pPr>
      <w:r>
        <w:rPr>
          <w:rFonts w:hint="eastAsia"/>
          <w:sz w:val="24"/>
        </w:rPr>
        <w:t>施工期对区内动物的影响主要是对野生动物栖息地的影响。</w:t>
      </w:r>
    </w:p>
    <w:p>
      <w:pPr>
        <w:wordWrap w:val="0"/>
        <w:spacing w:line="420" w:lineRule="exact"/>
        <w:ind w:firstLine="480" w:firstLineChars="200"/>
        <w:rPr>
          <w:sz w:val="24"/>
        </w:rPr>
      </w:pPr>
      <w:r>
        <w:rPr>
          <w:rFonts w:hint="eastAsia"/>
          <w:sz w:val="24"/>
        </w:rPr>
        <w:t>施工期施工机械噪声和人员活动噪声是对野生动物影响的主要影响因素。各种施工机械，如运输车辆、推土机、挖掘机、打桩机、工程钻机、振捣棒、电锯等均可产生较强烈的噪声，虽然这些施工噪声属非连续排放，但由于噪声源相对集中，多为裸露声源，故其噪声辐射范围及影响相对较大。</w:t>
      </w:r>
    </w:p>
    <w:p>
      <w:pPr>
        <w:wordWrap w:val="0"/>
        <w:spacing w:line="420" w:lineRule="exact"/>
        <w:ind w:firstLine="480" w:firstLineChars="200"/>
        <w:rPr>
          <w:sz w:val="24"/>
        </w:rPr>
      </w:pPr>
      <w:r>
        <w:rPr>
          <w:rFonts w:hint="eastAsia"/>
          <w:sz w:val="24"/>
        </w:rPr>
        <w:t>预计在施工期，本区的野生动物都将产生规避反应，远离这一地区，特别是鸟类，其栖息环境需要相对安静，因此本区的鸟类将受较大影响，而本区内无大型野生动物，主要有野鸡、野兔、鼠类等小型动物，施工期间，动物受施工影响，将迁往附近同类环境，动物迁徙能力强，且同类生境易于在附近找寻，故物种种群与数量不会受到明显影响。且施工场地相对于该区域建设基地面积较小，项目的建设只是在小范围内暂时改变了部分动物的栖息环境，不会引起物种消失和生物多样性的减少，可见，施工期对野生动物的影响较小。</w:t>
      </w:r>
    </w:p>
    <w:p>
      <w:pPr>
        <w:wordWrap w:val="0"/>
        <w:spacing w:line="440" w:lineRule="exact"/>
        <w:rPr>
          <w:b/>
          <w:sz w:val="24"/>
        </w:rPr>
      </w:pPr>
      <w:r>
        <w:rPr>
          <w:rFonts w:hint="eastAsia"/>
          <w:b/>
          <w:sz w:val="24"/>
        </w:rPr>
        <w:t>3.1.4道路工程对生态环境的影响</w:t>
      </w:r>
    </w:p>
    <w:p>
      <w:pPr>
        <w:wordWrap w:val="0"/>
        <w:spacing w:line="420" w:lineRule="exact"/>
        <w:ind w:firstLine="480" w:firstLineChars="200"/>
        <w:rPr>
          <w:sz w:val="24"/>
        </w:rPr>
      </w:pPr>
      <w:r>
        <w:rPr>
          <w:rFonts w:hint="eastAsia"/>
          <w:sz w:val="24"/>
        </w:rPr>
        <w:t>（1）</w:t>
      </w:r>
      <w:r>
        <w:rPr>
          <w:sz w:val="24"/>
        </w:rPr>
        <w:t>道路工程</w:t>
      </w:r>
    </w:p>
    <w:p>
      <w:pPr>
        <w:wordWrap w:val="0"/>
        <w:spacing w:line="420" w:lineRule="exact"/>
        <w:ind w:firstLine="480" w:firstLineChars="200"/>
        <w:rPr>
          <w:sz w:val="24"/>
        </w:rPr>
      </w:pPr>
      <w:bookmarkStart w:id="294" w:name="_Toc479326700"/>
      <w:bookmarkStart w:id="295" w:name="_Toc436993123"/>
      <w:r>
        <w:rPr>
          <w:rFonts w:hint="eastAsia"/>
          <w:sz w:val="24"/>
        </w:rPr>
        <w:t>施工及检修道路：</w:t>
      </w:r>
      <w:r>
        <w:rPr>
          <w:sz w:val="24"/>
        </w:rPr>
        <w:t>道路施工运输和风场检修考虑永临结合</w:t>
      </w:r>
      <w:r>
        <w:rPr>
          <w:rFonts w:hint="eastAsia"/>
          <w:sz w:val="24"/>
        </w:rPr>
        <w:t>，风力发电机组运输及检修道路从风场西南侧现有道路对接，本工程对既有道路进行扩建，扩建场内道路约4.0</w:t>
      </w:r>
    </w:p>
    <w:p>
      <w:pPr>
        <w:wordWrap w:val="0"/>
        <w:spacing w:line="420" w:lineRule="exact"/>
        <w:rPr>
          <w:b/>
          <w:bCs/>
          <w:sz w:val="24"/>
        </w:rPr>
      </w:pPr>
      <w:r>
        <w:rPr>
          <w:rFonts w:hint="eastAsia"/>
          <w:sz w:val="24"/>
        </w:rPr>
        <w:t>km，</w:t>
      </w:r>
      <w:bookmarkEnd w:id="294"/>
      <w:r>
        <w:rPr>
          <w:bCs/>
          <w:sz w:val="24"/>
        </w:rPr>
        <w:t>道路路基宽5.5m</w:t>
      </w:r>
      <w:r>
        <w:rPr>
          <w:b/>
          <w:bCs/>
          <w:sz w:val="24"/>
        </w:rPr>
        <w:t>，</w:t>
      </w:r>
      <w:r>
        <w:rPr>
          <w:sz w:val="24"/>
        </w:rPr>
        <w:t>路面宽4.5m，采用3cm磨耗层+20cm泥结碎石路面；道路平曲线最小半径30m，对应的路基加宽值为4.0m；道路设计纵坡不超过15%。本风电场</w:t>
      </w:r>
      <w:r>
        <w:rPr>
          <w:rFonts w:hint="eastAsia"/>
          <w:sz w:val="24"/>
        </w:rPr>
        <w:t>利用既有道路进行扩建，扩</w:t>
      </w:r>
      <w:r>
        <w:rPr>
          <w:sz w:val="24"/>
        </w:rPr>
        <w:t>建道路长度为4.00km。</w:t>
      </w:r>
    </w:p>
    <w:p>
      <w:pPr>
        <w:wordWrap w:val="0"/>
        <w:spacing w:line="420" w:lineRule="exact"/>
        <w:ind w:firstLine="480" w:firstLineChars="200"/>
        <w:rPr>
          <w:sz w:val="24"/>
        </w:rPr>
      </w:pPr>
      <w:bookmarkStart w:id="296" w:name="_Toc479326701"/>
      <w:r>
        <w:rPr>
          <w:rFonts w:hint="eastAsia"/>
          <w:sz w:val="24"/>
        </w:rPr>
        <w:t>（2）道路建设对生态环境的影响</w:t>
      </w:r>
      <w:bookmarkEnd w:id="295"/>
      <w:bookmarkEnd w:id="296"/>
    </w:p>
    <w:p>
      <w:pPr>
        <w:pStyle w:val="58"/>
        <w:wordWrap w:val="0"/>
        <w:spacing w:line="420" w:lineRule="exact"/>
        <w:rPr>
          <w:rFonts w:hAnsi="Times New Roman"/>
          <w:color w:val="auto"/>
        </w:rPr>
      </w:pPr>
      <w:r>
        <w:rPr>
          <w:rFonts w:hAnsi="Times New Roman"/>
          <w:color w:val="auto"/>
        </w:rPr>
        <w:fldChar w:fldCharType="begin"/>
      </w:r>
      <w:r>
        <w:rPr>
          <w:rFonts w:hAnsi="Times New Roman"/>
          <w:color w:val="auto"/>
        </w:rPr>
        <w:instrText xml:space="preserve"> </w:instrText>
      </w:r>
      <w:r>
        <w:rPr>
          <w:rFonts w:hint="eastAsia" w:hAnsi="Times New Roman"/>
          <w:color w:val="auto"/>
        </w:rPr>
        <w:instrText xml:space="preserve">= 1 \* GB3</w:instrText>
      </w:r>
      <w:r>
        <w:rPr>
          <w:rFonts w:hAnsi="Times New Roman"/>
          <w:color w:val="auto"/>
        </w:rPr>
        <w:instrText xml:space="preserve"> </w:instrText>
      </w:r>
      <w:r>
        <w:rPr>
          <w:rFonts w:hAnsi="Times New Roman"/>
          <w:color w:val="auto"/>
        </w:rPr>
        <w:fldChar w:fldCharType="separate"/>
      </w:r>
      <w:r>
        <w:rPr>
          <w:rFonts w:hint="eastAsia" w:hAnsi="Times New Roman"/>
          <w:color w:val="auto"/>
        </w:rPr>
        <w:t>①</w:t>
      </w:r>
      <w:r>
        <w:rPr>
          <w:rFonts w:hAnsi="Times New Roman"/>
          <w:color w:val="auto"/>
        </w:rPr>
        <w:fldChar w:fldCharType="end"/>
      </w:r>
      <w:r>
        <w:rPr>
          <w:rFonts w:hAnsi="Times New Roman"/>
          <w:color w:val="auto"/>
        </w:rPr>
        <w:t>植被面积损失</w:t>
      </w:r>
    </w:p>
    <w:p>
      <w:pPr>
        <w:pStyle w:val="58"/>
        <w:wordWrap w:val="0"/>
        <w:spacing w:line="420" w:lineRule="exact"/>
        <w:rPr>
          <w:rFonts w:hAnsi="Times New Roman"/>
          <w:color w:val="auto"/>
        </w:rPr>
      </w:pPr>
      <w:r>
        <w:rPr>
          <w:rFonts w:hAnsi="Times New Roman"/>
          <w:color w:val="auto"/>
        </w:rPr>
        <w:t>道路工程在施工期对植被的影响主要在于永久占地范围内的</w:t>
      </w:r>
      <w:r>
        <w:rPr>
          <w:rFonts w:hint="eastAsia" w:hAnsi="Times New Roman"/>
          <w:color w:val="auto"/>
        </w:rPr>
        <w:t>地表植被</w:t>
      </w:r>
      <w:r>
        <w:rPr>
          <w:rFonts w:hAnsi="Times New Roman"/>
          <w:color w:val="auto"/>
        </w:rPr>
        <w:t>将遭受砍伐、铲除、掩埋等一系列人为干扰活动，使永久占地内的植被全部消失，周边的植被面积减少，生物量及生态服务功能下降。受本项目建设影响而损失的自然植被</w:t>
      </w:r>
      <w:r>
        <w:rPr>
          <w:rFonts w:hint="eastAsia" w:hAnsi="Times New Roman"/>
          <w:color w:val="auto"/>
        </w:rPr>
        <w:t>以草本植被为主</w:t>
      </w:r>
      <w:r>
        <w:rPr>
          <w:rFonts w:hAnsi="Times New Roman"/>
          <w:color w:val="auto"/>
        </w:rPr>
        <w:t>。</w:t>
      </w:r>
    </w:p>
    <w:p>
      <w:pPr>
        <w:pStyle w:val="58"/>
        <w:wordWrap w:val="0"/>
        <w:spacing w:line="420" w:lineRule="exact"/>
        <w:rPr>
          <w:rFonts w:hAnsi="Times New Roman"/>
          <w:color w:val="auto"/>
        </w:rPr>
      </w:pPr>
      <w:r>
        <w:rPr>
          <w:rFonts w:hAnsi="Times New Roman"/>
          <w:color w:val="auto"/>
        </w:rPr>
        <w:t>本期风电场道路工程</w:t>
      </w:r>
      <w:r>
        <w:rPr>
          <w:rFonts w:hint="eastAsia" w:hAnsi="Times New Roman"/>
          <w:color w:val="auto"/>
        </w:rPr>
        <w:t>施工道路</w:t>
      </w:r>
      <w:r>
        <w:rPr>
          <w:rFonts w:hAnsi="Times New Roman"/>
          <w:color w:val="auto"/>
        </w:rPr>
        <w:t>临时</w:t>
      </w:r>
      <w:r>
        <w:rPr>
          <w:rFonts w:hint="eastAsia" w:hAnsi="Times New Roman"/>
          <w:color w:val="auto"/>
        </w:rPr>
        <w:t>占用</w:t>
      </w:r>
      <w:r>
        <w:rPr>
          <w:rFonts w:hAnsi="Times New Roman"/>
          <w:color w:val="auto"/>
        </w:rPr>
        <w:t>面积为</w:t>
      </w:r>
      <w:r>
        <w:rPr>
          <w:rFonts w:hint="eastAsia" w:hAnsi="Times New Roman"/>
          <w:color w:val="auto"/>
        </w:rPr>
        <w:t>2.2h</w:t>
      </w:r>
      <w:r>
        <w:rPr>
          <w:rFonts w:hAnsi="Times New Roman"/>
          <w:color w:val="auto"/>
        </w:rPr>
        <w:t>m</w:t>
      </w:r>
      <w:r>
        <w:rPr>
          <w:rFonts w:hAnsi="Times New Roman"/>
          <w:color w:val="auto"/>
          <w:vertAlign w:val="superscript"/>
        </w:rPr>
        <w:t>2</w:t>
      </w:r>
      <w:r>
        <w:rPr>
          <w:rFonts w:hAnsi="Times New Roman"/>
          <w:color w:val="auto"/>
        </w:rPr>
        <w:t>，临时占用的</w:t>
      </w:r>
      <w:r>
        <w:rPr>
          <w:rFonts w:hint="eastAsia" w:hAnsi="Times New Roman"/>
          <w:color w:val="auto"/>
        </w:rPr>
        <w:t>草本植被及灌木树种在施工结束后就地恢复</w:t>
      </w:r>
      <w:r>
        <w:rPr>
          <w:rFonts w:hAnsi="Times New Roman"/>
          <w:color w:val="auto"/>
        </w:rPr>
        <w:t>。风电场范围内没有较珍稀的植物，因此本项目的建设对当地植物的总体影响并不大。</w:t>
      </w:r>
    </w:p>
    <w:p>
      <w:pPr>
        <w:pStyle w:val="58"/>
        <w:wordWrap w:val="0"/>
        <w:spacing w:line="420" w:lineRule="exact"/>
        <w:rPr>
          <w:rFonts w:hAnsi="Times New Roman"/>
          <w:color w:val="auto"/>
        </w:rPr>
      </w:pPr>
      <w:r>
        <w:rPr>
          <w:rFonts w:hAnsi="Times New Roman"/>
          <w:color w:val="auto"/>
        </w:rPr>
        <w:fldChar w:fldCharType="begin"/>
      </w:r>
      <w:r>
        <w:rPr>
          <w:rFonts w:hAnsi="Times New Roman"/>
          <w:color w:val="auto"/>
        </w:rPr>
        <w:instrText xml:space="preserve"> </w:instrText>
      </w:r>
      <w:r>
        <w:rPr>
          <w:rFonts w:hint="eastAsia" w:hAnsi="Times New Roman"/>
          <w:color w:val="auto"/>
        </w:rPr>
        <w:instrText xml:space="preserve">= 2 \* GB3</w:instrText>
      </w:r>
      <w:r>
        <w:rPr>
          <w:rFonts w:hAnsi="Times New Roman"/>
          <w:color w:val="auto"/>
        </w:rPr>
        <w:instrText xml:space="preserve"> </w:instrText>
      </w:r>
      <w:r>
        <w:rPr>
          <w:rFonts w:hAnsi="Times New Roman"/>
          <w:color w:val="auto"/>
        </w:rPr>
        <w:fldChar w:fldCharType="separate"/>
      </w:r>
      <w:r>
        <w:rPr>
          <w:rFonts w:hint="eastAsia" w:hAnsi="Times New Roman"/>
          <w:color w:val="auto"/>
        </w:rPr>
        <w:t>②</w:t>
      </w:r>
      <w:r>
        <w:rPr>
          <w:rFonts w:hAnsi="Times New Roman"/>
          <w:color w:val="auto"/>
        </w:rPr>
        <w:fldChar w:fldCharType="end"/>
      </w:r>
      <w:r>
        <w:rPr>
          <w:rFonts w:hint="eastAsia" w:hAnsi="Times New Roman"/>
          <w:color w:val="auto"/>
        </w:rPr>
        <w:t>道路建设</w:t>
      </w:r>
      <w:r>
        <w:rPr>
          <w:rFonts w:hAnsi="Times New Roman"/>
          <w:color w:val="auto"/>
        </w:rPr>
        <w:t>对植物种类（多样性）及分布的影响</w:t>
      </w:r>
    </w:p>
    <w:p>
      <w:pPr>
        <w:pStyle w:val="58"/>
        <w:wordWrap w:val="0"/>
        <w:spacing w:line="420" w:lineRule="exact"/>
        <w:rPr>
          <w:rFonts w:hAnsi="Times New Roman"/>
          <w:color w:val="auto"/>
        </w:rPr>
      </w:pPr>
      <w:r>
        <w:rPr>
          <w:rFonts w:hint="eastAsia" w:hAnsi="Times New Roman"/>
          <w:color w:val="auto"/>
        </w:rPr>
        <w:t>道路</w:t>
      </w:r>
      <w:r>
        <w:rPr>
          <w:rFonts w:hAnsi="Times New Roman"/>
          <w:color w:val="auto"/>
        </w:rPr>
        <w:t>工程永久和临时占用土地完全损毁了原有的植被类型，其上生活着的植物全部被清除，施工区临近区域的植被也受到了一定程度的损毁。根据植被现状调查结果表明，</w:t>
      </w:r>
      <w:r>
        <w:rPr>
          <w:rFonts w:hint="eastAsia" w:hAnsi="Times New Roman"/>
          <w:color w:val="auto"/>
        </w:rPr>
        <w:t>检修道路区域</w:t>
      </w:r>
      <w:r>
        <w:rPr>
          <w:rFonts w:hAnsi="Times New Roman"/>
          <w:color w:val="auto"/>
        </w:rPr>
        <w:t>内植被</w:t>
      </w:r>
      <w:r>
        <w:rPr>
          <w:rFonts w:hint="eastAsia" w:hAnsi="Times New Roman"/>
          <w:color w:val="auto"/>
        </w:rPr>
        <w:t>主要以</w:t>
      </w:r>
      <w:r>
        <w:rPr>
          <w:rFonts w:hAnsi="Times New Roman"/>
          <w:color w:val="auto"/>
        </w:rPr>
        <w:t>荒草</w:t>
      </w:r>
      <w:r>
        <w:rPr>
          <w:rFonts w:hint="eastAsia" w:hAnsi="Times New Roman"/>
          <w:color w:val="auto"/>
        </w:rPr>
        <w:t>地为主</w:t>
      </w:r>
      <w:r>
        <w:rPr>
          <w:rFonts w:hAnsi="Times New Roman"/>
          <w:color w:val="auto"/>
        </w:rPr>
        <w:t>。</w:t>
      </w:r>
    </w:p>
    <w:p>
      <w:pPr>
        <w:pStyle w:val="58"/>
        <w:wordWrap w:val="0"/>
        <w:spacing w:line="420" w:lineRule="exact"/>
        <w:rPr>
          <w:rFonts w:hAnsi="Times New Roman"/>
          <w:color w:val="auto"/>
        </w:rPr>
      </w:pPr>
      <w:r>
        <w:rPr>
          <w:rFonts w:hint="eastAsia" w:hAnsi="Times New Roman"/>
          <w:color w:val="auto"/>
        </w:rPr>
        <w:t>拟建道路</w:t>
      </w:r>
      <w:r>
        <w:rPr>
          <w:rFonts w:hAnsi="Times New Roman"/>
          <w:color w:val="auto"/>
        </w:rPr>
        <w:t>区域内自然植物群落结构较为简单，</w:t>
      </w:r>
      <w:r>
        <w:rPr>
          <w:rFonts w:hint="eastAsia" w:hAnsi="Times New Roman"/>
          <w:color w:val="auto"/>
        </w:rPr>
        <w:t>以当地乡土草本植被为主，无</w:t>
      </w:r>
      <w:r>
        <w:rPr>
          <w:rFonts w:hAnsi="Times New Roman"/>
          <w:color w:val="auto"/>
        </w:rPr>
        <w:t>国家</w:t>
      </w:r>
      <w:r>
        <w:rPr>
          <w:rFonts w:hint="eastAsia" w:hAnsi="Times New Roman"/>
          <w:color w:val="auto"/>
        </w:rPr>
        <w:t>重点</w:t>
      </w:r>
      <w:r>
        <w:rPr>
          <w:rFonts w:hAnsi="Times New Roman"/>
          <w:color w:val="auto"/>
        </w:rPr>
        <w:t>保护的</w:t>
      </w:r>
      <w:r>
        <w:rPr>
          <w:rFonts w:hint="eastAsia" w:hAnsi="Times New Roman"/>
          <w:color w:val="auto"/>
        </w:rPr>
        <w:t>珍稀</w:t>
      </w:r>
      <w:r>
        <w:rPr>
          <w:rFonts w:hAnsi="Times New Roman"/>
          <w:color w:val="auto"/>
        </w:rPr>
        <w:t>植物</w:t>
      </w:r>
      <w:r>
        <w:rPr>
          <w:rFonts w:hint="eastAsia" w:hAnsi="Times New Roman"/>
          <w:color w:val="auto"/>
        </w:rPr>
        <w:t>集中分布。</w:t>
      </w:r>
      <w:r>
        <w:rPr>
          <w:rFonts w:hAnsi="Times New Roman"/>
          <w:color w:val="auto"/>
        </w:rPr>
        <w:t>项目建成</w:t>
      </w:r>
      <w:r>
        <w:rPr>
          <w:rFonts w:hint="eastAsia" w:hAnsi="Times New Roman"/>
          <w:color w:val="auto"/>
        </w:rPr>
        <w:t>后</w:t>
      </w:r>
      <w:r>
        <w:rPr>
          <w:rFonts w:hAnsi="Times New Roman"/>
          <w:color w:val="auto"/>
        </w:rPr>
        <w:t>，</w:t>
      </w:r>
      <w:r>
        <w:rPr>
          <w:rFonts w:hint="eastAsia" w:hAnsi="Times New Roman"/>
          <w:color w:val="auto"/>
        </w:rPr>
        <w:t>将会对检修道路两侧的临时占地</w:t>
      </w:r>
      <w:r>
        <w:rPr>
          <w:rFonts w:hAnsi="Times New Roman"/>
          <w:color w:val="auto"/>
        </w:rPr>
        <w:t>进行有效</w:t>
      </w:r>
      <w:r>
        <w:rPr>
          <w:rFonts w:hint="eastAsia" w:hAnsi="Times New Roman"/>
          <w:color w:val="auto"/>
        </w:rPr>
        <w:t>的</w:t>
      </w:r>
      <w:r>
        <w:rPr>
          <w:rFonts w:hAnsi="Times New Roman"/>
          <w:color w:val="auto"/>
        </w:rPr>
        <w:t>植被恢复，项目建设对植物种群的影响大大减轻。因此，</w:t>
      </w:r>
      <w:r>
        <w:rPr>
          <w:rFonts w:hint="eastAsia" w:hAnsi="Times New Roman"/>
          <w:color w:val="auto"/>
        </w:rPr>
        <w:t>采取植被恢复措施后，</w:t>
      </w:r>
      <w:r>
        <w:rPr>
          <w:rFonts w:hAnsi="Times New Roman"/>
          <w:color w:val="auto"/>
        </w:rPr>
        <w:t>风电场</w:t>
      </w:r>
      <w:r>
        <w:rPr>
          <w:rFonts w:hint="eastAsia" w:hAnsi="Times New Roman"/>
          <w:color w:val="auto"/>
        </w:rPr>
        <w:t>内检修道路</w:t>
      </w:r>
      <w:r>
        <w:rPr>
          <w:rFonts w:hAnsi="Times New Roman"/>
          <w:color w:val="auto"/>
        </w:rPr>
        <w:t>的</w:t>
      </w:r>
      <w:r>
        <w:rPr>
          <w:rFonts w:hint="eastAsia" w:hAnsi="Times New Roman"/>
          <w:color w:val="auto"/>
        </w:rPr>
        <w:t>修建</w:t>
      </w:r>
      <w:r>
        <w:rPr>
          <w:rFonts w:hAnsi="Times New Roman"/>
          <w:color w:val="auto"/>
        </w:rPr>
        <w:t>对场内植物种类及分布均不会造成太大的影响，对区域植物的物种多样性的影响较小。</w:t>
      </w:r>
    </w:p>
    <w:p>
      <w:pPr>
        <w:pStyle w:val="58"/>
        <w:wordWrap w:val="0"/>
        <w:spacing w:line="420" w:lineRule="exact"/>
        <w:rPr>
          <w:rFonts w:hAnsi="Times New Roman"/>
          <w:color w:val="auto"/>
        </w:rPr>
      </w:pPr>
      <w:r>
        <w:rPr>
          <w:rFonts w:hint="eastAsia" w:hAnsi="Times New Roman"/>
          <w:color w:val="auto"/>
        </w:rPr>
        <w:t>③道路建设</w:t>
      </w:r>
      <w:r>
        <w:rPr>
          <w:rFonts w:hAnsi="Times New Roman"/>
          <w:color w:val="auto"/>
        </w:rPr>
        <w:t>对动物的影响</w:t>
      </w:r>
    </w:p>
    <w:p>
      <w:pPr>
        <w:pStyle w:val="58"/>
        <w:wordWrap w:val="0"/>
        <w:spacing w:line="420" w:lineRule="exact"/>
        <w:rPr>
          <w:rFonts w:hAnsi="Times New Roman"/>
          <w:color w:val="auto"/>
        </w:rPr>
      </w:pPr>
      <w:r>
        <w:rPr>
          <w:rFonts w:hint="eastAsia" w:hAnsi="Times New Roman"/>
          <w:color w:val="auto"/>
        </w:rPr>
        <w:t>施工期环境的迅速改变，噪声、植被破坏、密集的人为活动等均会对施工区域及附近的动物正常栖息、繁殖产生直接或间接的不利影响，这些影响是短暂的。受影响的动物受扰动后将暂时离开寻找相似的栖息地，项目所在区为人为活动较少的土石山区，生境相似程度高，受惊扰的动物较易在附近找到新的栖息地。</w:t>
      </w:r>
    </w:p>
    <w:p>
      <w:pPr>
        <w:pStyle w:val="58"/>
        <w:wordWrap w:val="0"/>
        <w:spacing w:line="420" w:lineRule="exact"/>
        <w:rPr>
          <w:rFonts w:hAnsi="Times New Roman"/>
          <w:color w:val="auto"/>
        </w:rPr>
      </w:pPr>
      <w:r>
        <w:rPr>
          <w:rFonts w:hAnsi="Times New Roman"/>
          <w:color w:val="auto"/>
        </w:rPr>
        <w:t>风场道路建成后，两侧进行绿化和植被恢复。风场运营期检修道路通行车辆很少，道路对环境的影响范围降低，在区域内动物对新环境逐渐适应后，区域内的鸟类、兽类等动物的种类、数量、分布也将得到逐渐恢复，原有生态格局又将重新建立，风场道路对区域的不利影响将逐渐减轻并达到新的平衡。</w:t>
      </w:r>
    </w:p>
    <w:p>
      <w:pPr>
        <w:pStyle w:val="58"/>
        <w:wordWrap w:val="0"/>
        <w:spacing w:line="420" w:lineRule="exact"/>
        <w:rPr>
          <w:rFonts w:hAnsi="Times New Roman"/>
          <w:color w:val="auto"/>
        </w:rPr>
      </w:pPr>
      <w:r>
        <w:rPr>
          <w:rFonts w:hAnsi="Times New Roman"/>
          <w:color w:val="auto"/>
        </w:rPr>
        <w:t>可见，风场道路的建设对野生动物的影响程度是可以接受的。</w:t>
      </w:r>
    </w:p>
    <w:p>
      <w:pPr>
        <w:pStyle w:val="4"/>
        <w:wordWrap w:val="0"/>
        <w:adjustRightInd w:val="0"/>
        <w:snapToGrid w:val="0"/>
        <w:spacing w:before="0" w:after="0" w:line="520" w:lineRule="exact"/>
        <w:ind w:left="617" w:hanging="617" w:hangingChars="256"/>
        <w:rPr>
          <w:sz w:val="24"/>
          <w:szCs w:val="24"/>
        </w:rPr>
      </w:pPr>
      <w:bookmarkStart w:id="297" w:name="_Toc436993124"/>
      <w:bookmarkStart w:id="298" w:name="_Toc528854963"/>
      <w:r>
        <w:rPr>
          <w:rFonts w:hint="eastAsia"/>
          <w:sz w:val="24"/>
          <w:szCs w:val="24"/>
        </w:rPr>
        <w:t>3.2项目运营期对生态环境的影响</w:t>
      </w:r>
      <w:bookmarkEnd w:id="297"/>
      <w:bookmarkEnd w:id="298"/>
    </w:p>
    <w:p>
      <w:pPr>
        <w:wordWrap w:val="0"/>
        <w:spacing w:line="440" w:lineRule="exact"/>
        <w:rPr>
          <w:b/>
        </w:rPr>
      </w:pPr>
      <w:r>
        <w:rPr>
          <w:rFonts w:hint="eastAsia"/>
          <w:b/>
          <w:sz w:val="24"/>
        </w:rPr>
        <w:t>3.2.1对植被的影响</w:t>
      </w:r>
    </w:p>
    <w:p>
      <w:pPr>
        <w:wordWrap w:val="0"/>
        <w:spacing w:line="420" w:lineRule="exact"/>
        <w:ind w:firstLine="480" w:firstLineChars="200"/>
        <w:rPr>
          <w:sz w:val="24"/>
        </w:rPr>
      </w:pPr>
      <w:r>
        <w:rPr>
          <w:rFonts w:hint="eastAsia"/>
          <w:sz w:val="24"/>
        </w:rPr>
        <w:t>风电场投入运营后，永久占地内的地表植被完全被破坏，取而代之的是风力发电机组和集电线路杆塔的基础以及场内检修道路的路面。工程临时占地进行了植被恢复，风电机组区和集电线路区实施植被恢复和绿化工程，因此施工结束后场内生态环境与建场前基本相同。</w:t>
      </w:r>
    </w:p>
    <w:p>
      <w:pPr>
        <w:wordWrap w:val="0"/>
        <w:spacing w:line="420" w:lineRule="exact"/>
        <w:ind w:firstLine="480" w:firstLineChars="200"/>
        <w:rPr>
          <w:sz w:val="24"/>
        </w:rPr>
      </w:pPr>
      <w:r>
        <w:rPr>
          <w:rFonts w:hint="eastAsia"/>
          <w:sz w:val="24"/>
        </w:rPr>
        <w:t>本风电场不是国家和省级重点保护的野生植物分布区域，风电建设区域属于点状分布，风力发电机组的运行离地面较高，建成后风力发电机组的运行对场内植被的正常生长几乎没有影响。因此，项目运营期不会对植被造成不利影响。</w:t>
      </w:r>
    </w:p>
    <w:p>
      <w:pPr>
        <w:wordWrap w:val="0"/>
        <w:spacing w:line="440" w:lineRule="exact"/>
        <w:rPr>
          <w:b/>
        </w:rPr>
      </w:pPr>
      <w:r>
        <w:rPr>
          <w:rFonts w:hint="eastAsia"/>
          <w:b/>
          <w:sz w:val="24"/>
        </w:rPr>
        <w:t>3.2.2对动物的影响</w:t>
      </w:r>
    </w:p>
    <w:p>
      <w:pPr>
        <w:wordWrap w:val="0"/>
        <w:spacing w:line="420" w:lineRule="exact"/>
        <w:ind w:firstLine="480" w:firstLineChars="200"/>
        <w:rPr>
          <w:sz w:val="24"/>
        </w:rPr>
      </w:pPr>
      <w:r>
        <w:rPr>
          <w:sz w:val="24"/>
        </w:rPr>
        <w:t>（1）对野生动物活动的阻隔影响</w:t>
      </w:r>
    </w:p>
    <w:p>
      <w:pPr>
        <w:wordWrap w:val="0"/>
        <w:spacing w:line="420" w:lineRule="exact"/>
        <w:ind w:firstLine="480" w:firstLineChars="200"/>
        <w:rPr>
          <w:sz w:val="24"/>
        </w:rPr>
      </w:pPr>
      <w:r>
        <w:rPr>
          <w:rFonts w:hint="eastAsia"/>
          <w:sz w:val="24"/>
        </w:rPr>
        <w:t>经过现场调查及查阅资料，风电场范围内未发现野生动物的迁移路线，并且场内检修道路的路面较窄、平时车辆较少，基本不会对野生动物的活动产生阻隔影响。</w:t>
      </w:r>
    </w:p>
    <w:p>
      <w:pPr>
        <w:wordWrap w:val="0"/>
        <w:spacing w:line="420" w:lineRule="exact"/>
        <w:ind w:firstLine="480" w:firstLineChars="200"/>
        <w:rPr>
          <w:sz w:val="24"/>
        </w:rPr>
      </w:pPr>
      <w:r>
        <w:rPr>
          <w:sz w:val="24"/>
        </w:rPr>
        <w:t>（2）风力发电机组噪声对野生动物的影响</w:t>
      </w:r>
    </w:p>
    <w:p>
      <w:pPr>
        <w:wordWrap w:val="0"/>
        <w:spacing w:line="420" w:lineRule="exact"/>
        <w:ind w:firstLine="480" w:firstLineChars="200"/>
        <w:rPr>
          <w:sz w:val="24"/>
        </w:rPr>
      </w:pPr>
      <w:r>
        <w:rPr>
          <w:rFonts w:hint="eastAsia"/>
          <w:sz w:val="24"/>
        </w:rPr>
        <w:t>本项目施工过程中，因噪声强度的增加和人为活动的频繁，致使部分动物发生小尺度的迁移，但随着施工期的结束，场区内及周围动物会逐渐适应于风力发电机组的运行噪声及场内道路，不会影响野生动物的生存活动空间，对区域生物多样性不会产生影响。</w:t>
      </w:r>
    </w:p>
    <w:p>
      <w:pPr>
        <w:wordWrap w:val="0"/>
        <w:spacing w:line="420" w:lineRule="exact"/>
        <w:ind w:firstLine="360" w:firstLineChars="150"/>
        <w:rPr>
          <w:sz w:val="24"/>
        </w:rPr>
      </w:pPr>
      <w:r>
        <w:rPr>
          <w:rFonts w:hint="eastAsia"/>
          <w:sz w:val="24"/>
        </w:rPr>
        <w:t>（3）风力发电机组对鸟类迁徙的影响</w:t>
      </w:r>
    </w:p>
    <w:p>
      <w:pPr>
        <w:wordWrap w:val="0"/>
        <w:spacing w:line="420" w:lineRule="exact"/>
        <w:ind w:firstLine="480" w:firstLineChars="200"/>
        <w:rPr>
          <w:sz w:val="24"/>
        </w:rPr>
      </w:pPr>
      <w:r>
        <w:rPr>
          <w:rFonts w:hint="eastAsia"/>
          <w:sz w:val="24"/>
        </w:rPr>
        <w:t>风力发电机组风轮转动及产生的噪声可能对鸟类起到驱赶和惊扰作用，根据中国候鸟迁徙路线，本项目场址不在候鸟迁徙路线上。另外根据鸟类资料表明，一般鸟类的飞行高度为300m左右；在迁徒季节，候鸟的迁飞高度在300m以上，如燕为450m、鹤为500m、雁为900m，均远远超过风力发电机组的高度（风电机组的安装高度为90m，叶片的长度121m），因此，鸟类在飞行和迁徒时不会受到风电场风力发电机组的影响。</w:t>
      </w:r>
    </w:p>
    <w:p>
      <w:pPr>
        <w:pStyle w:val="3"/>
        <w:wordWrap w:val="0"/>
        <w:spacing w:after="156"/>
        <w:rPr>
          <w:rFonts w:eastAsia="宋体"/>
          <w:b/>
          <w:bCs/>
          <w:color w:val="auto"/>
        </w:rPr>
      </w:pPr>
      <w:bookmarkStart w:id="299" w:name="_Toc436993125"/>
      <w:bookmarkStart w:id="300" w:name="_Toc479326702"/>
      <w:bookmarkStart w:id="301" w:name="_Toc528854964"/>
      <w:r>
        <w:rPr>
          <w:rFonts w:hint="eastAsia" w:eastAsia="宋体"/>
          <w:b/>
          <w:bCs/>
          <w:color w:val="auto"/>
        </w:rPr>
        <w:t>4、景观影响评价</w:t>
      </w:r>
      <w:bookmarkEnd w:id="299"/>
      <w:bookmarkEnd w:id="300"/>
      <w:bookmarkEnd w:id="301"/>
    </w:p>
    <w:p>
      <w:pPr>
        <w:wordWrap w:val="0"/>
        <w:spacing w:line="420" w:lineRule="exact"/>
        <w:ind w:firstLine="480" w:firstLineChars="200"/>
        <w:rPr>
          <w:sz w:val="24"/>
        </w:rPr>
      </w:pPr>
      <w:r>
        <w:rPr>
          <w:sz w:val="24"/>
        </w:rPr>
        <w:t>风电场工程景观包括风力发电机组本身形成的景观，也包括周边的自然景观和人文景观，它是风电工程与其周围景观的综合景观体系。景观影响评价的目的是预测评价风电场工程建设与运营过程中可能给景观环境带来有利的、不利的潜在影响，提出景观保护、利用、开发及减缓不利影响的措施。</w:t>
      </w:r>
    </w:p>
    <w:p>
      <w:pPr>
        <w:wordWrap w:val="0"/>
        <w:spacing w:line="420" w:lineRule="exact"/>
        <w:ind w:firstLine="480" w:firstLineChars="200"/>
        <w:rPr>
          <w:sz w:val="24"/>
        </w:rPr>
      </w:pPr>
      <w:r>
        <w:rPr>
          <w:sz w:val="24"/>
        </w:rPr>
        <w:t>（1）项目对景观环境的正面影响分析</w:t>
      </w:r>
    </w:p>
    <w:p>
      <w:pPr>
        <w:wordWrap w:val="0"/>
        <w:spacing w:line="420" w:lineRule="exact"/>
        <w:ind w:firstLine="480" w:firstLineChars="200"/>
        <w:rPr>
          <w:sz w:val="24"/>
        </w:rPr>
      </w:pPr>
      <w:r>
        <w:rPr>
          <w:sz w:val="24"/>
        </w:rPr>
        <w:t>本风电场拟在</w:t>
      </w:r>
      <w:r>
        <w:rPr>
          <w:rFonts w:hint="eastAsia"/>
          <w:sz w:val="24"/>
        </w:rPr>
        <w:t>岢岚县县城南部山梁</w:t>
      </w:r>
      <w:r>
        <w:rPr>
          <w:sz w:val="24"/>
        </w:rPr>
        <w:t>山脊上建设，风电场范围内以中低山地貌为主，交通便利，风力发电机组白色塔筒和叶片与蓝天和白云结合效果完美。</w:t>
      </w:r>
      <w:r>
        <w:rPr>
          <w:rFonts w:hint="eastAsia"/>
          <w:sz w:val="24"/>
        </w:rPr>
        <w:t>这种景观</w:t>
      </w:r>
      <w:r>
        <w:rPr>
          <w:sz w:val="24"/>
        </w:rPr>
        <w:t>虽与自然景观有明显差异，但可以反映人文景观与自然景观结合并和谐共处的完美性，并具有明显的社会效益和经济效益。加之场区按规划有计划地实施植被恢复，种植草、木，将使场区形成一个结构合理、人文景观和自然风景完美结合的生态环境，在保证风场区域生态环境稳定发展的同时，也可将场区开发成独具特色的旅游景点。</w:t>
      </w:r>
    </w:p>
    <w:p>
      <w:pPr>
        <w:wordWrap w:val="0"/>
        <w:spacing w:line="420" w:lineRule="exact"/>
        <w:ind w:firstLine="360" w:firstLineChars="150"/>
        <w:rPr>
          <w:sz w:val="24"/>
        </w:rPr>
      </w:pPr>
      <w:r>
        <w:rPr>
          <w:rFonts w:hint="eastAsia"/>
          <w:sz w:val="24"/>
        </w:rPr>
        <w:t>（2）</w:t>
      </w:r>
      <w:r>
        <w:rPr>
          <w:sz w:val="24"/>
        </w:rPr>
        <w:t>项目对景观环境的负面影响分析</w:t>
      </w:r>
    </w:p>
    <w:p>
      <w:pPr>
        <w:numPr>
          <w:ilvl w:val="0"/>
          <w:numId w:val="8"/>
        </w:numPr>
        <w:wordWrap w:val="0"/>
        <w:spacing w:line="420" w:lineRule="exact"/>
        <w:ind w:left="0" w:firstLine="480" w:firstLineChars="200"/>
        <w:rPr>
          <w:sz w:val="24"/>
        </w:rPr>
      </w:pPr>
      <w:r>
        <w:rPr>
          <w:sz w:val="24"/>
        </w:rPr>
        <w:t>项目施工期对景观环境的影响</w:t>
      </w:r>
    </w:p>
    <w:p>
      <w:pPr>
        <w:wordWrap w:val="0"/>
        <w:spacing w:line="420" w:lineRule="exact"/>
        <w:ind w:firstLine="480" w:firstLineChars="200"/>
        <w:rPr>
          <w:sz w:val="24"/>
        </w:rPr>
      </w:pPr>
      <w:r>
        <w:rPr>
          <w:sz w:val="24"/>
        </w:rPr>
        <w:t>风电工程包含风力发电机组、</w:t>
      </w:r>
      <w:r>
        <w:rPr>
          <w:rFonts w:hint="eastAsia"/>
          <w:sz w:val="24"/>
        </w:rPr>
        <w:t>检修</w:t>
      </w:r>
      <w:r>
        <w:rPr>
          <w:sz w:val="24"/>
        </w:rPr>
        <w:t>道路和集电线路工程。施工期对自然景观的影响主要是风力发电机组基础、场内道路路基和</w:t>
      </w:r>
      <w:r>
        <w:rPr>
          <w:rFonts w:hint="eastAsia"/>
          <w:sz w:val="24"/>
        </w:rPr>
        <w:t>集电</w:t>
      </w:r>
      <w:r>
        <w:rPr>
          <w:sz w:val="24"/>
        </w:rPr>
        <w:t>线路杆塔基础开挖，对部分中低山山坡和山顶地进行削切产生新的坡面、断面，地貌形态发生了改变，在破坏植被的同时造成土地裸露，增加水土流失量，对局部景观产生干扰，对现有的</w:t>
      </w:r>
      <w:r>
        <w:rPr>
          <w:rFonts w:hint="eastAsia"/>
          <w:sz w:val="24"/>
        </w:rPr>
        <w:t>自然</w:t>
      </w:r>
      <w:r>
        <w:rPr>
          <w:sz w:val="24"/>
        </w:rPr>
        <w:t>风光造成破坏。但由于拟建风电项目施工期短，这些对生物景观的影响会随着施工期的结束而逐渐得到恢复。</w:t>
      </w:r>
    </w:p>
    <w:p>
      <w:pPr>
        <w:numPr>
          <w:ilvl w:val="0"/>
          <w:numId w:val="8"/>
        </w:numPr>
        <w:wordWrap w:val="0"/>
        <w:spacing w:line="420" w:lineRule="exact"/>
        <w:ind w:left="0" w:firstLine="480" w:firstLineChars="200"/>
        <w:rPr>
          <w:sz w:val="24"/>
        </w:rPr>
      </w:pPr>
      <w:r>
        <w:rPr>
          <w:sz w:val="24"/>
        </w:rPr>
        <w:t>项目运营期对景观环境的影响</w:t>
      </w:r>
    </w:p>
    <w:p>
      <w:pPr>
        <w:wordWrap w:val="0"/>
        <w:spacing w:line="420" w:lineRule="exact"/>
        <w:ind w:firstLine="480" w:firstLineChars="200"/>
        <w:rPr>
          <w:sz w:val="24"/>
        </w:rPr>
      </w:pPr>
      <w:r>
        <w:rPr>
          <w:rFonts w:hint="eastAsia"/>
          <w:sz w:val="24"/>
        </w:rPr>
        <w:t>a.</w:t>
      </w:r>
      <w:r>
        <w:rPr>
          <w:sz w:val="24"/>
        </w:rPr>
        <w:t>切割连续的自然景观，空间的连续性和自</w:t>
      </w:r>
      <w:r>
        <w:rPr>
          <w:rFonts w:hint="eastAsia"/>
          <w:sz w:val="24"/>
        </w:rPr>
        <w:t>然</w:t>
      </w:r>
      <w:r>
        <w:rPr>
          <w:sz w:val="24"/>
        </w:rPr>
        <w:t>性被破坏。风电工程尤其是场内道路将在区域景观中划出一条明显的人工印迹，但集电线路的杆塔和线路由于在场区草地的相对尺寸很小比较容易掩饰而变得不太显眼。</w:t>
      </w:r>
    </w:p>
    <w:p>
      <w:pPr>
        <w:wordWrap w:val="0"/>
        <w:spacing w:line="420" w:lineRule="exact"/>
        <w:ind w:firstLine="480" w:firstLineChars="200"/>
        <w:rPr>
          <w:sz w:val="24"/>
        </w:rPr>
      </w:pPr>
      <w:r>
        <w:rPr>
          <w:rFonts w:hint="eastAsia"/>
          <w:sz w:val="24"/>
        </w:rPr>
        <w:t>b.</w:t>
      </w:r>
      <w:r>
        <w:rPr>
          <w:sz w:val="24"/>
        </w:rPr>
        <w:t>风电工程自身景观与景观环境之间形成冲突。作为一座现代化的风电场工程，风电场的场内道路、护坡、集电线路的杆塔以及风力发电机组机位都构成风电工程自身景观，由于这些景观是人为的，若设计或选址不当，会给景观环境带来负面影响。</w:t>
      </w:r>
    </w:p>
    <w:p>
      <w:pPr>
        <w:wordWrap w:val="0"/>
        <w:spacing w:line="420" w:lineRule="exact"/>
        <w:ind w:firstLine="480" w:firstLineChars="200"/>
        <w:rPr>
          <w:sz w:val="24"/>
        </w:rPr>
      </w:pPr>
      <w:r>
        <w:rPr>
          <w:sz w:val="24"/>
        </w:rPr>
        <w:t>（3）景观减缓及保护措施</w:t>
      </w:r>
    </w:p>
    <w:p>
      <w:pPr>
        <w:wordWrap w:val="0"/>
        <w:spacing w:line="420" w:lineRule="exact"/>
        <w:ind w:firstLine="480" w:firstLineChars="200"/>
        <w:rPr>
          <w:sz w:val="24"/>
        </w:rPr>
      </w:pPr>
      <w:r>
        <w:rPr>
          <w:sz w:val="24"/>
        </w:rPr>
        <w:t>针对风电项目的工程特点以及项目在建和运营过程中可能给景观环境造成的影响，为此提出如下减缓及保护措施：</w:t>
      </w:r>
    </w:p>
    <w:p>
      <w:pPr>
        <w:wordWrap w:val="0"/>
        <w:spacing w:line="420" w:lineRule="exact"/>
        <w:ind w:firstLine="480" w:firstLineChars="200"/>
        <w:rPr>
          <w:sz w:val="24"/>
        </w:rPr>
      </w:pPr>
      <w:r>
        <w:rPr>
          <w:rFonts w:hint="eastAsia"/>
          <w:sz w:val="24"/>
        </w:rPr>
        <w:t>a.</w:t>
      </w:r>
      <w:r>
        <w:rPr>
          <w:sz w:val="24"/>
        </w:rPr>
        <w:t>合理选址选线</w:t>
      </w:r>
    </w:p>
    <w:p>
      <w:pPr>
        <w:wordWrap w:val="0"/>
        <w:spacing w:line="420" w:lineRule="exact"/>
        <w:ind w:firstLine="480" w:firstLineChars="200"/>
        <w:rPr>
          <w:sz w:val="24"/>
        </w:rPr>
      </w:pPr>
      <w:r>
        <w:rPr>
          <w:sz w:val="24"/>
        </w:rPr>
        <w:t>针对景观特征采取合理的风力发电机组机位、场内道路和输电线路选线，采取“预防为主”的保护措施。场内道路尽量利用现有公路和拓宽后的上山便道，减少新建道路。要尽量减少对自然环境的破坏，尽量避让现有林地分布较密的地区，选址隐蔽性好、易于恢复或便于今后留给当地村民作农耕通道的地方，减轻对自然景观的潜在影响。</w:t>
      </w:r>
    </w:p>
    <w:p>
      <w:pPr>
        <w:wordWrap w:val="0"/>
        <w:spacing w:line="420" w:lineRule="exact"/>
        <w:ind w:firstLine="480" w:firstLineChars="200"/>
        <w:rPr>
          <w:sz w:val="24"/>
        </w:rPr>
      </w:pPr>
      <w:r>
        <w:rPr>
          <w:rFonts w:hint="eastAsia"/>
          <w:sz w:val="24"/>
        </w:rPr>
        <w:t>b.</w:t>
      </w:r>
      <w:r>
        <w:rPr>
          <w:sz w:val="24"/>
        </w:rPr>
        <w:t>采取景观友好的设计方案</w:t>
      </w:r>
    </w:p>
    <w:p>
      <w:pPr>
        <w:wordWrap w:val="0"/>
        <w:spacing w:line="420" w:lineRule="exact"/>
        <w:ind w:firstLine="480" w:firstLineChars="200"/>
        <w:rPr>
          <w:sz w:val="24"/>
        </w:rPr>
      </w:pPr>
      <w:r>
        <w:rPr>
          <w:sz w:val="24"/>
        </w:rPr>
        <w:t>在设计中要注意风力发电机组塔筒、叶片的外形和色彩对景观环境协调性，与自然山体匹配，使视觉舒适。</w:t>
      </w:r>
    </w:p>
    <w:p>
      <w:pPr>
        <w:wordWrap w:val="0"/>
        <w:spacing w:line="420" w:lineRule="exact"/>
        <w:ind w:firstLine="480" w:firstLineChars="200"/>
        <w:rPr>
          <w:sz w:val="24"/>
        </w:rPr>
      </w:pPr>
      <w:r>
        <w:rPr>
          <w:rFonts w:hint="eastAsia"/>
          <w:sz w:val="24"/>
        </w:rPr>
        <w:t>c</w:t>
      </w:r>
      <w:r>
        <w:rPr>
          <w:sz w:val="24"/>
        </w:rPr>
        <w:t>.景观恢复与植被重建</w:t>
      </w:r>
    </w:p>
    <w:p>
      <w:pPr>
        <w:wordWrap w:val="0"/>
        <w:spacing w:line="420" w:lineRule="exact"/>
        <w:ind w:firstLine="480" w:firstLineChars="200"/>
        <w:rPr>
          <w:sz w:val="24"/>
        </w:rPr>
      </w:pPr>
      <w:r>
        <w:rPr>
          <w:sz w:val="24"/>
        </w:rPr>
        <w:t>对</w:t>
      </w:r>
      <w:r>
        <w:rPr>
          <w:rFonts w:hint="eastAsia"/>
          <w:sz w:val="24"/>
        </w:rPr>
        <w:t>升压站、</w:t>
      </w:r>
      <w:r>
        <w:rPr>
          <w:sz w:val="24"/>
        </w:rPr>
        <w:t>风力发电机组机位、箱变、施工道路和</w:t>
      </w:r>
      <w:r>
        <w:rPr>
          <w:rFonts w:hint="eastAsia"/>
          <w:sz w:val="24"/>
        </w:rPr>
        <w:t>集电</w:t>
      </w:r>
      <w:r>
        <w:rPr>
          <w:sz w:val="24"/>
        </w:rPr>
        <w:t>线路塔杆基础施工中毁损的地貌进行适当修复，对地表重新覆盖土壤，并从景观出发进行绿化美化，可以</w:t>
      </w:r>
      <w:r>
        <w:rPr>
          <w:rFonts w:hint="eastAsia"/>
          <w:sz w:val="24"/>
        </w:rPr>
        <w:t>在</w:t>
      </w:r>
      <w:r>
        <w:rPr>
          <w:sz w:val="24"/>
        </w:rPr>
        <w:t>很大程度上改善工程的景观面貌。绿化美化除考虑视觉景观外，还应考虑增强其保持水土的功能和综合的生态环境功能。</w:t>
      </w:r>
    </w:p>
    <w:p>
      <w:pPr>
        <w:pStyle w:val="3"/>
        <w:wordWrap w:val="0"/>
        <w:spacing w:after="156"/>
        <w:rPr>
          <w:b/>
          <w:bCs/>
          <w:color w:val="auto"/>
        </w:rPr>
      </w:pPr>
      <w:bookmarkStart w:id="302" w:name="_Toc436993126"/>
      <w:bookmarkStart w:id="303" w:name="_Toc479326703"/>
      <w:bookmarkStart w:id="304" w:name="_Toc528854965"/>
      <w:r>
        <w:rPr>
          <w:rFonts w:hint="eastAsia" w:eastAsia="宋体"/>
          <w:b/>
          <w:bCs/>
          <w:color w:val="auto"/>
        </w:rPr>
        <w:t>5、生态影响的防护、恢复措施及替代方案</w:t>
      </w:r>
      <w:bookmarkEnd w:id="302"/>
      <w:bookmarkEnd w:id="303"/>
      <w:bookmarkEnd w:id="304"/>
    </w:p>
    <w:p>
      <w:pPr>
        <w:pStyle w:val="4"/>
        <w:wordWrap w:val="0"/>
        <w:adjustRightInd w:val="0"/>
        <w:snapToGrid w:val="0"/>
        <w:spacing w:before="0" w:after="0" w:line="520" w:lineRule="exact"/>
        <w:ind w:left="617" w:hanging="617" w:hangingChars="256"/>
        <w:rPr>
          <w:b w:val="0"/>
          <w:sz w:val="24"/>
          <w:szCs w:val="24"/>
        </w:rPr>
      </w:pPr>
      <w:bookmarkStart w:id="305" w:name="_Toc436993127"/>
      <w:bookmarkStart w:id="306" w:name="_Toc528854966"/>
      <w:r>
        <w:rPr>
          <w:rFonts w:hint="eastAsia"/>
          <w:sz w:val="24"/>
          <w:szCs w:val="24"/>
        </w:rPr>
        <w:t>5.1  生态影响防护与恢复原则</w:t>
      </w:r>
      <w:bookmarkEnd w:id="305"/>
      <w:bookmarkEnd w:id="306"/>
    </w:p>
    <w:p>
      <w:pPr>
        <w:wordWrap w:val="0"/>
        <w:spacing w:line="420" w:lineRule="exact"/>
        <w:ind w:firstLine="480" w:firstLineChars="200"/>
        <w:rPr>
          <w:sz w:val="24"/>
        </w:rPr>
      </w:pPr>
      <w:r>
        <w:rPr>
          <w:rFonts w:hint="eastAsia"/>
          <w:sz w:val="24"/>
        </w:rPr>
        <w:t>根据风电场工程建设期运营期特点，依据《环境影响评价技术导则—生态影响》（HJ19-2011）的规定，生态影响的防护、恢复与补偿原则为：</w:t>
      </w:r>
    </w:p>
    <w:p>
      <w:pPr>
        <w:wordWrap w:val="0"/>
        <w:spacing w:line="420" w:lineRule="exact"/>
        <w:ind w:firstLine="480" w:firstLineChars="200"/>
        <w:rPr>
          <w:sz w:val="24"/>
        </w:rPr>
      </w:pPr>
      <w:r>
        <w:rPr>
          <w:rFonts w:hint="eastAsia"/>
          <w:sz w:val="24"/>
        </w:rPr>
        <w:t>（1）风电场的建设应从保护生态系统的角度出发，采用“点征”的征地方式，尽量少占土地。</w:t>
      </w:r>
    </w:p>
    <w:p>
      <w:pPr>
        <w:wordWrap w:val="0"/>
        <w:spacing w:line="420" w:lineRule="exact"/>
        <w:ind w:firstLine="480" w:firstLineChars="200"/>
        <w:rPr>
          <w:sz w:val="24"/>
        </w:rPr>
      </w:pPr>
      <w:r>
        <w:rPr>
          <w:rFonts w:hint="eastAsia"/>
          <w:sz w:val="24"/>
        </w:rPr>
        <w:t>（2）对项目建设影响造成的植被破坏，应根据国家和山西省的相关规定进行土地植被恢复和水土保持工作，以恢复生态环境。</w:t>
      </w:r>
    </w:p>
    <w:p>
      <w:pPr>
        <w:wordWrap w:val="0"/>
        <w:spacing w:line="420" w:lineRule="exact"/>
        <w:ind w:firstLine="480" w:firstLineChars="200"/>
        <w:rPr>
          <w:sz w:val="24"/>
        </w:rPr>
      </w:pPr>
      <w:r>
        <w:rPr>
          <w:rFonts w:hint="eastAsia"/>
          <w:sz w:val="24"/>
        </w:rPr>
        <w:t>（3）微观选址及施工前应进一步跟进现场植被分布，灵活选址选线，避免对林地植被的破坏。</w:t>
      </w:r>
    </w:p>
    <w:p>
      <w:pPr>
        <w:wordWrap w:val="0"/>
        <w:spacing w:line="420" w:lineRule="exact"/>
        <w:ind w:firstLine="480" w:firstLineChars="200"/>
        <w:rPr>
          <w:sz w:val="24"/>
        </w:rPr>
      </w:pPr>
      <w:r>
        <w:rPr>
          <w:rFonts w:hint="eastAsia"/>
          <w:sz w:val="24"/>
        </w:rPr>
        <w:t>（4）施工临时占地不可避免占用的林地需采取恢复和补偿措施，可采用原地补偿或异地补偿。</w:t>
      </w:r>
    </w:p>
    <w:p>
      <w:pPr>
        <w:pStyle w:val="4"/>
        <w:wordWrap w:val="0"/>
        <w:adjustRightInd w:val="0"/>
        <w:snapToGrid w:val="0"/>
        <w:spacing w:before="0" w:after="0" w:line="520" w:lineRule="exact"/>
        <w:ind w:left="617" w:hanging="617" w:hangingChars="256"/>
        <w:rPr>
          <w:sz w:val="24"/>
          <w:szCs w:val="24"/>
        </w:rPr>
      </w:pPr>
      <w:bookmarkStart w:id="307" w:name="_Toc436993128"/>
      <w:bookmarkStart w:id="308" w:name="_Toc528854967"/>
      <w:r>
        <w:rPr>
          <w:rFonts w:hint="eastAsia"/>
          <w:sz w:val="24"/>
          <w:szCs w:val="24"/>
        </w:rPr>
        <w:t>5.2  生态影响的防护与恢复措施</w:t>
      </w:r>
      <w:bookmarkEnd w:id="307"/>
      <w:bookmarkEnd w:id="308"/>
    </w:p>
    <w:p>
      <w:pPr>
        <w:wordWrap w:val="0"/>
        <w:adjustRightInd w:val="0"/>
        <w:snapToGrid w:val="0"/>
        <w:spacing w:line="420" w:lineRule="exact"/>
        <w:ind w:firstLine="480" w:firstLineChars="200"/>
        <w:rPr>
          <w:kern w:val="0"/>
          <w:sz w:val="24"/>
        </w:rPr>
      </w:pPr>
      <w:r>
        <w:rPr>
          <w:rFonts w:hint="eastAsia"/>
          <w:kern w:val="0"/>
          <w:sz w:val="24"/>
        </w:rPr>
        <w:t>风电场的生态影响防护与恢复措施主要以施工期为主，并且根据不同的分区不同的水土流失特点以围绕水土保持措施分别加以实施。风电场场址区以绿化为主，同时考虑与工程防护措施的协调，生态恢复与防护措施要围绕风电场存在的水土流失问题，因地制宜，因害设防。本工程主要防治措施有施工临时防护措施和植物措施等。</w:t>
      </w:r>
    </w:p>
    <w:p>
      <w:pPr>
        <w:wordWrap w:val="0"/>
        <w:spacing w:line="440" w:lineRule="exact"/>
        <w:rPr>
          <w:b/>
          <w:sz w:val="24"/>
        </w:rPr>
      </w:pPr>
      <w:r>
        <w:rPr>
          <w:rFonts w:hint="eastAsia"/>
          <w:b/>
          <w:sz w:val="24"/>
        </w:rPr>
        <w:t>5.2.1 占用其他草地植被恢复措施</w:t>
      </w:r>
    </w:p>
    <w:p>
      <w:pPr>
        <w:wordWrap w:val="0"/>
        <w:adjustRightInd w:val="0"/>
        <w:snapToGrid w:val="0"/>
        <w:spacing w:line="420" w:lineRule="exact"/>
        <w:ind w:firstLine="480" w:firstLineChars="200"/>
        <w:rPr>
          <w:kern w:val="0"/>
          <w:sz w:val="24"/>
        </w:rPr>
      </w:pPr>
      <w:r>
        <w:rPr>
          <w:rFonts w:hint="eastAsia"/>
          <w:kern w:val="0"/>
          <w:sz w:val="24"/>
        </w:rPr>
        <w:t>施工前应首先将基础表土剥离，为每处施工扰动区植被恢复创造条件，将基础施工场地的剥离的表土单独集中堆放在施工场地基坑一侧，供植被恢复时表土回复利用。施工结束后，对施工区域裸露地带进行清理、平整，并将剥离的表土回覆。采用当地草籽进行植被恢复。</w:t>
      </w:r>
    </w:p>
    <w:p>
      <w:pPr>
        <w:wordWrap w:val="0"/>
        <w:spacing w:line="440" w:lineRule="exact"/>
        <w:rPr>
          <w:b/>
          <w:sz w:val="24"/>
        </w:rPr>
      </w:pPr>
      <w:r>
        <w:rPr>
          <w:rFonts w:hint="eastAsia"/>
          <w:b/>
          <w:sz w:val="24"/>
        </w:rPr>
        <w:t>5.2.2 占用林地的恢复及补偿措施</w:t>
      </w:r>
    </w:p>
    <w:p>
      <w:pPr>
        <w:wordWrap w:val="0"/>
        <w:adjustRightInd w:val="0"/>
        <w:snapToGrid w:val="0"/>
        <w:spacing w:line="420" w:lineRule="exact"/>
        <w:ind w:firstLine="480" w:firstLineChars="200"/>
        <w:rPr>
          <w:kern w:val="0"/>
          <w:sz w:val="24"/>
        </w:rPr>
      </w:pPr>
      <w:r>
        <w:rPr>
          <w:rFonts w:hint="eastAsia"/>
          <w:kern w:val="0"/>
          <w:sz w:val="24"/>
        </w:rPr>
        <w:t>本项目施工及检修道路的建设需要占用林地，根据《中华人民共和国森林法》，依照有关土地管理的法律、行政法规办理建设用地审批手续，并由用地单位依照国务院有关规定缴纳森林植被恢复费。森林植被恢复费专款专用，由林业主管部门依照有关规定统一安排植树造林，恢复森林植被，植树造林面积不得少于因占用、征用林地而减少的森林植被面积。</w:t>
      </w:r>
    </w:p>
    <w:p>
      <w:pPr>
        <w:autoSpaceDE w:val="0"/>
        <w:autoSpaceDN w:val="0"/>
        <w:adjustRightInd w:val="0"/>
        <w:ind w:firstLine="480" w:firstLineChars="200"/>
        <w:rPr>
          <w:rFonts w:ascii="宋体" w:cs="宋体"/>
          <w:kern w:val="0"/>
          <w:sz w:val="24"/>
        </w:rPr>
      </w:pPr>
      <w:r>
        <w:rPr>
          <w:rFonts w:hint="eastAsia" w:ascii="宋体" w:cs="宋体"/>
          <w:kern w:val="0"/>
          <w:sz w:val="24"/>
        </w:rPr>
        <w:t>本项目项目建设将占用林地，因此在工程建设中应高度重视对森林植被的保护，加强对评价区域现有森林的有效保护。为此，有必要采取以下措施：</w:t>
      </w:r>
    </w:p>
    <w:p>
      <w:pPr>
        <w:wordWrap w:val="0"/>
        <w:adjustRightInd w:val="0"/>
        <w:snapToGrid w:val="0"/>
        <w:spacing w:line="420" w:lineRule="exact"/>
        <w:ind w:firstLine="480" w:firstLineChars="200"/>
        <w:rPr>
          <w:rFonts w:ascii="宋体" w:cs="宋体"/>
          <w:kern w:val="0"/>
          <w:sz w:val="24"/>
        </w:rPr>
      </w:pPr>
      <w:r>
        <w:rPr>
          <w:rFonts w:hint="eastAsia" w:ascii="宋体" w:hAnsi="宋体" w:cs="宋体"/>
          <w:kern w:val="0"/>
          <w:sz w:val="24"/>
        </w:rPr>
        <w:t>①</w:t>
      </w:r>
      <w:r>
        <w:rPr>
          <w:rFonts w:hint="eastAsia" w:ascii="宋体" w:cs="宋体"/>
          <w:kern w:val="0"/>
          <w:sz w:val="24"/>
        </w:rPr>
        <w:t>建设单位应当依照法律法规的规定办理建设用地审批手续，与被使用林地的单位应签订使用林地补偿协议。建设项目临时占用林地期满后，用地单位应当在一年内恢复被使用林地的林业生产条件。</w:t>
      </w:r>
    </w:p>
    <w:p>
      <w:pPr>
        <w:wordWrap w:val="0"/>
        <w:adjustRightInd w:val="0"/>
        <w:snapToGrid w:val="0"/>
        <w:spacing w:line="420" w:lineRule="exact"/>
        <w:ind w:firstLine="480" w:firstLineChars="200"/>
        <w:rPr>
          <w:kern w:val="0"/>
          <w:sz w:val="24"/>
        </w:rPr>
      </w:pPr>
      <w:r>
        <w:rPr>
          <w:rFonts w:hint="eastAsia" w:ascii="宋体" w:hAnsi="宋体"/>
          <w:kern w:val="0"/>
          <w:sz w:val="24"/>
        </w:rPr>
        <w:t>②</w:t>
      </w:r>
      <w:r>
        <w:rPr>
          <w:rFonts w:hint="eastAsia"/>
          <w:kern w:val="0"/>
          <w:sz w:val="24"/>
        </w:rPr>
        <w:t>建设单位在施工期应尽量减少工程施工对植被的破坏，不得随意砍伐树木，坚决制止评价区域森林资源的滥砍乱伐，保护和培育现有森林，防止利用工程建设之机大肆砍伐林木；在工程施工和公路修建等人为活动中都应该重视对森林资源的保护。结束后对临时占地范围内的林地进行等质等量的恢复，采用当地植被类型进行生态恢复，并做好后期的维护，保障成活率。</w:t>
      </w:r>
    </w:p>
    <w:p>
      <w:pPr>
        <w:wordWrap w:val="0"/>
        <w:adjustRightInd w:val="0"/>
        <w:snapToGrid w:val="0"/>
        <w:spacing w:line="420" w:lineRule="exact"/>
        <w:ind w:firstLine="480" w:firstLineChars="200"/>
        <w:rPr>
          <w:kern w:val="0"/>
          <w:sz w:val="24"/>
        </w:rPr>
      </w:pPr>
      <w:r>
        <w:rPr>
          <w:rFonts w:hint="eastAsia" w:ascii="宋体" w:hAnsi="宋体"/>
          <w:kern w:val="0"/>
          <w:sz w:val="24"/>
        </w:rPr>
        <w:t>③</w:t>
      </w:r>
      <w:r>
        <w:rPr>
          <w:rFonts w:hint="eastAsia"/>
          <w:kern w:val="0"/>
          <w:sz w:val="24"/>
        </w:rPr>
        <w:t>为保护风电场内的植被资源，减缓对场内生态植被的破坏，除少量高大乔木无法移植外，其他乔灌木均可进行移植，而不进行砍伐。具体作法是在春季及秋季进行剥离表土施工时，可将征占地内需砍伐的乔灌木进行修枝后挖起，集中运至表土堆放处进行临时假植，待生态恢复施工时作为定植苗木使用。保证乔灌木移植的成活率，最大限度地保护生态植被。</w:t>
      </w:r>
    </w:p>
    <w:p>
      <w:pPr>
        <w:wordWrap w:val="0"/>
        <w:adjustRightInd w:val="0"/>
        <w:snapToGrid w:val="0"/>
        <w:spacing w:line="420" w:lineRule="exact"/>
        <w:ind w:firstLine="480" w:firstLineChars="200"/>
        <w:rPr>
          <w:kern w:val="0"/>
          <w:sz w:val="24"/>
        </w:rPr>
      </w:pPr>
      <w:r>
        <w:rPr>
          <w:rFonts w:hint="eastAsia" w:ascii="宋体" w:hAnsi="宋体"/>
          <w:kern w:val="0"/>
          <w:sz w:val="24"/>
        </w:rPr>
        <w:t>④</w:t>
      </w:r>
      <w:r>
        <w:rPr>
          <w:rFonts w:hint="eastAsia"/>
          <w:kern w:val="0"/>
          <w:sz w:val="24"/>
        </w:rPr>
        <w:t>合理保护与利用风电场征占地范围内的植被，不仅符合环境保护的要求，还符合生态恢复中“以乡土物种为主”的原则，避免引入外来物种，降低了苗木购置费用，可取得经济有效的生态恢复效果。</w:t>
      </w:r>
    </w:p>
    <w:p>
      <w:pPr>
        <w:wordWrap w:val="0"/>
        <w:adjustRightInd w:val="0"/>
        <w:snapToGrid w:val="0"/>
        <w:spacing w:line="420" w:lineRule="exact"/>
        <w:ind w:firstLine="480" w:firstLineChars="200"/>
        <w:rPr>
          <w:sz w:val="24"/>
        </w:rPr>
      </w:pPr>
      <w:r>
        <w:rPr>
          <w:rFonts w:hint="eastAsia"/>
          <w:kern w:val="0"/>
          <w:sz w:val="24"/>
        </w:rPr>
        <w:t>本工程的生态防护与恢复措施体系分为</w:t>
      </w:r>
      <w:r>
        <w:rPr>
          <w:rFonts w:hint="eastAsia"/>
          <w:sz w:val="24"/>
        </w:rPr>
        <w:t>4个防治区，即风力发电机组箱变防治区、施工生产生活防治区、集电线路防治区和交通道路防治区。根据本工程特点，结合区域自然条件，本工程采取的主要防治措施包括工程措施、植物措施和施工临时防护措施等。本项目各防治区植被恢复面积及具体恢复措施见表4，各防治区典型生态保护措施平面布置见附图15。</w:t>
      </w:r>
    </w:p>
    <w:p>
      <w:pPr>
        <w:pStyle w:val="4"/>
        <w:wordWrap w:val="0"/>
        <w:adjustRightInd w:val="0"/>
        <w:snapToGrid w:val="0"/>
        <w:spacing w:before="0" w:after="0" w:line="520" w:lineRule="exact"/>
        <w:ind w:left="617" w:hanging="617" w:hangingChars="256"/>
      </w:pPr>
      <w:bookmarkStart w:id="309" w:name="_Toc452540143"/>
      <w:bookmarkStart w:id="310" w:name="_Toc528854968"/>
      <w:r>
        <w:rPr>
          <w:rFonts w:hint="eastAsia"/>
          <w:sz w:val="24"/>
          <w:szCs w:val="24"/>
        </w:rPr>
        <w:t>5.3  生态环境管理</w:t>
      </w:r>
      <w:bookmarkEnd w:id="309"/>
      <w:bookmarkEnd w:id="310"/>
    </w:p>
    <w:p>
      <w:pPr>
        <w:wordWrap w:val="0"/>
        <w:adjustRightInd w:val="0"/>
        <w:snapToGrid w:val="0"/>
        <w:spacing w:line="420" w:lineRule="exact"/>
        <w:ind w:firstLine="480" w:firstLineChars="200"/>
        <w:rPr>
          <w:kern w:val="0"/>
          <w:sz w:val="24"/>
        </w:rPr>
      </w:pPr>
      <w:r>
        <w:rPr>
          <w:kern w:val="0"/>
          <w:sz w:val="24"/>
        </w:rPr>
        <w:t>生态环境管理是政府环境保护机构依据国家</w:t>
      </w:r>
      <w:r>
        <w:rPr>
          <w:rFonts w:hint="eastAsia"/>
          <w:kern w:val="0"/>
          <w:sz w:val="24"/>
        </w:rPr>
        <w:t>和</w:t>
      </w:r>
      <w:r>
        <w:rPr>
          <w:kern w:val="0"/>
          <w:sz w:val="24"/>
        </w:rPr>
        <w:t>地方制定的有关自然资源与生态保护的法律、法规、条例、技术规范、标准等所进行的技术含量很高的行政管理工作。对自然资源开发建设项目的生态影响实施有效管理是日常工作的一个重要组成部分。因此，根据风电项目建设的性质、规模、生态影响的程度和范围、项目所在地的自然、社会、经济等一系列因素、提出的生态防护与恢复措施等，本评价提出生态管理建议如下：</w:t>
      </w:r>
    </w:p>
    <w:p>
      <w:pPr>
        <w:wordWrap w:val="0"/>
        <w:adjustRightInd w:val="0"/>
        <w:snapToGrid w:val="0"/>
        <w:spacing w:line="420" w:lineRule="exact"/>
        <w:ind w:firstLine="360" w:firstLineChars="150"/>
        <w:rPr>
          <w:kern w:val="0"/>
          <w:sz w:val="24"/>
        </w:rPr>
      </w:pPr>
      <w:r>
        <w:rPr>
          <w:kern w:val="0"/>
          <w:sz w:val="24"/>
        </w:rPr>
        <w:t>（1）生态环境管理目标</w:t>
      </w:r>
    </w:p>
    <w:p>
      <w:pPr>
        <w:wordWrap w:val="0"/>
        <w:adjustRightInd w:val="0"/>
        <w:snapToGrid w:val="0"/>
        <w:spacing w:line="420" w:lineRule="exact"/>
        <w:ind w:firstLine="480" w:firstLineChars="200"/>
        <w:rPr>
          <w:kern w:val="0"/>
          <w:sz w:val="24"/>
        </w:rPr>
      </w:pPr>
      <w:r>
        <w:rPr>
          <w:rFonts w:hint="eastAsia" w:cs="宋体"/>
          <w:kern w:val="0"/>
          <w:sz w:val="24"/>
        </w:rPr>
        <w:t>①</w:t>
      </w:r>
      <w:r>
        <w:rPr>
          <w:kern w:val="0"/>
          <w:sz w:val="24"/>
        </w:rPr>
        <w:t>防止风电场范围内生境进一步破碎化和岛屿化。</w:t>
      </w:r>
    </w:p>
    <w:p>
      <w:pPr>
        <w:wordWrap w:val="0"/>
        <w:adjustRightInd w:val="0"/>
        <w:snapToGrid w:val="0"/>
        <w:spacing w:line="420" w:lineRule="exact"/>
        <w:ind w:firstLine="480" w:firstLineChars="200"/>
        <w:rPr>
          <w:sz w:val="24"/>
        </w:rPr>
      </w:pPr>
      <w:r>
        <w:rPr>
          <w:rFonts w:hint="eastAsia" w:cs="宋体"/>
          <w:kern w:val="0"/>
          <w:sz w:val="24"/>
        </w:rPr>
        <w:t>②</w:t>
      </w:r>
      <w:r>
        <w:rPr>
          <w:kern w:val="0"/>
          <w:sz w:val="24"/>
        </w:rPr>
        <w:t>防止区域自然体系生产能力进一步降低。</w:t>
      </w:r>
    </w:p>
    <w:p>
      <w:pPr>
        <w:wordWrap w:val="0"/>
        <w:adjustRightInd w:val="0"/>
        <w:snapToGrid w:val="0"/>
        <w:spacing w:line="420" w:lineRule="exact"/>
        <w:ind w:firstLine="480" w:firstLineChars="200"/>
        <w:rPr>
          <w:sz w:val="24"/>
        </w:rPr>
      </w:pPr>
      <w:r>
        <w:rPr>
          <w:rFonts w:hint="eastAsia" w:cs="宋体"/>
          <w:kern w:val="0"/>
          <w:sz w:val="24"/>
        </w:rPr>
        <w:t>③</w:t>
      </w:r>
      <w:r>
        <w:rPr>
          <w:kern w:val="0"/>
          <w:sz w:val="24"/>
        </w:rPr>
        <w:t>防止水土流失的日趋严重。</w:t>
      </w:r>
    </w:p>
    <w:p>
      <w:pPr>
        <w:wordWrap w:val="0"/>
        <w:adjustRightInd w:val="0"/>
        <w:snapToGrid w:val="0"/>
        <w:spacing w:line="420" w:lineRule="exact"/>
        <w:ind w:firstLine="480" w:firstLineChars="200"/>
        <w:rPr>
          <w:sz w:val="24"/>
        </w:rPr>
      </w:pPr>
      <w:r>
        <w:rPr>
          <w:rFonts w:hint="eastAsia" w:cs="宋体"/>
          <w:kern w:val="0"/>
          <w:sz w:val="24"/>
        </w:rPr>
        <w:t>④</w:t>
      </w:r>
      <w:r>
        <w:rPr>
          <w:kern w:val="0"/>
          <w:sz w:val="24"/>
        </w:rPr>
        <w:t>严格执行施工破坏的植被恢复措施，避免带来新的生态破坏和损失。</w:t>
      </w:r>
    </w:p>
    <w:p>
      <w:pPr>
        <w:wordWrap w:val="0"/>
        <w:adjustRightInd w:val="0"/>
        <w:snapToGrid w:val="0"/>
        <w:spacing w:line="420" w:lineRule="exact"/>
        <w:ind w:firstLine="480" w:firstLineChars="200"/>
        <w:rPr>
          <w:sz w:val="24"/>
        </w:rPr>
      </w:pPr>
      <w:r>
        <w:rPr>
          <w:rFonts w:hint="eastAsia" w:cs="宋体"/>
          <w:kern w:val="0"/>
          <w:sz w:val="24"/>
        </w:rPr>
        <w:t>⑤</w:t>
      </w:r>
      <w:r>
        <w:rPr>
          <w:kern w:val="0"/>
          <w:sz w:val="24"/>
        </w:rPr>
        <w:t>风电场建成后植被覆盖率不低于现状。</w:t>
      </w:r>
    </w:p>
    <w:p>
      <w:pPr>
        <w:wordWrap w:val="0"/>
        <w:adjustRightInd w:val="0"/>
        <w:snapToGrid w:val="0"/>
        <w:spacing w:line="420" w:lineRule="exact"/>
        <w:ind w:firstLine="360" w:firstLineChars="150"/>
        <w:rPr>
          <w:kern w:val="0"/>
          <w:sz w:val="24"/>
        </w:rPr>
      </w:pPr>
      <w:r>
        <w:rPr>
          <w:kern w:val="0"/>
          <w:sz w:val="24"/>
        </w:rPr>
        <w:t>（2）生态环境管理措施的落实</w:t>
      </w:r>
    </w:p>
    <w:p>
      <w:pPr>
        <w:wordWrap w:val="0"/>
        <w:adjustRightInd w:val="0"/>
        <w:snapToGrid w:val="0"/>
        <w:spacing w:line="420" w:lineRule="exact"/>
        <w:ind w:firstLine="120" w:firstLineChars="50"/>
        <w:rPr>
          <w:kern w:val="0"/>
          <w:sz w:val="24"/>
        </w:rPr>
      </w:pPr>
      <w:r>
        <w:rPr>
          <w:kern w:val="0"/>
          <w:sz w:val="24"/>
        </w:rPr>
        <w:t xml:space="preserve">   </w:t>
      </w:r>
      <w:r>
        <w:rPr>
          <w:rFonts w:hint="eastAsia" w:cs="宋体"/>
          <w:kern w:val="0"/>
          <w:sz w:val="24"/>
        </w:rPr>
        <w:t>①</w:t>
      </w:r>
      <w:r>
        <w:rPr>
          <w:kern w:val="0"/>
          <w:sz w:val="24"/>
        </w:rPr>
        <w:t>建立高效、务实的生态环境管理体系，并接受行政主管部门的监督与管理。</w:t>
      </w:r>
    </w:p>
    <w:p>
      <w:pPr>
        <w:wordWrap w:val="0"/>
        <w:adjustRightInd w:val="0"/>
        <w:snapToGrid w:val="0"/>
        <w:spacing w:line="420" w:lineRule="exact"/>
        <w:ind w:firstLine="480" w:firstLineChars="200"/>
        <w:rPr>
          <w:sz w:val="24"/>
        </w:rPr>
      </w:pPr>
      <w:r>
        <w:rPr>
          <w:rFonts w:hint="eastAsia" w:cs="宋体"/>
          <w:sz w:val="24"/>
        </w:rPr>
        <w:t>②</w:t>
      </w:r>
      <w:r>
        <w:rPr>
          <w:sz w:val="24"/>
        </w:rPr>
        <w:t>建设单位于工程监理单位一起确保工程进程中生态环境保护工作的顺利进行，并及时沟通、相互协调。</w:t>
      </w:r>
    </w:p>
    <w:p>
      <w:pPr>
        <w:wordWrap w:val="0"/>
        <w:adjustRightInd w:val="0"/>
        <w:snapToGrid w:val="0"/>
        <w:spacing w:line="420" w:lineRule="exact"/>
        <w:ind w:firstLine="480" w:firstLineChars="200"/>
        <w:rPr>
          <w:sz w:val="24"/>
        </w:rPr>
      </w:pPr>
      <w:r>
        <w:rPr>
          <w:rFonts w:hint="eastAsia" w:cs="宋体"/>
          <w:sz w:val="24"/>
        </w:rPr>
        <w:t>③</w:t>
      </w:r>
      <w:r>
        <w:rPr>
          <w:sz w:val="24"/>
        </w:rPr>
        <w:t>施工单位应合理进行施工布置，精心组织施工管理，合理安排施工季节和作业时间，优化施工方案</w:t>
      </w:r>
      <w:r>
        <w:rPr>
          <w:rFonts w:hint="eastAsia"/>
          <w:sz w:val="24"/>
        </w:rPr>
        <w:t>；严格控制施工范围，减少对林木的破坏，</w:t>
      </w:r>
      <w:r>
        <w:rPr>
          <w:sz w:val="24"/>
        </w:rPr>
        <w:t>减少废弃土石方的临时堆放，并尽量避免在雨季进行大量</w:t>
      </w:r>
      <w:r>
        <w:rPr>
          <w:rFonts w:hint="eastAsia"/>
          <w:sz w:val="24"/>
        </w:rPr>
        <w:t>动</w:t>
      </w:r>
      <w:r>
        <w:rPr>
          <w:sz w:val="24"/>
        </w:rPr>
        <w:t>土和开挖工程，有效减少区域水土流失</w:t>
      </w:r>
      <w:r>
        <w:rPr>
          <w:rFonts w:hint="eastAsia"/>
          <w:sz w:val="24"/>
        </w:rPr>
        <w:t>；</w:t>
      </w:r>
      <w:r>
        <w:rPr>
          <w:sz w:val="24"/>
        </w:rPr>
        <w:t>并教育施工人员爱护施工场地周围的一草一木，从而尽可能的减小对景观环境的破坏，</w:t>
      </w:r>
      <w:r>
        <w:rPr>
          <w:rFonts w:hint="eastAsia"/>
          <w:sz w:val="24"/>
        </w:rPr>
        <w:t>扩建</w:t>
      </w:r>
      <w:r>
        <w:rPr>
          <w:sz w:val="24"/>
        </w:rPr>
        <w:t>施工道路时，要尽量减少对自然环境的破坏，选择隐蔽性好、易于恢复或便于今后留给当地村民作为农耕通道的地方，减轻对自然景观的潜在影响。</w:t>
      </w:r>
    </w:p>
    <w:p>
      <w:pPr>
        <w:wordWrap w:val="0"/>
        <w:spacing w:line="440" w:lineRule="exact"/>
        <w:ind w:firstLine="480" w:firstLineChars="200"/>
        <w:rPr>
          <w:sz w:val="24"/>
        </w:rPr>
      </w:pPr>
    </w:p>
    <w:p>
      <w:pPr>
        <w:wordWrap w:val="0"/>
        <w:adjustRightInd w:val="0"/>
        <w:snapToGrid w:val="0"/>
        <w:spacing w:line="440" w:lineRule="exact"/>
        <w:ind w:firstLine="480" w:firstLineChars="200"/>
        <w:rPr>
          <w:sz w:val="24"/>
        </w:rPr>
        <w:sectPr>
          <w:pgSz w:w="11906" w:h="16838"/>
          <w:pgMar w:top="1418" w:right="1418" w:bottom="1418" w:left="1418" w:header="851" w:footer="992" w:gutter="0"/>
          <w:pgNumType w:start="1"/>
          <w:cols w:space="720" w:num="1"/>
          <w:docGrid w:type="lines" w:linePitch="312"/>
        </w:sectPr>
      </w:pPr>
    </w:p>
    <w:p>
      <w:pPr>
        <w:adjustRightInd w:val="0"/>
        <w:snapToGrid w:val="0"/>
        <w:spacing w:line="440" w:lineRule="exact"/>
        <w:jc w:val="center"/>
        <w:rPr>
          <w:kern w:val="32"/>
          <w:sz w:val="24"/>
        </w:rPr>
      </w:pPr>
      <w:r>
        <w:rPr>
          <w:rFonts w:hint="eastAsia"/>
          <w:kern w:val="32"/>
          <w:sz w:val="24"/>
        </w:rPr>
        <w:t>表8（A）    风力发电机组机组防治区生态防护与恢复措施一览表</w:t>
      </w:r>
    </w:p>
    <w:tbl>
      <w:tblPr>
        <w:tblW w:w="1417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
      <w:tblGrid>
        <w:gridCol w:w="1058"/>
        <w:gridCol w:w="1562"/>
        <w:gridCol w:w="1624"/>
        <w:gridCol w:w="1695"/>
        <w:gridCol w:w="6852"/>
        <w:gridCol w:w="1383"/>
      </w:tblGrid>
      <w:tr>
        <w:tc>
          <w:tcPr>
            <w:tcW w:w="1058" w:type="dxa"/>
            <w:vAlign w:val="center"/>
          </w:tcPr>
          <w:p>
            <w:pPr>
              <w:wordWrap w:val="0"/>
              <w:jc w:val="center"/>
            </w:pPr>
            <w:r>
              <w:t>防治区域</w:t>
            </w:r>
          </w:p>
        </w:tc>
        <w:tc>
          <w:tcPr>
            <w:tcW w:w="1562" w:type="dxa"/>
            <w:vAlign w:val="center"/>
          </w:tcPr>
          <w:p>
            <w:pPr>
              <w:wordWrap w:val="0"/>
              <w:jc w:val="center"/>
            </w:pPr>
            <w:r>
              <w:t>林草植被恢复率（%）</w:t>
            </w:r>
          </w:p>
        </w:tc>
        <w:tc>
          <w:tcPr>
            <w:tcW w:w="1624" w:type="dxa"/>
            <w:vAlign w:val="center"/>
          </w:tcPr>
          <w:p>
            <w:pPr>
              <w:wordWrap w:val="0"/>
              <w:jc w:val="center"/>
            </w:pPr>
            <w:r>
              <w:t>植被恢复面积（m</w:t>
            </w:r>
            <w:r>
              <w:rPr>
                <w:vertAlign w:val="superscript"/>
              </w:rPr>
              <w:t>2</w:t>
            </w:r>
            <w:r>
              <w:t>）</w:t>
            </w:r>
          </w:p>
        </w:tc>
        <w:tc>
          <w:tcPr>
            <w:tcW w:w="1695" w:type="dxa"/>
            <w:vAlign w:val="center"/>
          </w:tcPr>
          <w:p>
            <w:pPr>
              <w:wordWrap w:val="0"/>
              <w:jc w:val="center"/>
            </w:pPr>
            <w:r>
              <w:t>生态环境特征</w:t>
            </w:r>
          </w:p>
        </w:tc>
        <w:tc>
          <w:tcPr>
            <w:tcW w:w="6852" w:type="dxa"/>
            <w:vAlign w:val="center"/>
          </w:tcPr>
          <w:p>
            <w:pPr>
              <w:wordWrap w:val="0"/>
              <w:jc w:val="center"/>
            </w:pPr>
            <w:r>
              <w:t>生态防护与恢复措施</w:t>
            </w:r>
          </w:p>
        </w:tc>
        <w:tc>
          <w:tcPr>
            <w:tcW w:w="1383" w:type="dxa"/>
            <w:vAlign w:val="center"/>
          </w:tcPr>
          <w:p>
            <w:pPr>
              <w:wordWrap w:val="0"/>
              <w:jc w:val="center"/>
            </w:pPr>
            <w:r>
              <w:t>投资</w:t>
            </w:r>
          </w:p>
          <w:p>
            <w:pPr>
              <w:wordWrap w:val="0"/>
              <w:jc w:val="center"/>
            </w:pPr>
            <w:r>
              <w:t>（万元）</w:t>
            </w:r>
          </w:p>
        </w:tc>
      </w:tr>
      <w:tr>
        <w:trPr>
          <w:trHeight w:val="5272" w:hRule="atLeast"/>
        </w:trPr>
        <w:tc>
          <w:tcPr>
            <w:tcW w:w="1058" w:type="dxa"/>
            <w:vAlign w:val="center"/>
          </w:tcPr>
          <w:p>
            <w:pPr>
              <w:wordWrap w:val="0"/>
              <w:jc w:val="center"/>
            </w:pPr>
            <w:r>
              <w:rPr>
                <w:rFonts w:hint="eastAsia"/>
              </w:rPr>
              <w:t>风电机组</w:t>
            </w:r>
          </w:p>
          <w:p>
            <w:pPr>
              <w:wordWrap w:val="0"/>
              <w:jc w:val="center"/>
            </w:pPr>
            <w:r>
              <w:t>区</w:t>
            </w:r>
            <w:r>
              <w:rPr>
                <w:rFonts w:hint="eastAsia"/>
              </w:rPr>
              <w:t>（包含箱变区）</w:t>
            </w:r>
          </w:p>
        </w:tc>
        <w:tc>
          <w:tcPr>
            <w:tcW w:w="1562" w:type="dxa"/>
            <w:vAlign w:val="center"/>
          </w:tcPr>
          <w:p>
            <w:pPr>
              <w:wordWrap w:val="0"/>
              <w:jc w:val="center"/>
            </w:pPr>
            <w:r>
              <w:t>97</w:t>
            </w:r>
          </w:p>
        </w:tc>
        <w:tc>
          <w:tcPr>
            <w:tcW w:w="1624" w:type="dxa"/>
            <w:vAlign w:val="center"/>
          </w:tcPr>
          <w:p>
            <w:pPr>
              <w:wordWrap w:val="0"/>
              <w:jc w:val="center"/>
            </w:pPr>
            <w:r>
              <w:rPr>
                <w:rFonts w:hint="eastAsia"/>
              </w:rPr>
              <w:t>4944m</w:t>
            </w:r>
            <w:r>
              <w:rPr>
                <w:rFonts w:hint="eastAsia"/>
                <w:vertAlign w:val="superscript"/>
              </w:rPr>
              <w:t>2</w:t>
            </w:r>
          </w:p>
        </w:tc>
        <w:tc>
          <w:tcPr>
            <w:tcW w:w="1695" w:type="dxa"/>
            <w:vAlign w:val="center"/>
          </w:tcPr>
          <w:p>
            <w:pPr>
              <w:wordWrap w:val="0"/>
              <w:jc w:val="center"/>
            </w:pPr>
            <w:r>
              <w:t>临时占地类型主要为</w:t>
            </w:r>
            <w:r>
              <w:rPr>
                <w:rFonts w:hint="eastAsia"/>
              </w:rPr>
              <w:t>其它</w:t>
            </w:r>
            <w:r>
              <w:t>草地。</w:t>
            </w:r>
          </w:p>
        </w:tc>
        <w:tc>
          <w:tcPr>
            <w:tcW w:w="6852" w:type="dxa"/>
            <w:vAlign w:val="center"/>
          </w:tcPr>
          <w:p>
            <w:pPr>
              <w:wordWrap w:val="0"/>
              <w:ind w:firstLine="420" w:firstLineChars="200"/>
              <w:jc w:val="center"/>
            </w:pPr>
            <w:r>
              <w:rPr>
                <w:u w:val="single"/>
              </w:rPr>
              <w:t>表土剥离：</w:t>
            </w:r>
            <w:r>
              <w:t>为了合理保护与利用土地资源，为后期植被</w:t>
            </w:r>
            <w:r>
              <w:rPr>
                <w:rFonts w:hint="eastAsia"/>
              </w:rPr>
              <w:t>恢复</w:t>
            </w:r>
            <w:r>
              <w:t>创造条件，施工前对风力发电机组吊装平台（含箱变）区域进行表土剥离，剥离厚度</w:t>
            </w:r>
            <w:r>
              <w:rPr>
                <w:rFonts w:hint="eastAsia"/>
              </w:rPr>
              <w:t>15</w:t>
            </w:r>
            <w:r>
              <w:t>cm。施工结束后将剥离土还原作为植被恢复及绿化用土，保护地表熟土资源不流失，不浪费。工程建设应与植被恢复同步进行，尽量做到挖完一片，覆土恢复一片，绿化改造一片，</w:t>
            </w:r>
            <w:r>
              <w:rPr>
                <w:rFonts w:hint="eastAsia"/>
              </w:rPr>
              <w:t>防止</w:t>
            </w:r>
            <w:r>
              <w:t>开挖造成大面积裸露面，导致严重的水土流失。</w:t>
            </w:r>
          </w:p>
          <w:p>
            <w:pPr>
              <w:wordWrap w:val="0"/>
              <w:ind w:firstLine="420" w:firstLineChars="200"/>
              <w:jc w:val="center"/>
            </w:pPr>
            <w:r>
              <w:rPr>
                <w:u w:val="single"/>
              </w:rPr>
              <w:t>临时措施</w:t>
            </w:r>
            <w:r>
              <w:t>：临时防护措施主要是针对临时堆放的土方，基础开挖所产生的临时堆放的土石方不能随意堆放，否则会造成大规模的水土流失。临时堆放的土石方一定要就近集中堆放，基础灌注完成后立即压实回填，多余的土石方用于填筑检修道路的路基和平台平整。基础土方临时堆土表面采取拍实处理并在表面遮盖防尘网，以防治在强降雨天气或大风天气下发生水力侵蚀和风力侵蚀。严禁顺坡倾倒土石等废渣。</w:t>
            </w:r>
          </w:p>
          <w:p>
            <w:pPr>
              <w:wordWrap w:val="0"/>
              <w:ind w:firstLine="420" w:firstLineChars="200"/>
              <w:jc w:val="center"/>
            </w:pPr>
            <w:r>
              <w:rPr>
                <w:u w:val="single"/>
              </w:rPr>
              <w:t>植物措施</w:t>
            </w:r>
            <w:r>
              <w:t>：</w:t>
            </w:r>
            <w:r>
              <w:rPr>
                <w:rFonts w:hint="eastAsia"/>
              </w:rPr>
              <w:t>根据以往经验，吊装平台不易种植乔灌木等作物，因此本工程</w:t>
            </w:r>
            <w:r>
              <w:t>施工结束后对整治后的地表裸露区域先回填施工前剥离的表土，然后</w:t>
            </w:r>
            <w:r>
              <w:rPr>
                <w:rFonts w:hint="eastAsia"/>
              </w:rPr>
              <w:t>采取</w:t>
            </w:r>
            <w:r>
              <w:t>播撒草籽</w:t>
            </w:r>
            <w:r>
              <w:rPr>
                <w:rFonts w:hint="eastAsia"/>
              </w:rPr>
              <w:t>的方式对风力发电机组—箱变区</w:t>
            </w:r>
            <w:r>
              <w:t>进行绿化恢复</w:t>
            </w:r>
            <w:r>
              <w:rPr>
                <w:rFonts w:hint="eastAsia"/>
                <w:szCs w:val="21"/>
              </w:rPr>
              <w:t>，</w:t>
            </w:r>
            <w:r>
              <w:rPr>
                <w:bCs/>
                <w:szCs w:val="21"/>
              </w:rPr>
              <w:t>吊装场地植被恢复</w:t>
            </w:r>
            <w:r>
              <w:rPr>
                <w:rFonts w:hint="eastAsia"/>
                <w:bCs/>
                <w:szCs w:val="21"/>
              </w:rPr>
              <w:t>4944m</w:t>
            </w:r>
            <w:r>
              <w:rPr>
                <w:rFonts w:hint="eastAsia"/>
                <w:bCs/>
                <w:szCs w:val="21"/>
                <w:vertAlign w:val="superscript"/>
              </w:rPr>
              <w:t>2</w:t>
            </w:r>
            <w:r>
              <w:rPr>
                <w:bCs/>
                <w:szCs w:val="21"/>
              </w:rPr>
              <w:t>，撒播</w:t>
            </w:r>
            <w:r>
              <w:rPr>
                <w:rFonts w:hint="eastAsia"/>
                <w:bCs/>
                <w:szCs w:val="21"/>
              </w:rPr>
              <w:t>草籽26.5</w:t>
            </w:r>
            <w:r>
              <w:rPr>
                <w:bCs/>
                <w:szCs w:val="21"/>
              </w:rPr>
              <w:t>kg</w:t>
            </w:r>
            <w:r>
              <w:rPr>
                <w:szCs w:val="21"/>
              </w:rPr>
              <w:t>。</w:t>
            </w:r>
          </w:p>
        </w:tc>
        <w:tc>
          <w:tcPr>
            <w:tcW w:w="1383" w:type="dxa"/>
            <w:vAlign w:val="center"/>
          </w:tcPr>
          <w:p>
            <w:pPr>
              <w:wordWrap w:val="0"/>
              <w:jc w:val="center"/>
            </w:pPr>
            <w:r>
              <w:rPr>
                <w:rFonts w:hint="eastAsia"/>
              </w:rPr>
              <w:t>300</w:t>
            </w:r>
          </w:p>
        </w:tc>
      </w:tr>
    </w:tbl>
    <w:p>
      <w:pPr>
        <w:wordWrap w:val="0"/>
        <w:adjustRightInd w:val="0"/>
        <w:snapToGrid w:val="0"/>
        <w:spacing w:line="440" w:lineRule="exact"/>
        <w:ind w:firstLine="480" w:firstLineChars="200"/>
        <w:rPr>
          <w:sz w:val="24"/>
        </w:rPr>
      </w:pPr>
    </w:p>
    <w:p>
      <w:pPr>
        <w:wordWrap w:val="0"/>
        <w:adjustRightInd w:val="0"/>
        <w:snapToGrid w:val="0"/>
        <w:spacing w:line="440" w:lineRule="exact"/>
        <w:ind w:firstLine="480" w:firstLineChars="200"/>
        <w:rPr>
          <w:sz w:val="24"/>
        </w:rPr>
      </w:pPr>
    </w:p>
    <w:p>
      <w:pPr>
        <w:wordWrap w:val="0"/>
        <w:adjustRightInd w:val="0"/>
        <w:snapToGrid w:val="0"/>
        <w:spacing w:line="440" w:lineRule="exact"/>
        <w:ind w:firstLine="480" w:firstLineChars="200"/>
        <w:rPr>
          <w:sz w:val="24"/>
        </w:rPr>
      </w:pPr>
    </w:p>
    <w:p>
      <w:pPr>
        <w:wordWrap w:val="0"/>
        <w:adjustRightInd w:val="0"/>
        <w:snapToGrid w:val="0"/>
        <w:spacing w:line="440" w:lineRule="exact"/>
        <w:ind w:firstLine="480" w:firstLineChars="200"/>
        <w:rPr>
          <w:sz w:val="24"/>
        </w:rPr>
      </w:pPr>
    </w:p>
    <w:p>
      <w:pPr>
        <w:wordWrap w:val="0"/>
        <w:adjustRightInd w:val="0"/>
        <w:snapToGrid w:val="0"/>
        <w:spacing w:line="440" w:lineRule="exact"/>
        <w:ind w:firstLine="480" w:firstLineChars="200"/>
        <w:rPr>
          <w:sz w:val="24"/>
        </w:rPr>
      </w:pPr>
    </w:p>
    <w:p>
      <w:pPr>
        <w:adjustRightInd w:val="0"/>
        <w:snapToGrid w:val="0"/>
        <w:spacing w:line="440" w:lineRule="exact"/>
        <w:jc w:val="center"/>
        <w:rPr>
          <w:kern w:val="32"/>
          <w:sz w:val="24"/>
        </w:rPr>
      </w:pPr>
      <w:r>
        <w:rPr>
          <w:rFonts w:hint="eastAsia"/>
          <w:kern w:val="32"/>
          <w:sz w:val="24"/>
        </w:rPr>
        <w:t>表8（B）    集电线路防治区生态防护与恢复措施一览表</w:t>
      </w:r>
    </w:p>
    <w:tbl>
      <w:tblPr>
        <w:tblW w:w="1417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
      <w:tblGrid>
        <w:gridCol w:w="1058"/>
        <w:gridCol w:w="1539"/>
        <w:gridCol w:w="1709"/>
        <w:gridCol w:w="1675"/>
        <w:gridCol w:w="6832"/>
        <w:gridCol w:w="1361"/>
      </w:tblGrid>
      <w:tr>
        <w:tc>
          <w:tcPr>
            <w:tcW w:w="1058" w:type="dxa"/>
            <w:vAlign w:val="center"/>
          </w:tcPr>
          <w:p>
            <w:pPr>
              <w:wordWrap w:val="0"/>
              <w:jc w:val="center"/>
            </w:pPr>
            <w:r>
              <w:t>防治区域</w:t>
            </w:r>
          </w:p>
        </w:tc>
        <w:tc>
          <w:tcPr>
            <w:tcW w:w="1539" w:type="dxa"/>
            <w:vAlign w:val="center"/>
          </w:tcPr>
          <w:p>
            <w:pPr>
              <w:wordWrap w:val="0"/>
              <w:jc w:val="center"/>
            </w:pPr>
            <w:r>
              <w:t>林草植被恢复率（%）</w:t>
            </w:r>
          </w:p>
        </w:tc>
        <w:tc>
          <w:tcPr>
            <w:tcW w:w="1709" w:type="dxa"/>
            <w:vAlign w:val="center"/>
          </w:tcPr>
          <w:p>
            <w:pPr>
              <w:wordWrap w:val="0"/>
              <w:jc w:val="center"/>
            </w:pPr>
            <w:r>
              <w:t>植被恢复面积（m</w:t>
            </w:r>
            <w:r>
              <w:rPr>
                <w:vertAlign w:val="superscript"/>
              </w:rPr>
              <w:t>2</w:t>
            </w:r>
            <w:r>
              <w:t>）</w:t>
            </w:r>
          </w:p>
        </w:tc>
        <w:tc>
          <w:tcPr>
            <w:tcW w:w="1675" w:type="dxa"/>
            <w:vAlign w:val="center"/>
          </w:tcPr>
          <w:p>
            <w:pPr>
              <w:wordWrap w:val="0"/>
              <w:jc w:val="center"/>
            </w:pPr>
            <w:r>
              <w:t>生态环境特征</w:t>
            </w:r>
          </w:p>
        </w:tc>
        <w:tc>
          <w:tcPr>
            <w:tcW w:w="6832" w:type="dxa"/>
            <w:vAlign w:val="center"/>
          </w:tcPr>
          <w:p>
            <w:pPr>
              <w:wordWrap w:val="0"/>
              <w:jc w:val="center"/>
            </w:pPr>
            <w:r>
              <w:t>生态防护与恢复措施</w:t>
            </w:r>
          </w:p>
        </w:tc>
        <w:tc>
          <w:tcPr>
            <w:tcW w:w="1361" w:type="dxa"/>
            <w:vAlign w:val="center"/>
          </w:tcPr>
          <w:p>
            <w:pPr>
              <w:wordWrap w:val="0"/>
              <w:jc w:val="center"/>
            </w:pPr>
            <w:r>
              <w:t>投资</w:t>
            </w:r>
          </w:p>
          <w:p>
            <w:pPr>
              <w:wordWrap w:val="0"/>
              <w:jc w:val="center"/>
            </w:pPr>
            <w:r>
              <w:t>（万元）</w:t>
            </w:r>
          </w:p>
        </w:tc>
      </w:tr>
      <w:tr>
        <w:trPr>
          <w:trHeight w:val="1846" w:hRule="atLeast"/>
        </w:trPr>
        <w:tc>
          <w:tcPr>
            <w:tcW w:w="1058" w:type="dxa"/>
            <w:vAlign w:val="center"/>
          </w:tcPr>
          <w:p>
            <w:pPr>
              <w:wordWrap w:val="0"/>
              <w:jc w:val="center"/>
            </w:pPr>
            <w:r>
              <w:rPr>
                <w:rFonts w:hint="eastAsia"/>
              </w:rPr>
              <w:t>集电线路防治区）</w:t>
            </w:r>
          </w:p>
        </w:tc>
        <w:tc>
          <w:tcPr>
            <w:tcW w:w="1539" w:type="dxa"/>
            <w:vAlign w:val="center"/>
          </w:tcPr>
          <w:p>
            <w:pPr>
              <w:wordWrap w:val="0"/>
              <w:jc w:val="center"/>
            </w:pPr>
            <w:r>
              <w:t>97</w:t>
            </w:r>
          </w:p>
        </w:tc>
        <w:tc>
          <w:tcPr>
            <w:tcW w:w="1709" w:type="dxa"/>
            <w:vAlign w:val="center"/>
          </w:tcPr>
          <w:p>
            <w:pPr>
              <w:wordWrap w:val="0"/>
              <w:jc w:val="center"/>
            </w:pPr>
            <w:r>
              <w:rPr>
                <w:rFonts w:hint="eastAsia"/>
              </w:rPr>
              <w:t>157.5m</w:t>
            </w:r>
            <w:r>
              <w:rPr>
                <w:rFonts w:hint="eastAsia"/>
                <w:vertAlign w:val="superscript"/>
              </w:rPr>
              <w:t>2</w:t>
            </w:r>
          </w:p>
        </w:tc>
        <w:tc>
          <w:tcPr>
            <w:tcW w:w="1675" w:type="dxa"/>
            <w:vAlign w:val="center"/>
          </w:tcPr>
          <w:p>
            <w:pPr>
              <w:wordWrap w:val="0"/>
              <w:jc w:val="center"/>
            </w:pPr>
            <w:r>
              <w:t>临时占地类型主要为</w:t>
            </w:r>
            <w:r>
              <w:rPr>
                <w:rFonts w:hint="eastAsia"/>
              </w:rPr>
              <w:t>灌木林地和其它</w:t>
            </w:r>
            <w:r>
              <w:t>草地。</w:t>
            </w:r>
          </w:p>
        </w:tc>
        <w:tc>
          <w:tcPr>
            <w:tcW w:w="6832" w:type="dxa"/>
            <w:vAlign w:val="center"/>
          </w:tcPr>
          <w:p>
            <w:pPr>
              <w:wordWrap w:val="0"/>
              <w:ind w:firstLine="420" w:firstLineChars="200"/>
              <w:jc w:val="center"/>
            </w:pPr>
            <w:r>
              <w:rPr>
                <w:rFonts w:hint="eastAsia"/>
                <w:u w:val="single"/>
              </w:rPr>
              <w:t>集电线路塔基边坡防护</w:t>
            </w:r>
            <w:r>
              <w:rPr>
                <w:u w:val="single"/>
              </w:rPr>
              <w:t>：</w:t>
            </w:r>
            <w:r>
              <w:t>为</w:t>
            </w:r>
            <w:r>
              <w:rPr>
                <w:rFonts w:hint="eastAsia"/>
              </w:rPr>
              <w:t>防治外来水冲刷塔基，塔基采用浆砌石边坡防护</w:t>
            </w:r>
            <w:r>
              <w:t>。</w:t>
            </w:r>
            <w:r>
              <w:rPr>
                <w:rFonts w:hint="eastAsia"/>
              </w:rPr>
              <w:t>严禁顺坡倾倒土石等废渣。</w:t>
            </w:r>
          </w:p>
          <w:p>
            <w:pPr>
              <w:wordWrap w:val="0"/>
              <w:ind w:firstLine="420" w:firstLineChars="200"/>
              <w:jc w:val="center"/>
            </w:pPr>
            <w:r>
              <w:rPr>
                <w:rFonts w:hint="eastAsia"/>
                <w:u w:val="single"/>
              </w:rPr>
              <w:t>土地平整</w:t>
            </w:r>
            <w:r>
              <w:t>：</w:t>
            </w:r>
            <w:r>
              <w:rPr>
                <w:rFonts w:hint="eastAsia"/>
              </w:rPr>
              <w:t>集电线路施工区施工结束后进行土地平整</w:t>
            </w:r>
            <w:r>
              <w:t>。</w:t>
            </w:r>
          </w:p>
          <w:p>
            <w:pPr>
              <w:wordWrap w:val="0"/>
              <w:ind w:firstLine="420" w:firstLineChars="200"/>
              <w:jc w:val="center"/>
            </w:pPr>
            <w:r>
              <w:rPr>
                <w:u w:val="single"/>
              </w:rPr>
              <w:t>植物措施</w:t>
            </w:r>
            <w:r>
              <w:t>：</w:t>
            </w:r>
            <w:r>
              <w:rPr>
                <w:rFonts w:hint="eastAsia"/>
              </w:rPr>
              <w:t>因此本工程</w:t>
            </w:r>
            <w:r>
              <w:t>施工结束后对</w:t>
            </w:r>
            <w:r>
              <w:rPr>
                <w:rFonts w:hint="eastAsia"/>
              </w:rPr>
              <w:t>集电线路临时占地采取</w:t>
            </w:r>
            <w:r>
              <w:t>播撒草籽</w:t>
            </w:r>
            <w:r>
              <w:rPr>
                <w:rFonts w:hint="eastAsia"/>
              </w:rPr>
              <w:t>的方式</w:t>
            </w:r>
            <w:r>
              <w:t>进行绿化恢</w:t>
            </w:r>
            <w:r>
              <w:rPr>
                <w:szCs w:val="21"/>
              </w:rPr>
              <w:t>复</w:t>
            </w:r>
            <w:r>
              <w:rPr>
                <w:rFonts w:hint="eastAsia"/>
                <w:szCs w:val="21"/>
              </w:rPr>
              <w:t>，植被恢复面积</w:t>
            </w:r>
            <w:r>
              <w:rPr>
                <w:rFonts w:hint="eastAsia"/>
              </w:rPr>
              <w:t>157.5m</w:t>
            </w:r>
            <w:r>
              <w:rPr>
                <w:rFonts w:hint="eastAsia"/>
                <w:vertAlign w:val="superscript"/>
              </w:rPr>
              <w:t>2</w:t>
            </w:r>
            <w:r>
              <w:rPr>
                <w:rFonts w:hint="eastAsia"/>
                <w:szCs w:val="21"/>
              </w:rPr>
              <w:t>，</w:t>
            </w:r>
            <w:r>
              <w:rPr>
                <w:rFonts w:hint="eastAsia"/>
                <w:bCs/>
                <w:szCs w:val="21"/>
              </w:rPr>
              <w:t>播种量50kg/hm</w:t>
            </w:r>
            <w:r>
              <w:rPr>
                <w:rFonts w:hint="eastAsia"/>
                <w:bCs/>
                <w:szCs w:val="21"/>
                <w:vertAlign w:val="superscript"/>
              </w:rPr>
              <w:t>2</w:t>
            </w:r>
            <w:r>
              <w:rPr>
                <w:rFonts w:hint="eastAsia"/>
                <w:bCs/>
                <w:szCs w:val="21"/>
              </w:rPr>
              <w:t>，共需草籽1.0kg</w:t>
            </w:r>
            <w:r>
              <w:rPr>
                <w:szCs w:val="21"/>
              </w:rPr>
              <w:t>。</w:t>
            </w:r>
          </w:p>
        </w:tc>
        <w:tc>
          <w:tcPr>
            <w:tcW w:w="1361" w:type="dxa"/>
            <w:vAlign w:val="center"/>
          </w:tcPr>
          <w:p>
            <w:pPr>
              <w:wordWrap w:val="0"/>
              <w:jc w:val="center"/>
            </w:pPr>
            <w:r>
              <w:rPr>
                <w:rFonts w:hint="eastAsia"/>
              </w:rPr>
              <w:t>8</w:t>
            </w:r>
          </w:p>
        </w:tc>
      </w:tr>
    </w:tbl>
    <w:p>
      <w:pPr>
        <w:adjustRightInd w:val="0"/>
        <w:snapToGrid w:val="0"/>
        <w:spacing w:line="440" w:lineRule="exact"/>
        <w:jc w:val="center"/>
        <w:rPr>
          <w:kern w:val="32"/>
          <w:sz w:val="24"/>
        </w:rPr>
      </w:pPr>
      <w:r>
        <w:rPr>
          <w:rFonts w:hint="eastAsia"/>
          <w:kern w:val="32"/>
          <w:sz w:val="24"/>
        </w:rPr>
        <w:t>表8（C）    交通道路防治区生态防护与恢复措施一览表</w:t>
      </w:r>
    </w:p>
    <w:tbl>
      <w:tblPr>
        <w:tblW w:w="1417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108" w:type="dxa"/>
          <w:right w:w="108" w:type="dxa"/>
        </w:tblCellMar>
      </w:tblPr>
      <w:tblGrid>
        <w:gridCol w:w="1058"/>
        <w:gridCol w:w="1562"/>
        <w:gridCol w:w="1624"/>
        <w:gridCol w:w="1695"/>
        <w:gridCol w:w="6852"/>
        <w:gridCol w:w="1383"/>
      </w:tblGrid>
      <w:tr>
        <w:tc>
          <w:tcPr>
            <w:tcW w:w="1058" w:type="dxa"/>
            <w:vAlign w:val="center"/>
          </w:tcPr>
          <w:p>
            <w:pPr>
              <w:wordWrap w:val="0"/>
              <w:jc w:val="center"/>
            </w:pPr>
            <w:r>
              <w:t>防治区域</w:t>
            </w:r>
          </w:p>
        </w:tc>
        <w:tc>
          <w:tcPr>
            <w:tcW w:w="1562" w:type="dxa"/>
            <w:vAlign w:val="center"/>
          </w:tcPr>
          <w:p>
            <w:pPr>
              <w:wordWrap w:val="0"/>
              <w:jc w:val="center"/>
            </w:pPr>
            <w:r>
              <w:t>林草植被恢复率（%）</w:t>
            </w:r>
          </w:p>
        </w:tc>
        <w:tc>
          <w:tcPr>
            <w:tcW w:w="1624" w:type="dxa"/>
            <w:vAlign w:val="center"/>
          </w:tcPr>
          <w:p>
            <w:pPr>
              <w:wordWrap w:val="0"/>
              <w:jc w:val="center"/>
            </w:pPr>
            <w:r>
              <w:t>植被恢复面积（m</w:t>
            </w:r>
            <w:r>
              <w:rPr>
                <w:vertAlign w:val="superscript"/>
              </w:rPr>
              <w:t>2</w:t>
            </w:r>
            <w:r>
              <w:t>）</w:t>
            </w:r>
          </w:p>
        </w:tc>
        <w:tc>
          <w:tcPr>
            <w:tcW w:w="1695" w:type="dxa"/>
            <w:vAlign w:val="center"/>
          </w:tcPr>
          <w:p>
            <w:pPr>
              <w:wordWrap w:val="0"/>
              <w:jc w:val="center"/>
            </w:pPr>
            <w:r>
              <w:t>生态环境特征</w:t>
            </w:r>
          </w:p>
        </w:tc>
        <w:tc>
          <w:tcPr>
            <w:tcW w:w="6852" w:type="dxa"/>
            <w:vAlign w:val="center"/>
          </w:tcPr>
          <w:p>
            <w:pPr>
              <w:wordWrap w:val="0"/>
              <w:jc w:val="center"/>
            </w:pPr>
            <w:r>
              <w:t>生态防护与恢复措施</w:t>
            </w:r>
          </w:p>
        </w:tc>
        <w:tc>
          <w:tcPr>
            <w:tcW w:w="1383" w:type="dxa"/>
            <w:vAlign w:val="center"/>
          </w:tcPr>
          <w:p>
            <w:pPr>
              <w:wordWrap w:val="0"/>
              <w:jc w:val="center"/>
            </w:pPr>
            <w:r>
              <w:t>投资</w:t>
            </w:r>
          </w:p>
          <w:p>
            <w:pPr>
              <w:wordWrap w:val="0"/>
              <w:jc w:val="center"/>
            </w:pPr>
            <w:r>
              <w:t>（万元）</w:t>
            </w:r>
          </w:p>
        </w:tc>
      </w:tr>
      <w:tr>
        <w:trPr>
          <w:trHeight w:val="1846" w:hRule="atLeast"/>
        </w:trPr>
        <w:tc>
          <w:tcPr>
            <w:tcW w:w="1058" w:type="dxa"/>
            <w:vAlign w:val="center"/>
          </w:tcPr>
          <w:p>
            <w:pPr>
              <w:wordWrap w:val="0"/>
              <w:jc w:val="center"/>
            </w:pPr>
            <w:r>
              <w:rPr>
                <w:rFonts w:hint="eastAsia"/>
              </w:rPr>
              <w:t>交通道路区</w:t>
            </w:r>
          </w:p>
        </w:tc>
        <w:tc>
          <w:tcPr>
            <w:tcW w:w="1562" w:type="dxa"/>
            <w:vAlign w:val="center"/>
          </w:tcPr>
          <w:p>
            <w:pPr>
              <w:wordWrap w:val="0"/>
              <w:jc w:val="center"/>
            </w:pPr>
            <w:r>
              <w:t>97</w:t>
            </w:r>
          </w:p>
        </w:tc>
        <w:tc>
          <w:tcPr>
            <w:tcW w:w="1624" w:type="dxa"/>
            <w:vAlign w:val="center"/>
          </w:tcPr>
          <w:p>
            <w:pPr>
              <w:wordWrap w:val="0"/>
              <w:jc w:val="center"/>
            </w:pPr>
            <w:r>
              <w:rPr>
                <w:rFonts w:hint="eastAsia"/>
              </w:rPr>
              <w:t>2.2hm</w:t>
            </w:r>
            <w:r>
              <w:rPr>
                <w:rFonts w:hint="eastAsia"/>
                <w:vertAlign w:val="superscript"/>
              </w:rPr>
              <w:t>2</w:t>
            </w:r>
          </w:p>
        </w:tc>
        <w:tc>
          <w:tcPr>
            <w:tcW w:w="1695" w:type="dxa"/>
            <w:vAlign w:val="center"/>
          </w:tcPr>
          <w:p>
            <w:pPr>
              <w:wordWrap w:val="0"/>
              <w:jc w:val="center"/>
            </w:pPr>
            <w:r>
              <w:t>临时占地类型主要为</w:t>
            </w:r>
            <w:r>
              <w:rPr>
                <w:rFonts w:hint="eastAsia"/>
              </w:rPr>
              <w:t>灌木林地和其它</w:t>
            </w:r>
            <w:r>
              <w:t>草地。</w:t>
            </w:r>
          </w:p>
        </w:tc>
        <w:tc>
          <w:tcPr>
            <w:tcW w:w="6852" w:type="dxa"/>
            <w:vAlign w:val="center"/>
          </w:tcPr>
          <w:p>
            <w:pPr>
              <w:wordWrap w:val="0"/>
              <w:ind w:firstLine="420" w:firstLineChars="200"/>
              <w:jc w:val="center"/>
            </w:pPr>
            <w:r>
              <w:rPr>
                <w:u w:val="single"/>
              </w:rPr>
              <w:t>表土剥离：</w:t>
            </w:r>
            <w:r>
              <w:t>为了合理保护与利用土地资源，为后期植被</w:t>
            </w:r>
            <w:r>
              <w:rPr>
                <w:rFonts w:hint="eastAsia"/>
              </w:rPr>
              <w:t>恢复</w:t>
            </w:r>
            <w:r>
              <w:t>创造条件，施工前对</w:t>
            </w:r>
            <w:r>
              <w:rPr>
                <w:rFonts w:hint="eastAsia"/>
              </w:rPr>
              <w:t>该</w:t>
            </w:r>
            <w:r>
              <w:t>区域进行表土剥离，剥离厚度</w:t>
            </w:r>
            <w:r>
              <w:rPr>
                <w:rFonts w:hint="eastAsia"/>
              </w:rPr>
              <w:t>15</w:t>
            </w:r>
            <w:r>
              <w:t>cm。施工结束后将剥离土还原作为植被恢复及绿化用土，保护地表熟土资源不流失，不浪费。工程建设应与植被恢复同步进行，尽量做到挖完一片，覆土恢复一片，绿化改造一片，</w:t>
            </w:r>
            <w:r>
              <w:rPr>
                <w:rFonts w:hint="eastAsia"/>
              </w:rPr>
              <w:t>防止</w:t>
            </w:r>
            <w:r>
              <w:t>开挖造成大面积裸露面，导致严重的水土流失。</w:t>
            </w:r>
          </w:p>
          <w:p>
            <w:pPr>
              <w:wordWrap w:val="0"/>
              <w:ind w:firstLine="420" w:firstLineChars="200"/>
              <w:jc w:val="center"/>
            </w:pPr>
            <w:r>
              <w:rPr>
                <w:u w:val="single"/>
              </w:rPr>
              <w:t>临时措施</w:t>
            </w:r>
            <w:r>
              <w:t>：</w:t>
            </w:r>
            <w:r>
              <w:rPr>
                <w:rFonts w:hint="eastAsia"/>
              </w:rPr>
              <w:t>在建设道路时，为疏导坡道来水和路面集水，在道路内侧或两侧需修建排水沟等排洪设施，以防止集水对道路的冲刷，引起新的水土流失</w:t>
            </w:r>
            <w:r>
              <w:t>。</w:t>
            </w:r>
            <w:r>
              <w:rPr>
                <w:rFonts w:hint="eastAsia"/>
              </w:rPr>
              <w:t>道路开挖造成的高陡边坡应采取砌护措施。</w:t>
            </w:r>
            <w:r>
              <w:t>严禁顺坡倾倒土石等废渣。</w:t>
            </w:r>
          </w:p>
          <w:p>
            <w:pPr>
              <w:wordWrap w:val="0"/>
              <w:ind w:firstLine="420" w:firstLineChars="200"/>
              <w:jc w:val="center"/>
            </w:pPr>
            <w:r>
              <w:rPr>
                <w:u w:val="single"/>
              </w:rPr>
              <w:t>植物措施</w:t>
            </w:r>
            <w:r>
              <w:t>：</w:t>
            </w:r>
            <w:r>
              <w:rPr>
                <w:szCs w:val="21"/>
              </w:rPr>
              <w:t>施工结束后，对场内道路中的施工道路临时占地进行灌草结合植被恢复，面积为</w:t>
            </w:r>
            <w:r>
              <w:rPr>
                <w:rFonts w:hint="eastAsia"/>
                <w:szCs w:val="21"/>
              </w:rPr>
              <w:t>2.2</w:t>
            </w:r>
            <w:r>
              <w:rPr>
                <w:szCs w:val="21"/>
              </w:rPr>
              <w:t>hm</w:t>
            </w:r>
            <w:r>
              <w:rPr>
                <w:szCs w:val="21"/>
                <w:vertAlign w:val="superscript"/>
              </w:rPr>
              <w:t>2</w:t>
            </w:r>
            <w:r>
              <w:rPr>
                <w:szCs w:val="21"/>
              </w:rPr>
              <w:t>。灌木选用</w:t>
            </w:r>
            <w:r>
              <w:rPr>
                <w:rFonts w:hint="eastAsia"/>
                <w:szCs w:val="21"/>
              </w:rPr>
              <w:t>50c</w:t>
            </w:r>
            <w:r>
              <w:rPr>
                <w:szCs w:val="21"/>
              </w:rPr>
              <w:t>m高的</w:t>
            </w:r>
            <w:r>
              <w:rPr>
                <w:rFonts w:hint="eastAsia"/>
                <w:szCs w:val="21"/>
              </w:rPr>
              <w:t>荆条</w:t>
            </w:r>
            <w:r>
              <w:rPr>
                <w:szCs w:val="21"/>
              </w:rPr>
              <w:t>，种植标准为株行距1.5m×1.5m，采用穴状整地（</w:t>
            </w:r>
            <w:r>
              <w:rPr>
                <w:rFonts w:hint="eastAsia"/>
                <w:szCs w:val="21"/>
              </w:rPr>
              <w:t>30</w:t>
            </w:r>
            <w:r>
              <w:rPr>
                <w:szCs w:val="21"/>
              </w:rPr>
              <w:t>cm×</w:t>
            </w:r>
            <w:r>
              <w:rPr>
                <w:rFonts w:hint="eastAsia"/>
                <w:szCs w:val="21"/>
              </w:rPr>
              <w:t>30</w:t>
            </w:r>
            <w:r>
              <w:rPr>
                <w:szCs w:val="21"/>
              </w:rPr>
              <w:t>cm），</w:t>
            </w:r>
            <w:r>
              <w:rPr>
                <w:rFonts w:hint="eastAsia"/>
                <w:szCs w:val="21"/>
              </w:rPr>
              <w:t>恢复灌木林地面积2.2</w:t>
            </w:r>
            <w:r>
              <w:rPr>
                <w:szCs w:val="21"/>
              </w:rPr>
              <w:t>hm</w:t>
            </w:r>
            <w:r>
              <w:rPr>
                <w:szCs w:val="21"/>
                <w:vertAlign w:val="superscript"/>
              </w:rPr>
              <w:t>2</w:t>
            </w:r>
            <w:r>
              <w:rPr>
                <w:szCs w:val="21"/>
              </w:rPr>
              <w:t>，共需苗量</w:t>
            </w:r>
            <w:r>
              <w:rPr>
                <w:rFonts w:hint="eastAsia"/>
                <w:szCs w:val="21"/>
              </w:rPr>
              <w:t>约8100</w:t>
            </w:r>
            <w:r>
              <w:rPr>
                <w:szCs w:val="21"/>
              </w:rPr>
              <w:t>株（考虑</w:t>
            </w:r>
            <w:r>
              <w:rPr>
                <w:rFonts w:hint="eastAsia"/>
                <w:szCs w:val="21"/>
              </w:rPr>
              <w:t>5</w:t>
            </w:r>
            <w:r>
              <w:rPr>
                <w:szCs w:val="21"/>
              </w:rPr>
              <w:t>%的损耗）；草种选择</w:t>
            </w:r>
            <w:r>
              <w:rPr>
                <w:rFonts w:hint="eastAsia"/>
                <w:szCs w:val="21"/>
              </w:rPr>
              <w:t>无芒雀麦和</w:t>
            </w:r>
            <w:r>
              <w:rPr>
                <w:szCs w:val="21"/>
              </w:rPr>
              <w:t>披碱草，选择品质优良的一级草籽，播种量50kg/hm</w:t>
            </w:r>
            <w:r>
              <w:rPr>
                <w:szCs w:val="21"/>
                <w:vertAlign w:val="superscript"/>
              </w:rPr>
              <w:t>2</w:t>
            </w:r>
            <w:r>
              <w:rPr>
                <w:szCs w:val="21"/>
              </w:rPr>
              <w:t>，共计撒播草籽</w:t>
            </w:r>
            <w:r>
              <w:rPr>
                <w:rFonts w:hint="eastAsia"/>
                <w:szCs w:val="21"/>
              </w:rPr>
              <w:t>2.2</w:t>
            </w:r>
            <w:r>
              <w:rPr>
                <w:szCs w:val="21"/>
              </w:rPr>
              <w:t>hm</w:t>
            </w:r>
            <w:r>
              <w:rPr>
                <w:szCs w:val="21"/>
                <w:vertAlign w:val="superscript"/>
              </w:rPr>
              <w:t>2</w:t>
            </w:r>
            <w:r>
              <w:rPr>
                <w:szCs w:val="21"/>
              </w:rPr>
              <w:t>，共需披碱草草籽</w:t>
            </w:r>
            <w:r>
              <w:rPr>
                <w:rFonts w:hint="eastAsia"/>
                <w:szCs w:val="21"/>
              </w:rPr>
              <w:t>110</w:t>
            </w:r>
            <w:r>
              <w:rPr>
                <w:szCs w:val="21"/>
              </w:rPr>
              <w:t>kg。</w:t>
            </w:r>
          </w:p>
        </w:tc>
        <w:tc>
          <w:tcPr>
            <w:tcW w:w="1383" w:type="dxa"/>
            <w:vAlign w:val="center"/>
          </w:tcPr>
          <w:p>
            <w:pPr>
              <w:wordWrap w:val="0"/>
              <w:jc w:val="center"/>
            </w:pPr>
            <w:r>
              <w:rPr>
                <w:rFonts w:hint="eastAsia"/>
              </w:rPr>
              <w:t>220</w:t>
            </w:r>
          </w:p>
        </w:tc>
      </w:tr>
    </w:tbl>
    <w:p>
      <w:pPr>
        <w:adjustRightInd w:val="0"/>
        <w:snapToGrid w:val="0"/>
        <w:spacing w:line="440" w:lineRule="exact"/>
        <w:jc w:val="center"/>
        <w:rPr>
          <w:kern w:val="32"/>
          <w:sz w:val="24"/>
        </w:rPr>
      </w:pPr>
      <w:r>
        <w:rPr>
          <w:rFonts w:hint="eastAsia"/>
          <w:kern w:val="32"/>
          <w:sz w:val="24"/>
        </w:rPr>
        <w:t>表8（D）    施工生产生活防治区生态防护与恢复措施一览表</w:t>
      </w:r>
    </w:p>
    <w:tbl>
      <w:tblPr>
        <w:tblW w:w="1398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0" w:type="dxa"/>
          <w:right w:w="0" w:type="dxa"/>
        </w:tblCellMar>
      </w:tblPr>
      <w:tblGrid>
        <w:gridCol w:w="1045"/>
        <w:gridCol w:w="1097"/>
        <w:gridCol w:w="1133"/>
        <w:gridCol w:w="1841"/>
        <w:gridCol w:w="7940"/>
        <w:gridCol w:w="932"/>
      </w:tblGrid>
      <w:tr>
        <w:tc>
          <w:tcPr>
            <w:tcW w:w="1045" w:type="dxa"/>
            <w:vAlign w:val="center"/>
          </w:tcPr>
          <w:p>
            <w:pPr>
              <w:wordWrap w:val="0"/>
              <w:jc w:val="center"/>
            </w:pPr>
            <w:r>
              <w:t>防治区域</w:t>
            </w:r>
          </w:p>
        </w:tc>
        <w:tc>
          <w:tcPr>
            <w:tcW w:w="1097" w:type="dxa"/>
            <w:vAlign w:val="center"/>
          </w:tcPr>
          <w:p>
            <w:pPr>
              <w:wordWrap w:val="0"/>
              <w:jc w:val="center"/>
            </w:pPr>
            <w:r>
              <w:t>林草植被</w:t>
            </w:r>
          </w:p>
          <w:p>
            <w:pPr>
              <w:wordWrap w:val="0"/>
              <w:jc w:val="center"/>
            </w:pPr>
            <w:r>
              <w:t>恢复率（%）</w:t>
            </w:r>
          </w:p>
        </w:tc>
        <w:tc>
          <w:tcPr>
            <w:tcW w:w="1133" w:type="dxa"/>
            <w:vAlign w:val="center"/>
          </w:tcPr>
          <w:p>
            <w:pPr>
              <w:wordWrap w:val="0"/>
              <w:jc w:val="center"/>
            </w:pPr>
            <w:r>
              <w:t>植被恢复</w:t>
            </w:r>
          </w:p>
          <w:p>
            <w:pPr>
              <w:wordWrap w:val="0"/>
              <w:jc w:val="center"/>
            </w:pPr>
            <w:r>
              <w:t>面积（m</w:t>
            </w:r>
            <w:r>
              <w:rPr>
                <w:vertAlign w:val="superscript"/>
              </w:rPr>
              <w:t>2</w:t>
            </w:r>
            <w:r>
              <w:t>）</w:t>
            </w:r>
          </w:p>
        </w:tc>
        <w:tc>
          <w:tcPr>
            <w:tcW w:w="1841" w:type="dxa"/>
            <w:vAlign w:val="center"/>
          </w:tcPr>
          <w:p>
            <w:pPr>
              <w:wordWrap w:val="0"/>
              <w:jc w:val="center"/>
            </w:pPr>
            <w:r>
              <w:t>生态环境特征</w:t>
            </w:r>
          </w:p>
        </w:tc>
        <w:tc>
          <w:tcPr>
            <w:tcW w:w="7940" w:type="dxa"/>
            <w:vAlign w:val="center"/>
          </w:tcPr>
          <w:p>
            <w:pPr>
              <w:wordWrap w:val="0"/>
              <w:jc w:val="center"/>
            </w:pPr>
            <w:r>
              <w:t>生态防护与恢复措施</w:t>
            </w:r>
          </w:p>
        </w:tc>
        <w:tc>
          <w:tcPr>
            <w:tcW w:w="932" w:type="dxa"/>
            <w:vAlign w:val="center"/>
          </w:tcPr>
          <w:p>
            <w:pPr>
              <w:wordWrap w:val="0"/>
              <w:jc w:val="center"/>
            </w:pPr>
            <w:r>
              <w:t>投资</w:t>
            </w:r>
          </w:p>
          <w:p>
            <w:pPr>
              <w:wordWrap w:val="0"/>
              <w:jc w:val="center"/>
            </w:pPr>
            <w:r>
              <w:t>（万元）</w:t>
            </w:r>
          </w:p>
        </w:tc>
      </w:tr>
      <w:tr>
        <w:trPr>
          <w:trHeight w:val="2469" w:hRule="atLeast"/>
        </w:trPr>
        <w:tc>
          <w:tcPr>
            <w:tcW w:w="1045" w:type="dxa"/>
            <w:vAlign w:val="center"/>
          </w:tcPr>
          <w:p>
            <w:pPr>
              <w:wordWrap w:val="0"/>
              <w:jc w:val="center"/>
            </w:pPr>
            <w:r>
              <w:rPr>
                <w:rFonts w:hint="eastAsia"/>
              </w:rPr>
              <w:t>施工生产生活区</w:t>
            </w:r>
          </w:p>
        </w:tc>
        <w:tc>
          <w:tcPr>
            <w:tcW w:w="1097" w:type="dxa"/>
            <w:vAlign w:val="center"/>
          </w:tcPr>
          <w:p>
            <w:pPr>
              <w:wordWrap w:val="0"/>
              <w:jc w:val="center"/>
            </w:pPr>
            <w:r>
              <w:rPr>
                <w:rFonts w:hint="eastAsia"/>
              </w:rPr>
              <w:t>97</w:t>
            </w:r>
          </w:p>
        </w:tc>
        <w:tc>
          <w:tcPr>
            <w:tcW w:w="1133" w:type="dxa"/>
            <w:vAlign w:val="center"/>
          </w:tcPr>
          <w:p>
            <w:pPr>
              <w:wordWrap w:val="0"/>
              <w:jc w:val="center"/>
            </w:pPr>
            <w:r>
              <w:rPr>
                <w:rFonts w:hint="eastAsia"/>
              </w:rPr>
              <w:t>6300m</w:t>
            </w:r>
            <w:r>
              <w:rPr>
                <w:rFonts w:hint="eastAsia"/>
                <w:vertAlign w:val="superscript"/>
              </w:rPr>
              <w:t>2</w:t>
            </w:r>
          </w:p>
        </w:tc>
        <w:tc>
          <w:tcPr>
            <w:tcW w:w="1841" w:type="dxa"/>
            <w:vAlign w:val="center"/>
          </w:tcPr>
          <w:p>
            <w:pPr>
              <w:wordWrap w:val="0"/>
              <w:jc w:val="center"/>
            </w:pPr>
            <w:r>
              <w:rPr>
                <w:rFonts w:hint="eastAsia"/>
              </w:rPr>
              <w:t>临时占地类型为其它草地</w:t>
            </w:r>
          </w:p>
        </w:tc>
        <w:tc>
          <w:tcPr>
            <w:tcW w:w="7940" w:type="dxa"/>
            <w:vAlign w:val="center"/>
          </w:tcPr>
          <w:p>
            <w:pPr>
              <w:wordWrap w:val="0"/>
              <w:ind w:firstLine="420" w:firstLineChars="200"/>
              <w:jc w:val="center"/>
            </w:pPr>
            <w:r>
              <w:rPr>
                <w:u w:val="single"/>
              </w:rPr>
              <w:t>表土剥离：</w:t>
            </w:r>
            <w:r>
              <w:t>为了合理保护与利用土地资源，为后期植被</w:t>
            </w:r>
            <w:r>
              <w:rPr>
                <w:rFonts w:hint="eastAsia"/>
              </w:rPr>
              <w:t>恢复</w:t>
            </w:r>
            <w:r>
              <w:t>创造条件，施工前对</w:t>
            </w:r>
            <w:r>
              <w:rPr>
                <w:rFonts w:hint="eastAsia"/>
              </w:rPr>
              <w:t>该</w:t>
            </w:r>
            <w:r>
              <w:t>区域进行表土剥离，剥离厚度</w:t>
            </w:r>
            <w:r>
              <w:rPr>
                <w:rFonts w:hint="eastAsia"/>
              </w:rPr>
              <w:t>15</w:t>
            </w:r>
            <w:r>
              <w:t>cm。施工结束后将剥离土还原作为植被恢复及绿化用土，保护地表熟土资源不流失，不浪费。</w:t>
            </w:r>
          </w:p>
          <w:p>
            <w:pPr>
              <w:wordWrap w:val="0"/>
              <w:ind w:firstLine="420" w:firstLineChars="200"/>
              <w:jc w:val="center"/>
            </w:pPr>
            <w:r>
              <w:rPr>
                <w:u w:val="single"/>
              </w:rPr>
              <w:t>临时措施</w:t>
            </w:r>
            <w:r>
              <w:t>：</w:t>
            </w:r>
            <w:r>
              <w:rPr>
                <w:rFonts w:hint="eastAsia"/>
              </w:rPr>
              <w:t>在施工场地设置临时排水沟连接天然排水沟道。施工生产生活区露天堆场临时堆土、砂料场，为防止风蚀，料场表明用苫布遮盖</w:t>
            </w:r>
            <w:r>
              <w:t>。严禁顺坡倾倒土石等废渣。</w:t>
            </w:r>
          </w:p>
          <w:p>
            <w:pPr>
              <w:wordWrap w:val="0"/>
              <w:ind w:firstLine="420" w:firstLineChars="200"/>
              <w:jc w:val="center"/>
            </w:pPr>
            <w:r>
              <w:rPr>
                <w:u w:val="single"/>
              </w:rPr>
              <w:t>植物措施</w:t>
            </w:r>
            <w:r>
              <w:t>：</w:t>
            </w:r>
            <w:r>
              <w:rPr>
                <w:rFonts w:hint="eastAsia"/>
              </w:rPr>
              <w:t>施工结束后及时进行土地平整，</w:t>
            </w:r>
            <w:r>
              <w:t>采用</w:t>
            </w:r>
            <w:r>
              <w:rPr>
                <w:rFonts w:hint="eastAsia"/>
              </w:rPr>
              <w:t>草灌结合的方式对其</w:t>
            </w:r>
            <w:r>
              <w:t>进行植被恢复，</w:t>
            </w:r>
            <w:r>
              <w:rPr>
                <w:rFonts w:hint="eastAsia"/>
              </w:rPr>
              <w:t>恢复</w:t>
            </w:r>
            <w:r>
              <w:t>面积为</w:t>
            </w:r>
            <w:r>
              <w:rPr>
                <w:rFonts w:hint="eastAsia"/>
              </w:rPr>
              <w:t>6300</w:t>
            </w:r>
            <w:r>
              <w:t>m</w:t>
            </w:r>
            <w:r>
              <w:rPr>
                <w:vertAlign w:val="superscript"/>
              </w:rPr>
              <w:t>2</w:t>
            </w:r>
            <w:r>
              <w:t>。灌木选用</w:t>
            </w:r>
            <w:r>
              <w:rPr>
                <w:rFonts w:hint="eastAsia"/>
              </w:rPr>
              <w:t>50c</w:t>
            </w:r>
            <w:r>
              <w:t>m高的</w:t>
            </w:r>
            <w:r>
              <w:rPr>
                <w:rFonts w:hint="eastAsia"/>
              </w:rPr>
              <w:t>沙棘树</w:t>
            </w:r>
            <w:r>
              <w:t>，种植标准为株行距1.5m×1.5m，采用穴状整地（</w:t>
            </w:r>
            <w:r>
              <w:rPr>
                <w:rFonts w:hint="eastAsia"/>
              </w:rPr>
              <w:t>30</w:t>
            </w:r>
            <w:r>
              <w:t>cm×</w:t>
            </w:r>
            <w:r>
              <w:rPr>
                <w:rFonts w:hint="eastAsia"/>
              </w:rPr>
              <w:t>30</w:t>
            </w:r>
            <w:r>
              <w:t>cm），</w:t>
            </w:r>
            <w:r>
              <w:rPr>
                <w:rFonts w:hint="eastAsia"/>
              </w:rPr>
              <w:t>恢复灌木林地面积6300</w:t>
            </w:r>
            <w:r>
              <w:t>m</w:t>
            </w:r>
            <w:r>
              <w:rPr>
                <w:vertAlign w:val="superscript"/>
              </w:rPr>
              <w:t>2</w:t>
            </w:r>
            <w:r>
              <w:t>，共需苗量</w:t>
            </w:r>
            <w:r>
              <w:rPr>
                <w:rFonts w:hint="eastAsia"/>
              </w:rPr>
              <w:t>约2800</w:t>
            </w:r>
            <w:r>
              <w:t>株（考虑</w:t>
            </w:r>
            <w:r>
              <w:rPr>
                <w:rFonts w:hint="eastAsia"/>
              </w:rPr>
              <w:t>5</w:t>
            </w:r>
            <w:r>
              <w:t>%的损耗）；草种选择</w:t>
            </w:r>
            <w:r>
              <w:rPr>
                <w:rFonts w:hint="eastAsia"/>
              </w:rPr>
              <w:t>无芒雀麦和</w:t>
            </w:r>
            <w:r>
              <w:t>披碱草，选择品质优良的一级草籽，播种量50kg/hm</w:t>
            </w:r>
            <w:r>
              <w:rPr>
                <w:vertAlign w:val="superscript"/>
              </w:rPr>
              <w:t>2</w:t>
            </w:r>
            <w:r>
              <w:t>，共计撒播草籽</w:t>
            </w:r>
            <w:r>
              <w:rPr>
                <w:rFonts w:hint="eastAsia"/>
              </w:rPr>
              <w:t>6300</w:t>
            </w:r>
            <w:r>
              <w:t>m</w:t>
            </w:r>
            <w:r>
              <w:rPr>
                <w:vertAlign w:val="superscript"/>
              </w:rPr>
              <w:t>2</w:t>
            </w:r>
            <w:r>
              <w:t>，共需草草籽</w:t>
            </w:r>
            <w:r>
              <w:rPr>
                <w:rFonts w:hint="eastAsia"/>
              </w:rPr>
              <w:t>30</w:t>
            </w:r>
            <w:r>
              <w:t>kg。</w:t>
            </w:r>
          </w:p>
        </w:tc>
        <w:tc>
          <w:tcPr>
            <w:tcW w:w="932" w:type="dxa"/>
            <w:vAlign w:val="center"/>
          </w:tcPr>
          <w:p>
            <w:pPr>
              <w:wordWrap w:val="0"/>
              <w:jc w:val="center"/>
            </w:pPr>
            <w:r>
              <w:rPr>
                <w:rFonts w:hint="eastAsia"/>
              </w:rPr>
              <w:t>20</w:t>
            </w:r>
          </w:p>
        </w:tc>
      </w:tr>
    </w:tbl>
    <w:p>
      <w:pPr>
        <w:pStyle w:val="4"/>
        <w:wordWrap w:val="0"/>
        <w:adjustRightInd w:val="0"/>
        <w:snapToGrid w:val="0"/>
        <w:spacing w:before="0" w:after="0" w:line="520" w:lineRule="exact"/>
        <w:ind w:left="617" w:hanging="617" w:hangingChars="256"/>
        <w:rPr>
          <w:sz w:val="24"/>
          <w:szCs w:val="24"/>
        </w:rPr>
        <w:sectPr>
          <w:pgSz w:w="16838" w:h="11906" w:orient="landscape"/>
          <w:pgMar w:top="1440" w:right="1440" w:bottom="1440" w:left="1440" w:header="851" w:footer="992" w:gutter="0"/>
          <w:cols w:space="720" w:num="1"/>
          <w:docGrid w:type="linesAndChars" w:linePitch="312"/>
        </w:sectPr>
      </w:pPr>
    </w:p>
    <w:p>
      <w:pPr>
        <w:pStyle w:val="3"/>
        <w:wordWrap w:val="0"/>
        <w:spacing w:after="156"/>
        <w:rPr>
          <w:rFonts w:eastAsia="宋体"/>
          <w:b/>
          <w:bCs/>
          <w:color w:val="auto"/>
        </w:rPr>
      </w:pPr>
      <w:bookmarkStart w:id="311" w:name="_Toc436993129"/>
      <w:bookmarkStart w:id="312" w:name="_Toc528854969"/>
      <w:r>
        <w:rPr>
          <w:rFonts w:hint="eastAsia" w:eastAsia="宋体"/>
          <w:b/>
          <w:bCs/>
          <w:color w:val="auto"/>
        </w:rPr>
        <w:t>6、生态环境影响评价小结</w:t>
      </w:r>
      <w:bookmarkEnd w:id="311"/>
      <w:bookmarkEnd w:id="312"/>
    </w:p>
    <w:p>
      <w:pPr>
        <w:wordWrap w:val="0"/>
        <w:spacing w:line="440" w:lineRule="exact"/>
        <w:ind w:firstLine="480" w:firstLineChars="200"/>
        <w:rPr>
          <w:sz w:val="24"/>
        </w:rPr>
      </w:pPr>
      <w:r>
        <w:rPr>
          <w:sz w:val="24"/>
        </w:rPr>
        <w:t>风电场建设内容主要包括</w:t>
      </w:r>
      <w:r>
        <w:rPr>
          <w:rFonts w:hint="eastAsia"/>
          <w:sz w:val="24"/>
        </w:rPr>
        <w:t>升压站建设、</w:t>
      </w:r>
      <w:r>
        <w:rPr>
          <w:sz w:val="24"/>
        </w:rPr>
        <w:t>施工检修道路、风电机组基础和塔架、集电线杆塔基础、线路架设及施工生产与生活区等。</w:t>
      </w:r>
    </w:p>
    <w:p>
      <w:pPr>
        <w:wordWrap w:val="0"/>
        <w:spacing w:line="440" w:lineRule="exact"/>
        <w:ind w:firstLine="480" w:firstLineChars="200"/>
        <w:rPr>
          <w:sz w:val="24"/>
        </w:rPr>
      </w:pPr>
      <w:r>
        <w:rPr>
          <w:sz w:val="24"/>
        </w:rPr>
        <w:t>（1）土地利用的影响：工程永久征</w:t>
      </w:r>
      <w:r>
        <w:rPr>
          <w:rFonts w:hint="eastAsia"/>
          <w:sz w:val="24"/>
        </w:rPr>
        <w:t>占</w:t>
      </w:r>
      <w:r>
        <w:rPr>
          <w:sz w:val="24"/>
        </w:rPr>
        <w:t>土地面积为</w:t>
      </w:r>
      <w:r>
        <w:rPr>
          <w:rFonts w:hint="eastAsia"/>
          <w:sz w:val="24"/>
        </w:rPr>
        <w:t>1056</w:t>
      </w:r>
      <w:r>
        <w:rPr>
          <w:sz w:val="24"/>
        </w:rPr>
        <w:t>m</w:t>
      </w:r>
      <w:r>
        <w:rPr>
          <w:sz w:val="24"/>
          <w:vertAlign w:val="superscript"/>
        </w:rPr>
        <w:t>2</w:t>
      </w:r>
      <w:r>
        <w:rPr>
          <w:sz w:val="24"/>
        </w:rPr>
        <w:t>，从原荒草地</w:t>
      </w:r>
      <w:r>
        <w:rPr>
          <w:rFonts w:hint="eastAsia"/>
          <w:sz w:val="24"/>
        </w:rPr>
        <w:t>、灌木林地</w:t>
      </w:r>
      <w:r>
        <w:rPr>
          <w:sz w:val="24"/>
        </w:rPr>
        <w:t>变为道路和建筑物用地，改变类型占区域比例较低；临时征</w:t>
      </w:r>
      <w:r>
        <w:rPr>
          <w:rFonts w:hint="eastAsia"/>
          <w:sz w:val="24"/>
        </w:rPr>
        <w:t>占</w:t>
      </w:r>
      <w:r>
        <w:rPr>
          <w:sz w:val="24"/>
        </w:rPr>
        <w:t>土地面积为</w:t>
      </w:r>
      <w:r>
        <w:rPr>
          <w:rFonts w:hint="eastAsia"/>
          <w:sz w:val="24"/>
        </w:rPr>
        <w:t>3.3244</w:t>
      </w:r>
      <w:r>
        <w:rPr>
          <w:sz w:val="24"/>
        </w:rPr>
        <w:t>hm</w:t>
      </w:r>
      <w:r>
        <w:rPr>
          <w:sz w:val="24"/>
          <w:vertAlign w:val="superscript"/>
        </w:rPr>
        <w:t>2</w:t>
      </w:r>
      <w:r>
        <w:rPr>
          <w:sz w:val="24"/>
        </w:rPr>
        <w:t>，将全部恢复为原地貌。</w:t>
      </w:r>
    </w:p>
    <w:p>
      <w:pPr>
        <w:wordWrap w:val="0"/>
        <w:spacing w:line="440" w:lineRule="exact"/>
        <w:ind w:firstLine="480" w:firstLineChars="200"/>
        <w:rPr>
          <w:sz w:val="24"/>
        </w:rPr>
      </w:pPr>
      <w:r>
        <w:rPr>
          <w:sz w:val="24"/>
        </w:rPr>
        <w:t>（2）</w:t>
      </w:r>
      <w:r>
        <w:rPr>
          <w:rFonts w:hint="eastAsia"/>
          <w:sz w:val="24"/>
        </w:rPr>
        <w:t>对植被的影响：工程的实施均要占压土地破坏地表植被。永久损失的植被以荒草地、灌木林地为主，占地区不属于珍稀树种保护区，在其附近就可见到相似的群落，永久损失的物种适应性强，不存在因局部植被损失而导致种群消失或灭迹。随着项目的建成，施工临时占地将进行有效地植被恢复，项目建设对植物种群的影响将大大减轻。风电场范围内没有珍稀动植物集中分布，而且风电场的风力发电机组机位和集电线路杆塔采用：“点征”占地方式，因此本项目的建设对当地植被的总体影响不大。</w:t>
      </w:r>
    </w:p>
    <w:p>
      <w:pPr>
        <w:wordWrap w:val="0"/>
        <w:spacing w:line="440" w:lineRule="exact"/>
        <w:ind w:firstLine="480" w:firstLineChars="200"/>
        <w:rPr>
          <w:sz w:val="24"/>
        </w:rPr>
      </w:pPr>
      <w:r>
        <w:rPr>
          <w:sz w:val="24"/>
        </w:rPr>
        <w:t>（3）对动物的影响：施工过程会对风电场区域野生动物的活动、栖息产生干扰，但不会引起物种消失和生物多样性的减少。风电场在运营期基本不会对野生动物的生存和活动以及鸟类的迁徙产生影响。</w:t>
      </w:r>
    </w:p>
    <w:p>
      <w:pPr>
        <w:wordWrap w:val="0"/>
        <w:spacing w:line="440" w:lineRule="exact"/>
        <w:ind w:firstLine="480" w:firstLineChars="200"/>
        <w:rPr>
          <w:sz w:val="24"/>
        </w:rPr>
      </w:pPr>
      <w:r>
        <w:rPr>
          <w:sz w:val="24"/>
        </w:rPr>
        <w:t>（4）</w:t>
      </w:r>
      <w:r>
        <w:rPr>
          <w:rFonts w:hint="eastAsia"/>
          <w:sz w:val="24"/>
        </w:rPr>
        <w:t>对景观的影响：风电场与区域景观的协调性较好，对景观的影响程度较轻。项目施工期会对景观产生一定的负面影响，但随着施工期的结束，实施植被恢复，采取种植灌草、树木等措施，负面影响也随之消失。风电场建成后，风力发电机组白色塔筒和叶片与蓝天和白云结合效果完美，构成一个非常美观、独特的人文景观，同时也可将场区开发成独具特色的旅游景点。</w:t>
      </w:r>
    </w:p>
    <w:p>
      <w:pPr>
        <w:wordWrap w:val="0"/>
        <w:spacing w:line="440" w:lineRule="exact"/>
        <w:ind w:firstLine="480" w:firstLineChars="200"/>
        <w:rPr>
          <w:sz w:val="24"/>
        </w:rPr>
      </w:pPr>
      <w:r>
        <w:rPr>
          <w:sz w:val="24"/>
        </w:rPr>
        <w:t>（</w:t>
      </w:r>
      <w:r>
        <w:rPr>
          <w:rFonts w:hint="eastAsia"/>
          <w:sz w:val="24"/>
        </w:rPr>
        <w:t>5</w:t>
      </w:r>
      <w:r>
        <w:rPr>
          <w:sz w:val="24"/>
        </w:rPr>
        <w:t>）根据风电场项目建设特点，制定了具体的生态影响的防护与恢复措施以及生态环境管理措施，最大程度减轻项目建设对生态环境的影响。</w:t>
      </w:r>
    </w:p>
    <w:p>
      <w:pPr>
        <w:wordWrap w:val="0"/>
        <w:spacing w:line="440" w:lineRule="exact"/>
        <w:ind w:firstLine="480" w:firstLineChars="200"/>
        <w:rPr>
          <w:sz w:val="24"/>
        </w:rPr>
      </w:pPr>
      <w:r>
        <w:rPr>
          <w:rFonts w:hint="eastAsia"/>
          <w:sz w:val="24"/>
        </w:rPr>
        <w:t>综上所述，在采取评价提出的生态保护措施后，本项目建设对评价区生态环境的影响是可以接受的。</w:t>
      </w:r>
    </w:p>
    <w:sectPr>
      <w:pgSz w:w="11906" w:h="16838"/>
      <w:pgMar w:top="1440" w:right="1440" w:bottom="1440" w:left="144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华文中宋">
    <w:altName w:val="宋体"/>
    <w:panose1 w:val="02010600040101010101"/>
    <w:charset w:val="86"/>
    <w:family w:val="auto"/>
    <w:pitch w:val="default"/>
    <w:sig w:usb0="00000287" w:usb1="080F0000" w:usb2="00000010" w:usb3="00000000" w:csb0="0004009F" w:csb1="00000000"/>
  </w:font>
  <w:font w:name="仿宋_GB2312">
    <w:altName w:val="仿宋"/>
    <w:panose1 w:val="00000000000000000000"/>
    <w:charset w:val="86"/>
    <w:family w:val="auto"/>
    <w:pitch w:val="default"/>
    <w:sig w:usb0="00000001" w:usb1="080E0000" w:usb2="00000010" w:usb3="00000000" w:csb0="00040000" w:csb1="00000000"/>
  </w:font>
  <w:font w:name="Cambria">
    <w:panose1 w:val="02040503050406030204"/>
    <w:charset w:val="00"/>
    <w:family w:val="auto"/>
    <w:pitch w:val="default"/>
    <w:sig w:usb0="E00002FF" w:usb1="400004FF" w:usb2="00000000" w:usb3="00000000" w:csb0="2000019F" w:csb1="00000000"/>
  </w:font>
  <w:font w:name="黑?">
    <w:altName w:val="Times New Roman"/>
    <w:panose1 w:val="00000000000000000000"/>
    <w:charset w:val="00"/>
    <w:family w:val="auto"/>
    <w:pitch w:val="default"/>
    <w:sig w:usb0="00000000" w:usb1="00000000" w:usb2="00000000" w:usb3="00000000" w:csb0="00000001" w:csb1="00000000"/>
  </w:font>
  <w:font w:name="宋?">
    <w:altName w:val="Times New Roman"/>
    <w:panose1 w:val="00000000000000000000"/>
    <w:charset w:val="00"/>
    <w:family w:val="auto"/>
    <w:pitch w:val="default"/>
    <w:sig w:usb0="00000000" w:usb1="00000000" w:usb2="00000000" w:usb3="00000000" w:csb0="00000001" w:csb1="00000000"/>
  </w:font>
  <w:font w:name="MS Mincho">
    <w:panose1 w:val="02020609040205080304"/>
    <w:charset w:val="80"/>
    <w:family w:val="auto"/>
    <w:pitch w:val="default"/>
    <w:sig w:usb0="E00002FF" w:usb1="6AC7FDFB" w:usb2="00000012" w:usb3="00000000" w:csb0="4002009F" w:csb1="DFD70000"/>
  </w:font>
  <w:font w:name="Cambria Math">
    <w:panose1 w:val="02040503050406030204"/>
    <w:charset w:val="00"/>
    <w:family w:val="auto"/>
    <w:pitch w:val="default"/>
    <w:sig w:usb0="E00002FF" w:usb1="420024FF" w:usb2="00000000" w:usb3="00000000" w:csb0="2000019F" w:csb1="00000000"/>
  </w:font>
  <w:font w:name="楷体_GB2312">
    <w:altName w:val="楷体"/>
    <w:panose1 w:val="00000000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jc w:val="center"/>
    </w:pPr>
    <w:r>
      <w:fldChar w:fldCharType="begin"/>
    </w:r>
    <w:r>
      <w:rPr>
        <w:rStyle w:val="31"/>
      </w:rPr>
      <w:instrText xml:space="preserve"> PAGE </w:instrText>
    </w:r>
    <w:r>
      <w:fldChar w:fldCharType="separate"/>
    </w:r>
    <w:r>
      <w:rPr>
        <w:rStyle w:val="31"/>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framePr w:wrap="around" w:hAnchor="margin" w:vAnchor="text" w:xAlign="center" w:y="1"/>
      <w:rPr>
        <w:rStyle w:val="31"/>
      </w:rPr>
    </w:pPr>
    <w:r>
      <w:fldChar w:fldCharType="begin"/>
    </w:r>
    <w:r>
      <w:rPr>
        <w:rStyle w:val="31"/>
      </w:rPr>
      <w:instrText xml:space="preserve">PAGE  </w:instrText>
    </w:r>
    <w:r>
      <w:fldChar w:fldCharType="separate"/>
    </w:r>
    <w:r>
      <w:rPr>
        <w:rStyle w:val="31"/>
      </w:rPr>
      <w:t>47</w: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framePr w:wrap="around" w:hAnchor="margin" w:vAnchor="text" w:xAlign="center" w:y="1"/>
      <w:rPr>
        <w:rStyle w:val="31"/>
      </w:rPr>
    </w:pPr>
    <w:r>
      <w:fldChar w:fldCharType="begin"/>
    </w:r>
    <w:r>
      <w:rPr>
        <w:rStyle w:val="31"/>
      </w:rPr>
      <w:instrText xml:space="preserve">PAGE  </w:instrText>
    </w:r>
    <w:r>
      <w:fldChar w:fldCharType="separate"/>
    </w:r>
    <w:r>
      <w:fldChar w:fldCharType="end"/>
    </w: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framePr w:wrap="around" w:hAnchor="margin" w:vAnchor="text" w:xAlign="center" w:y="1"/>
      <w:rPr>
        <w:rStyle w:val="31"/>
      </w:rPr>
    </w:pPr>
    <w:r>
      <w:fldChar w:fldCharType="begin"/>
    </w:r>
    <w:r>
      <w:rPr>
        <w:rStyle w:val="31"/>
      </w:rPr>
      <w:instrText xml:space="preserve">PAGE  </w:instrText>
    </w:r>
    <w:r>
      <w:fldChar w:fldCharType="separate"/>
    </w:r>
    <w:r>
      <w:rPr>
        <w:rStyle w:val="31"/>
      </w:rPr>
      <w:t>15</w:t>
    </w:r>
    <w:r>
      <w:fldChar w:fldCharType="end"/>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2230064">
    <w:nsid w:val="5DB653B0"/>
    <w:multiLevelType w:val="multilevel"/>
    <w:tmpl w:val="5DB653B0"/>
    <w:lvl w:ilvl="0" w:tentative="1">
      <w:start w:val="1"/>
      <w:numFmt w:val="decimalEnclosedCircle"/>
      <w:lvlText w:val="%1"/>
      <w:lvlJc w:val="left"/>
      <w:pPr>
        <w:ind w:left="900" w:hanging="420"/>
      </w:pPr>
      <w:rPr>
        <w:rFonts w:hint="default" w:ascii="宋体"/>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2130853743">
    <w:nsid w:val="7F023F6F"/>
    <w:multiLevelType w:val="multilevel"/>
    <w:tmpl w:val="7F023F6F"/>
    <w:lvl w:ilvl="0" w:tentative="1">
      <w:start w:val="1"/>
      <w:numFmt w:val="decimalEnclosedCircle"/>
      <w:lvlText w:val="%1"/>
      <w:lvlJc w:val="left"/>
      <w:pPr>
        <w:tabs>
          <w:tab w:val="left" w:pos="900"/>
        </w:tabs>
        <w:ind w:left="900" w:hanging="360"/>
      </w:pPr>
      <w:rPr>
        <w:rFonts w:hint="default"/>
      </w:rPr>
    </w:lvl>
    <w:lvl w:ilvl="1" w:tentative="1">
      <w:start w:val="1"/>
      <w:numFmt w:val="upperLetter"/>
      <w:lvlText w:val="%2．"/>
      <w:lvlJc w:val="left"/>
      <w:pPr>
        <w:tabs>
          <w:tab w:val="left" w:pos="1320"/>
        </w:tabs>
        <w:ind w:left="1320" w:hanging="420"/>
      </w:pPr>
      <w:rPr>
        <w:rFonts w:hint="default"/>
      </w:rPr>
    </w:lvl>
    <w:lvl w:ilvl="2" w:tentative="1">
      <w:start w:val="1"/>
      <w:numFmt w:val="lowerRoman"/>
      <w:lvlText w:val="%3."/>
      <w:lvlJc w:val="right"/>
      <w:pPr>
        <w:tabs>
          <w:tab w:val="left" w:pos="1740"/>
        </w:tabs>
        <w:ind w:left="1740" w:hanging="420"/>
      </w:pPr>
    </w:lvl>
    <w:lvl w:ilvl="3" w:tentative="1">
      <w:start w:val="1"/>
      <w:numFmt w:val="decimal"/>
      <w:lvlText w:val="%4."/>
      <w:lvlJc w:val="left"/>
      <w:pPr>
        <w:tabs>
          <w:tab w:val="left" w:pos="2160"/>
        </w:tabs>
        <w:ind w:left="2160" w:hanging="420"/>
      </w:pPr>
    </w:lvl>
    <w:lvl w:ilvl="4" w:tentative="1">
      <w:start w:val="1"/>
      <w:numFmt w:val="lowerLetter"/>
      <w:lvlText w:val="%5)"/>
      <w:lvlJc w:val="left"/>
      <w:pPr>
        <w:tabs>
          <w:tab w:val="left" w:pos="2580"/>
        </w:tabs>
        <w:ind w:left="2580" w:hanging="420"/>
      </w:pPr>
    </w:lvl>
    <w:lvl w:ilvl="5" w:tentative="1">
      <w:start w:val="1"/>
      <w:numFmt w:val="lowerRoman"/>
      <w:lvlText w:val="%6."/>
      <w:lvlJc w:val="right"/>
      <w:pPr>
        <w:tabs>
          <w:tab w:val="left" w:pos="3000"/>
        </w:tabs>
        <w:ind w:left="3000" w:hanging="420"/>
      </w:pPr>
    </w:lvl>
    <w:lvl w:ilvl="6" w:tentative="1">
      <w:start w:val="1"/>
      <w:numFmt w:val="decimal"/>
      <w:lvlText w:val="%7."/>
      <w:lvlJc w:val="left"/>
      <w:pPr>
        <w:tabs>
          <w:tab w:val="left" w:pos="3420"/>
        </w:tabs>
        <w:ind w:left="3420" w:hanging="420"/>
      </w:pPr>
    </w:lvl>
    <w:lvl w:ilvl="7" w:tentative="1">
      <w:start w:val="1"/>
      <w:numFmt w:val="lowerLetter"/>
      <w:lvlText w:val="%8)"/>
      <w:lvlJc w:val="left"/>
      <w:pPr>
        <w:tabs>
          <w:tab w:val="left" w:pos="3840"/>
        </w:tabs>
        <w:ind w:left="3840" w:hanging="420"/>
      </w:pPr>
    </w:lvl>
    <w:lvl w:ilvl="8" w:tentative="1">
      <w:start w:val="1"/>
      <w:numFmt w:val="lowerRoman"/>
      <w:lvlText w:val="%9."/>
      <w:lvlJc w:val="right"/>
      <w:pPr>
        <w:tabs>
          <w:tab w:val="left" w:pos="4260"/>
        </w:tabs>
        <w:ind w:left="4260" w:hanging="420"/>
      </w:pPr>
    </w:lvl>
  </w:abstractNum>
  <w:abstractNum w:abstractNumId="2608057613">
    <w:nsid w:val="9B73CD0D"/>
    <w:multiLevelType w:val="singleLevel"/>
    <w:tmpl w:val="9B73CD0D"/>
    <w:lvl w:ilvl="0" w:tentative="1">
      <w:start w:val="3"/>
      <w:numFmt w:val="decimal"/>
      <w:suff w:val="nothing"/>
      <w:lvlText w:val="%1、"/>
      <w:lvlJc w:val="left"/>
    </w:lvl>
  </w:abstractNum>
  <w:abstractNum w:abstractNumId="114520640">
    <w:nsid w:val="06D37240"/>
    <w:multiLevelType w:val="multilevel"/>
    <w:tmpl w:val="06D37240"/>
    <w:lvl w:ilvl="0" w:tentative="1">
      <w:start w:val="1"/>
      <w:numFmt w:val="decimalEnclosedCircle"/>
      <w:lvlText w:val="%1"/>
      <w:lvlJc w:val="left"/>
      <w:pPr>
        <w:ind w:left="1560" w:hanging="360"/>
      </w:pPr>
      <w:rPr>
        <w:rFonts w:hint="default" w:ascii="宋体"/>
      </w:rPr>
    </w:lvl>
    <w:lvl w:ilvl="1" w:tentative="1">
      <w:start w:val="1"/>
      <w:numFmt w:val="lowerLetter"/>
      <w:lvlText w:val="%2)"/>
      <w:lvlJc w:val="left"/>
      <w:pPr>
        <w:ind w:left="2040" w:hanging="420"/>
      </w:pPr>
    </w:lvl>
    <w:lvl w:ilvl="2" w:tentative="1">
      <w:start w:val="1"/>
      <w:numFmt w:val="lowerRoman"/>
      <w:lvlText w:val="%3."/>
      <w:lvlJc w:val="right"/>
      <w:pPr>
        <w:ind w:left="2460" w:hanging="420"/>
      </w:pPr>
    </w:lvl>
    <w:lvl w:ilvl="3" w:tentative="1">
      <w:start w:val="1"/>
      <w:numFmt w:val="decimal"/>
      <w:lvlText w:val="%4."/>
      <w:lvlJc w:val="left"/>
      <w:pPr>
        <w:ind w:left="2880" w:hanging="420"/>
      </w:pPr>
    </w:lvl>
    <w:lvl w:ilvl="4" w:tentative="1">
      <w:start w:val="1"/>
      <w:numFmt w:val="lowerLetter"/>
      <w:lvlText w:val="%5)"/>
      <w:lvlJc w:val="left"/>
      <w:pPr>
        <w:ind w:left="3300" w:hanging="420"/>
      </w:pPr>
    </w:lvl>
    <w:lvl w:ilvl="5" w:tentative="1">
      <w:start w:val="1"/>
      <w:numFmt w:val="lowerRoman"/>
      <w:lvlText w:val="%6."/>
      <w:lvlJc w:val="right"/>
      <w:pPr>
        <w:ind w:left="3720" w:hanging="420"/>
      </w:pPr>
    </w:lvl>
    <w:lvl w:ilvl="6" w:tentative="1">
      <w:start w:val="1"/>
      <w:numFmt w:val="decimal"/>
      <w:lvlText w:val="%7."/>
      <w:lvlJc w:val="left"/>
      <w:pPr>
        <w:ind w:left="4140" w:hanging="420"/>
      </w:pPr>
    </w:lvl>
    <w:lvl w:ilvl="7" w:tentative="1">
      <w:start w:val="1"/>
      <w:numFmt w:val="lowerLetter"/>
      <w:lvlText w:val="%8)"/>
      <w:lvlJc w:val="left"/>
      <w:pPr>
        <w:ind w:left="4560" w:hanging="420"/>
      </w:pPr>
    </w:lvl>
    <w:lvl w:ilvl="8" w:tentative="1">
      <w:start w:val="1"/>
      <w:numFmt w:val="lowerRoman"/>
      <w:lvlText w:val="%9."/>
      <w:lvlJc w:val="right"/>
      <w:pPr>
        <w:ind w:left="4980" w:hanging="420"/>
      </w:pPr>
    </w:lvl>
  </w:abstractNum>
  <w:abstractNum w:abstractNumId="594215738">
    <w:nsid w:val="236B033A"/>
    <w:multiLevelType w:val="multilevel"/>
    <w:tmpl w:val="236B033A"/>
    <w:lvl w:ilvl="0" w:tentative="1">
      <w:start w:val="1"/>
      <w:numFmt w:val="decimal"/>
      <w:lvlText w:val="（%1）"/>
      <w:lvlJc w:val="left"/>
      <w:pPr>
        <w:ind w:left="1200" w:hanging="72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732311149">
    <w:nsid w:val="2BA62E6D"/>
    <w:multiLevelType w:val="multilevel"/>
    <w:tmpl w:val="2BA62E6D"/>
    <w:lvl w:ilvl="0" w:tentative="1">
      <w:start w:val="1"/>
      <w:numFmt w:val="decimalEnclosedCircle"/>
      <w:lvlText w:val="%1"/>
      <w:lvlJc w:val="left"/>
      <w:pPr>
        <w:ind w:left="360" w:hanging="360"/>
      </w:pPr>
      <w:rPr>
        <w:rFonts w:hint="default" w:ascii="宋体" w:hAnsi="宋体"/>
      </w:rPr>
    </w:lvl>
    <w:lvl w:ilvl="1" w:tentative="1">
      <w:start w:val="1"/>
      <w:numFmt w:val="decimalEnclosedCircle"/>
      <w:lvlText w:val="%2"/>
      <w:lvlJc w:val="left"/>
      <w:pPr>
        <w:ind w:left="1140" w:hanging="720"/>
      </w:pPr>
      <w:rPr>
        <w:rFonts w:hint="default" w:ascii="宋体" w:hAnsi="宋体"/>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62026951">
    <w:nsid w:val="3F4D3EC7"/>
    <w:multiLevelType w:val="multilevel"/>
    <w:tmpl w:val="3F4D3EC7"/>
    <w:lvl w:ilvl="0" w:tentative="1">
      <w:start w:val="1"/>
      <w:numFmt w:val="decimalEnclosedCircle"/>
      <w:lvlText w:val="%1"/>
      <w:lvlJc w:val="left"/>
      <w:pPr>
        <w:ind w:left="360" w:hanging="360"/>
      </w:pPr>
      <w:rPr>
        <w:rFonts w:hint="default" w:cs="Times New Roman"/>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11236815">
    <w:nsid w:val="5A13A4CF"/>
    <w:multiLevelType w:val="singleLevel"/>
    <w:tmpl w:val="5A13A4CF"/>
    <w:lvl w:ilvl="0" w:tentative="1">
      <w:start w:val="1"/>
      <w:numFmt w:val="decimal"/>
      <w:suff w:val="nothing"/>
      <w:lvlText w:val="（%1）"/>
      <w:lvlJc w:val="left"/>
      <w:pPr>
        <w:ind w:left="540" w:firstLine="0"/>
      </w:pPr>
    </w:lvl>
  </w:abstractNum>
  <w:num w:numId="1">
    <w:abstractNumId w:val="594215738"/>
  </w:num>
  <w:num w:numId="2">
    <w:abstractNumId w:val="114520640"/>
  </w:num>
  <w:num w:numId="3">
    <w:abstractNumId w:val="2608057613"/>
  </w:num>
  <w:num w:numId="4">
    <w:abstractNumId w:val="1511236815"/>
  </w:num>
  <w:num w:numId="5">
    <w:abstractNumId w:val="732311149"/>
  </w:num>
  <w:num w:numId="6">
    <w:abstractNumId w:val="1062026951"/>
  </w:num>
  <w:num w:numId="7">
    <w:abstractNumId w:val="1572230064"/>
  </w:num>
  <w:num w:numId="8">
    <w:abstractNumId w:val="21308537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tabs>
        <w:tab w:val="left" w:pos="576"/>
      </w:tabs>
      <w:adjustRightInd w:val="0"/>
      <w:snapToGrid w:val="0"/>
      <w:spacing w:before="120" w:afterLines="50" w:line="480" w:lineRule="exact"/>
      <w:ind w:left="576" w:hanging="576"/>
      <w:outlineLvl w:val="1"/>
    </w:pPr>
    <w:rPr>
      <w:rFonts w:eastAsia="黑体"/>
      <w:color w:val="000000"/>
      <w:sz w:val="28"/>
      <w:szCs w:val="28"/>
    </w:rPr>
  </w:style>
  <w:style w:type="paragraph" w:styleId="4">
    <w:name w:val="heading 3"/>
    <w:basedOn w:val="1"/>
    <w:next w:val="1"/>
    <w:link w:val="69"/>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uiPriority w:val="1"/>
  </w:style>
  <w:style w:type="paragraph" w:styleId="5">
    <w:name w:val="annotation subject"/>
    <w:basedOn w:val="6"/>
    <w:next w:val="6"/>
    <w:link w:val="80"/>
    <w:uiPriority w:val="0"/>
    <w:rPr>
      <w:b/>
      <w:bCs/>
    </w:rPr>
  </w:style>
  <w:style w:type="paragraph" w:styleId="6">
    <w:name w:val="annotation text"/>
    <w:basedOn w:val="1"/>
    <w:link w:val="81"/>
    <w:uiPriority w:val="0"/>
    <w:pPr>
      <w:jc w:val="left"/>
    </w:pPr>
  </w:style>
  <w:style w:type="paragraph" w:styleId="7">
    <w:name w:val="toc 7"/>
    <w:basedOn w:val="1"/>
    <w:next w:val="1"/>
    <w:uiPriority w:val="0"/>
    <w:pPr>
      <w:ind w:left="1260"/>
      <w:jc w:val="left"/>
    </w:pPr>
    <w:rPr>
      <w:rFonts w:ascii="Calibri" w:hAnsi="Calibri"/>
      <w:sz w:val="18"/>
      <w:szCs w:val="18"/>
    </w:rPr>
  </w:style>
  <w:style w:type="paragraph" w:styleId="8">
    <w:name w:val="Normal Indent"/>
    <w:basedOn w:val="1"/>
    <w:uiPriority w:val="0"/>
    <w:pPr>
      <w:spacing w:after="120"/>
      <w:ind w:firstLine="200"/>
    </w:pPr>
    <w:rPr>
      <w:sz w:val="28"/>
      <w:szCs w:val="20"/>
    </w:rPr>
  </w:style>
  <w:style w:type="paragraph" w:styleId="9">
    <w:name w:val="caption"/>
    <w:basedOn w:val="1"/>
    <w:next w:val="1"/>
    <w:qFormat/>
    <w:uiPriority w:val="0"/>
    <w:pPr>
      <w:keepNext/>
      <w:spacing w:before="152" w:after="160"/>
      <w:ind w:firstLine="240" w:firstLineChars="100"/>
      <w:jc w:val="center"/>
    </w:pPr>
    <w:rPr>
      <w:rFonts w:ascii="Arial" w:hAnsi="Arial" w:eastAsia="黑体" w:cs="Arial"/>
      <w:sz w:val="24"/>
      <w:szCs w:val="20"/>
      <w:u w:val="double"/>
    </w:rPr>
  </w:style>
  <w:style w:type="paragraph" w:styleId="10">
    <w:name w:val="Document Map"/>
    <w:basedOn w:val="1"/>
    <w:semiHidden/>
    <w:uiPriority w:val="0"/>
    <w:pPr>
      <w:shd w:val="clear" w:color="auto" w:fill="000080"/>
    </w:pPr>
  </w:style>
  <w:style w:type="paragraph" w:styleId="11">
    <w:name w:val="Body Text"/>
    <w:basedOn w:val="1"/>
    <w:uiPriority w:val="0"/>
    <w:pPr>
      <w:spacing w:line="600" w:lineRule="exact"/>
      <w:jc w:val="center"/>
    </w:pPr>
    <w:rPr>
      <w:rFonts w:eastAsia="华文中宋"/>
      <w:b/>
      <w:bCs/>
      <w:sz w:val="28"/>
    </w:rPr>
  </w:style>
  <w:style w:type="paragraph" w:styleId="12">
    <w:name w:val="Body Text Indent"/>
    <w:basedOn w:val="1"/>
    <w:uiPriority w:val="0"/>
    <w:pPr>
      <w:widowControl/>
      <w:spacing w:after="120"/>
      <w:ind w:left="420" w:leftChars="200"/>
      <w:jc w:val="left"/>
    </w:pPr>
    <w:rPr>
      <w:rFonts w:ascii="宋体" w:hAnsi="宋体" w:cs="宋体"/>
      <w:kern w:val="0"/>
      <w:sz w:val="24"/>
    </w:rPr>
  </w:style>
  <w:style w:type="paragraph" w:styleId="13">
    <w:name w:val="toc 5"/>
    <w:basedOn w:val="1"/>
    <w:next w:val="1"/>
    <w:uiPriority w:val="0"/>
    <w:pPr>
      <w:ind w:left="840"/>
      <w:jc w:val="left"/>
    </w:pPr>
    <w:rPr>
      <w:rFonts w:ascii="Calibri" w:hAnsi="Calibri"/>
      <w:sz w:val="18"/>
      <w:szCs w:val="18"/>
    </w:rPr>
  </w:style>
  <w:style w:type="paragraph" w:styleId="14">
    <w:name w:val="toc 3"/>
    <w:basedOn w:val="1"/>
    <w:next w:val="1"/>
    <w:uiPriority w:val="39"/>
    <w:pPr>
      <w:ind w:left="420"/>
      <w:jc w:val="left"/>
    </w:pPr>
    <w:rPr>
      <w:rFonts w:ascii="Calibri" w:hAnsi="Calibri"/>
      <w:i/>
      <w:iCs/>
      <w:sz w:val="20"/>
      <w:szCs w:val="20"/>
    </w:rPr>
  </w:style>
  <w:style w:type="paragraph" w:styleId="15">
    <w:name w:val="Plain Text"/>
    <w:basedOn w:val="1"/>
    <w:link w:val="75"/>
    <w:uiPriority w:val="0"/>
    <w:rPr>
      <w:rFonts w:ascii="宋体" w:hAnsi="Courier New" w:cs="Courier New"/>
      <w:szCs w:val="21"/>
    </w:rPr>
  </w:style>
  <w:style w:type="paragraph" w:styleId="16">
    <w:name w:val="toc 8"/>
    <w:basedOn w:val="1"/>
    <w:next w:val="1"/>
    <w:uiPriority w:val="0"/>
    <w:pPr>
      <w:ind w:left="1470"/>
      <w:jc w:val="left"/>
    </w:pPr>
    <w:rPr>
      <w:rFonts w:ascii="Calibri" w:hAnsi="Calibri"/>
      <w:sz w:val="18"/>
      <w:szCs w:val="18"/>
    </w:rPr>
  </w:style>
  <w:style w:type="paragraph" w:styleId="17">
    <w:name w:val="Body Text Indent 2"/>
    <w:basedOn w:val="1"/>
    <w:link w:val="70"/>
    <w:uiPriority w:val="0"/>
    <w:pPr>
      <w:spacing w:line="360" w:lineRule="auto"/>
      <w:ind w:firstLine="600"/>
    </w:pPr>
    <w:rPr>
      <w:sz w:val="24"/>
      <w:szCs w:val="20"/>
    </w:rPr>
  </w:style>
  <w:style w:type="paragraph" w:styleId="18">
    <w:name w:val="Balloon Text"/>
    <w:basedOn w:val="1"/>
    <w:semiHidden/>
    <w:uiPriority w:val="0"/>
    <w:rPr>
      <w:b/>
      <w:kern w:val="2"/>
      <w:sz w:val="18"/>
      <w:szCs w:val="18"/>
    </w:rPr>
  </w:style>
  <w:style w:type="character" w:customStyle="1" w:styleId="19">
    <w:name w:val="批注框文本 Char"/>
    <w:link w:val="20"/>
    <w:uiPriority w:val="99"/>
    <w:rPr>
      <w:b/>
      <w:kern w:val="2"/>
      <w:sz w:val="18"/>
      <w:szCs w:val="18"/>
    </w:rPr>
  </w:style>
  <w:style w:type="paragraph" w:customStyle="1" w:styleId="20">
    <w:name w:val="批注框文本1"/>
    <w:basedOn w:val="1"/>
    <w:link w:val="19"/>
    <w:uiPriority w:val="99"/>
    <w:rPr>
      <w:b/>
      <w:sz w:val="18"/>
      <w:szCs w:val="18"/>
    </w:rPr>
  </w:style>
  <w:style w:type="paragraph" w:styleId="21">
    <w:name w:val="footer"/>
    <w:basedOn w:val="1"/>
    <w:uiPriority w:val="0"/>
    <w:pPr>
      <w:tabs>
        <w:tab w:val="center" w:pos="4153"/>
        <w:tab w:val="right" w:pos="8306"/>
      </w:tabs>
      <w:snapToGrid w:val="0"/>
      <w:jc w:val="left"/>
    </w:pPr>
    <w:rPr>
      <w:sz w:val="18"/>
      <w:szCs w:val="18"/>
    </w:rPr>
  </w:style>
  <w:style w:type="paragraph" w:styleId="22">
    <w:name w:val="header"/>
    <w:basedOn w:val="1"/>
    <w:link w:val="73"/>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iPriority w:val="39"/>
    <w:pPr>
      <w:spacing w:before="120" w:after="120"/>
      <w:jc w:val="left"/>
    </w:pPr>
    <w:rPr>
      <w:rFonts w:ascii="Calibri" w:hAnsi="Calibri"/>
      <w:b/>
      <w:bCs/>
      <w:caps/>
      <w:sz w:val="20"/>
      <w:szCs w:val="20"/>
    </w:rPr>
  </w:style>
  <w:style w:type="paragraph" w:styleId="24">
    <w:name w:val="toc 4"/>
    <w:basedOn w:val="1"/>
    <w:next w:val="1"/>
    <w:uiPriority w:val="0"/>
    <w:pPr>
      <w:ind w:left="630"/>
      <w:jc w:val="left"/>
    </w:pPr>
    <w:rPr>
      <w:rFonts w:ascii="Calibri" w:hAnsi="Calibri"/>
      <w:sz w:val="18"/>
      <w:szCs w:val="18"/>
    </w:rPr>
  </w:style>
  <w:style w:type="paragraph" w:styleId="25">
    <w:name w:val="toc 6"/>
    <w:basedOn w:val="1"/>
    <w:next w:val="1"/>
    <w:uiPriority w:val="0"/>
    <w:pPr>
      <w:ind w:left="1050"/>
      <w:jc w:val="left"/>
    </w:pPr>
    <w:rPr>
      <w:rFonts w:ascii="Calibri" w:hAnsi="Calibri"/>
      <w:sz w:val="18"/>
      <w:szCs w:val="18"/>
    </w:rPr>
  </w:style>
  <w:style w:type="paragraph" w:styleId="26">
    <w:name w:val="Body Text Indent 3"/>
    <w:basedOn w:val="1"/>
    <w:uiPriority w:val="0"/>
    <w:pPr>
      <w:spacing w:line="440" w:lineRule="exact"/>
      <w:ind w:firstLine="567"/>
    </w:pPr>
    <w:rPr>
      <w:rFonts w:ascii="宋体" w:hAnsi="宋体"/>
      <w:sz w:val="28"/>
    </w:rPr>
  </w:style>
  <w:style w:type="paragraph" w:styleId="27">
    <w:name w:val="toc 2"/>
    <w:basedOn w:val="1"/>
    <w:next w:val="1"/>
    <w:uiPriority w:val="39"/>
    <w:pPr>
      <w:tabs>
        <w:tab w:val="right" w:leader="dot" w:pos="8222"/>
      </w:tabs>
      <w:ind w:left="210"/>
      <w:jc w:val="left"/>
    </w:pPr>
    <w:rPr>
      <w:rFonts w:ascii="Calibri" w:hAnsi="Calibri"/>
      <w:smallCaps/>
      <w:sz w:val="20"/>
      <w:szCs w:val="20"/>
    </w:rPr>
  </w:style>
  <w:style w:type="paragraph" w:styleId="28">
    <w:name w:val="toc 9"/>
    <w:basedOn w:val="1"/>
    <w:next w:val="1"/>
    <w:uiPriority w:val="0"/>
    <w:pPr>
      <w:ind w:left="1680"/>
      <w:jc w:val="left"/>
    </w:pPr>
    <w:rPr>
      <w:rFonts w:ascii="Calibri" w:hAnsi="Calibri"/>
      <w:sz w:val="18"/>
      <w:szCs w:val="18"/>
    </w:rPr>
  </w:style>
  <w:style w:type="paragraph" w:styleId="29">
    <w:name w:val="Normal (Web)"/>
    <w:basedOn w:val="1"/>
    <w:uiPriority w:val="0"/>
    <w:pPr>
      <w:widowControl/>
      <w:spacing w:before="100" w:beforeAutospacing="1" w:after="100" w:afterAutospacing="1"/>
      <w:jc w:val="left"/>
    </w:pPr>
    <w:rPr>
      <w:rFonts w:ascii="宋体" w:hAnsi="宋体" w:cs="宋体"/>
      <w:kern w:val="0"/>
      <w:sz w:val="24"/>
    </w:rPr>
  </w:style>
  <w:style w:type="character" w:styleId="31">
    <w:name w:val="page number"/>
    <w:basedOn w:val="30"/>
    <w:uiPriority w:val="0"/>
    <w:rPr/>
  </w:style>
  <w:style w:type="character" w:styleId="32">
    <w:name w:val="Hyperlink"/>
    <w:uiPriority w:val="99"/>
    <w:rPr>
      <w:color w:val="0000FF"/>
      <w:u w:val="single"/>
    </w:rPr>
  </w:style>
  <w:style w:type="character" w:styleId="33">
    <w:name w:val="annotation reference"/>
    <w:uiPriority w:val="0"/>
    <w:rPr>
      <w:sz w:val="21"/>
      <w:szCs w:val="21"/>
    </w:rPr>
  </w:style>
  <w:style w:type="paragraph" w:customStyle="1" w:styleId="34">
    <w:name w:val="样式4"/>
    <w:basedOn w:val="8"/>
    <w:link w:val="77"/>
    <w:uiPriority w:val="0"/>
    <w:pPr>
      <w:tabs>
        <w:tab w:val="left" w:pos="567"/>
      </w:tabs>
      <w:adjustRightInd w:val="0"/>
      <w:snapToGrid w:val="0"/>
      <w:spacing w:after="0" w:line="360" w:lineRule="auto"/>
      <w:ind w:firstLine="0"/>
      <w:textAlignment w:val="baseline"/>
    </w:pPr>
    <w:rPr>
      <w:b/>
      <w:bCs/>
      <w:color w:val="000000"/>
      <w:kern w:val="0"/>
      <w:sz w:val="24"/>
      <w:szCs w:val="24"/>
    </w:rPr>
  </w:style>
  <w:style w:type="paragraph" w:customStyle="1" w:styleId="35">
    <w:name w:val="Char Char Char Char Char Char Char Char Char Char"/>
    <w:basedOn w:val="1"/>
    <w:next w:val="1"/>
    <w:uiPriority w:val="0"/>
  </w:style>
  <w:style w:type="paragraph" w:customStyle="1" w:styleId="36">
    <w:name w:val="_Style 275"/>
    <w:basedOn w:val="1"/>
    <w:next w:val="1"/>
    <w:link w:val="71"/>
    <w:qFormat/>
    <w:uiPriority w:val="0"/>
    <w:pPr>
      <w:widowControl/>
      <w:ind w:left="720" w:right="720"/>
      <w:jc w:val="left"/>
    </w:pPr>
    <w:rPr>
      <w:rFonts w:ascii="Calibri" w:hAnsi="Calibri"/>
      <w:b/>
      <w:i/>
      <w:kern w:val="0"/>
      <w:sz w:val="24"/>
      <w:szCs w:val="22"/>
      <w:lang w:eastAsia="en-US" w:bidi="en-US"/>
    </w:rPr>
  </w:style>
  <w:style w:type="paragraph" w:customStyle="1" w:styleId="37">
    <w:name w:val="朔电正文"/>
    <w:basedOn w:val="1"/>
    <w:uiPriority w:val="0"/>
    <w:pPr>
      <w:adjustRightInd w:val="0"/>
      <w:snapToGrid w:val="0"/>
      <w:spacing w:beforeLines="25" w:line="440" w:lineRule="exact"/>
      <w:ind w:firstLine="480" w:firstLineChars="200"/>
    </w:pPr>
    <w:rPr>
      <w:color w:val="000000"/>
      <w:kern w:val="32"/>
      <w:sz w:val="24"/>
    </w:rPr>
  </w:style>
  <w:style w:type="paragraph" w:customStyle="1" w:styleId="38">
    <w:name w:val="样式2"/>
    <w:basedOn w:val="1"/>
    <w:link w:val="79"/>
    <w:qFormat/>
    <w:uiPriority w:val="0"/>
    <w:pPr>
      <w:tabs>
        <w:tab w:val="left" w:pos="567"/>
      </w:tabs>
      <w:adjustRightInd w:val="0"/>
      <w:snapToGrid w:val="0"/>
      <w:spacing w:line="360" w:lineRule="auto"/>
      <w:ind w:firstLine="482" w:firstLineChars="200"/>
      <w:textAlignment w:val="baseline"/>
    </w:pPr>
    <w:rPr>
      <w:b/>
      <w:bCs/>
      <w:snapToGrid w:val="0"/>
      <w:color w:val="000000"/>
      <w:kern w:val="0"/>
      <w:sz w:val="24"/>
    </w:rPr>
  </w:style>
  <w:style w:type="paragraph" w:customStyle="1" w:styleId="39">
    <w:name w:val="Char1"/>
    <w:basedOn w:val="3"/>
    <w:uiPriority w:val="0"/>
    <w:pPr>
      <w:widowControl/>
      <w:tabs>
        <w:tab w:val="clear" w:pos="576"/>
      </w:tabs>
      <w:spacing w:before="0" w:after="0" w:line="360" w:lineRule="auto"/>
      <w:ind w:left="0" w:firstLine="0"/>
      <w:outlineLvl w:val="0"/>
    </w:pPr>
    <w:rPr>
      <w:rFonts w:ascii="宋体" w:hAnsi="宋体" w:eastAsia="宋体" w:cs="宋体"/>
      <w:b/>
      <w:bCs/>
      <w:color w:val="auto"/>
      <w:kern w:val="0"/>
      <w:sz w:val="24"/>
      <w:szCs w:val="24"/>
    </w:rPr>
  </w:style>
  <w:style w:type="paragraph" w:customStyle="1" w:styleId="40">
    <w:name w:val="表格文字"/>
    <w:basedOn w:val="1"/>
    <w:uiPriority w:val="0"/>
    <w:pPr>
      <w:spacing w:line="280" w:lineRule="exact"/>
      <w:jc w:val="center"/>
    </w:pPr>
    <w:rPr>
      <w:sz w:val="24"/>
      <w:szCs w:val="20"/>
    </w:rPr>
  </w:style>
  <w:style w:type="paragraph" w:customStyle="1" w:styleId="41">
    <w:name w:val="流程图2"/>
    <w:basedOn w:val="1"/>
    <w:uiPriority w:val="0"/>
    <w:pPr>
      <w:spacing w:before="40" w:line="280" w:lineRule="exact"/>
      <w:jc w:val="center"/>
    </w:pPr>
    <w:rPr>
      <w:szCs w:val="20"/>
    </w:rPr>
  </w:style>
  <w:style w:type="paragraph" w:customStyle="1" w:styleId="42">
    <w:name w:val="初设正文"/>
    <w:basedOn w:val="1"/>
    <w:uiPriority w:val="0"/>
    <w:pPr>
      <w:tabs>
        <w:tab w:val="left" w:pos="3420"/>
      </w:tabs>
      <w:spacing w:line="360" w:lineRule="auto"/>
      <w:ind w:firstLine="480" w:firstLineChars="200"/>
    </w:pPr>
    <w:rPr>
      <w:sz w:val="24"/>
    </w:rPr>
  </w:style>
  <w:style w:type="paragraph" w:customStyle="1" w:styleId="43">
    <w:name w:val="e"/>
    <w:basedOn w:val="1"/>
    <w:uiPriority w:val="0"/>
  </w:style>
  <w:style w:type="paragraph" w:customStyle="1" w:styleId="44">
    <w:name w:val="段落"/>
    <w:basedOn w:val="1"/>
    <w:uiPriority w:val="0"/>
    <w:pPr>
      <w:adjustRightInd w:val="0"/>
      <w:snapToGrid w:val="0"/>
      <w:spacing w:line="300" w:lineRule="auto"/>
      <w:ind w:firstLine="538" w:firstLineChars="192"/>
    </w:pPr>
    <w:rPr>
      <w:sz w:val="28"/>
    </w:rPr>
  </w:style>
  <w:style w:type="paragraph" w:customStyle="1" w:styleId="45">
    <w:name w:val="标题2"/>
    <w:basedOn w:val="3"/>
    <w:uiPriority w:val="0"/>
    <w:pPr>
      <w:tabs>
        <w:tab w:val="clear" w:pos="576"/>
      </w:tabs>
      <w:spacing w:before="0" w:after="0" w:line="360" w:lineRule="auto"/>
      <w:ind w:left="0" w:firstLine="0"/>
      <w:jc w:val="left"/>
      <w:textAlignment w:val="baseline"/>
    </w:pPr>
    <w:rPr>
      <w:rFonts w:hAnsi="Arial" w:eastAsia="宋体"/>
      <w:b/>
      <w:color w:val="auto"/>
      <w:kern w:val="44"/>
      <w:sz w:val="24"/>
      <w:szCs w:val="24"/>
    </w:rPr>
  </w:style>
  <w:style w:type="paragraph" w:customStyle="1" w:styleId="46">
    <w:name w:val="表头"/>
    <w:basedOn w:val="1"/>
    <w:uiPriority w:val="0"/>
    <w:pPr>
      <w:spacing w:before="240" w:line="440" w:lineRule="exact"/>
      <w:ind w:left="255"/>
      <w:jc w:val="left"/>
    </w:pPr>
    <w:rPr>
      <w:rFonts w:ascii="Arial" w:hAnsi="Arial" w:eastAsia="黑体"/>
      <w:sz w:val="24"/>
      <w:szCs w:val="20"/>
    </w:rPr>
  </w:style>
  <w:style w:type="paragraph" w:customStyle="1" w:styleId="47">
    <w:name w:val="01"/>
    <w:basedOn w:val="15"/>
    <w:uiPriority w:val="0"/>
    <w:pPr>
      <w:widowControl/>
      <w:tabs>
        <w:tab w:val="left" w:pos="4917"/>
      </w:tabs>
      <w:jc w:val="center"/>
    </w:pPr>
    <w:rPr>
      <w:rFonts w:hAnsi="宋体" w:cs="Times New Roman"/>
      <w:kern w:val="0"/>
      <w:sz w:val="18"/>
      <w:szCs w:val="18"/>
    </w:rPr>
  </w:style>
  <w:style w:type="paragraph" w:customStyle="1" w:styleId="48">
    <w:name w:val="样式 五号 居中 行距: 单倍行距1"/>
    <w:basedOn w:val="1"/>
    <w:uiPriority w:val="0"/>
    <w:pPr>
      <w:jc w:val="center"/>
    </w:pPr>
    <w:rPr>
      <w:rFonts w:cs="宋体"/>
      <w:kern w:val="0"/>
      <w:szCs w:val="20"/>
    </w:rPr>
  </w:style>
  <w:style w:type="paragraph" w:customStyle="1" w:styleId="49">
    <w:name w:val="默认段落字体 Para Char"/>
    <w:basedOn w:val="1"/>
    <w:uiPriority w:val="0"/>
    <w:pPr>
      <w:spacing w:line="360" w:lineRule="auto"/>
      <w:ind w:firstLine="200" w:firstLineChars="200"/>
    </w:pPr>
    <w:rPr>
      <w:rFonts w:ascii="宋体" w:hAnsi="宋体" w:cs="宋体"/>
      <w:sz w:val="24"/>
    </w:rPr>
  </w:style>
  <w:style w:type="paragraph" w:customStyle="1" w:styleId="50">
    <w:name w:val="Char Char Char Char"/>
    <w:basedOn w:val="1"/>
    <w:uiPriority w:val="0"/>
    <w:pPr>
      <w:snapToGrid w:val="0"/>
      <w:spacing w:line="360" w:lineRule="auto"/>
      <w:ind w:firstLine="529" w:firstLineChars="200"/>
    </w:pPr>
    <w:rPr>
      <w:rFonts w:ascii="宋体" w:hAnsi="宋体"/>
      <w:b/>
    </w:rPr>
  </w:style>
  <w:style w:type="paragraph" w:customStyle="1" w:styleId="51">
    <w:name w:val="三级标题"/>
    <w:basedOn w:val="1"/>
    <w:link w:val="74"/>
    <w:uiPriority w:val="0"/>
    <w:pPr>
      <w:spacing w:line="360" w:lineRule="auto"/>
    </w:pPr>
    <w:rPr>
      <w:rFonts w:ascii="宋体" w:hAnsi="宋体"/>
      <w:bCs/>
      <w:sz w:val="24"/>
    </w:rPr>
  </w:style>
  <w:style w:type="paragraph" w:customStyle="1" w:styleId="52">
    <w:name w:val="Char Char"/>
    <w:basedOn w:val="1"/>
    <w:uiPriority w:val="0"/>
  </w:style>
  <w:style w:type="paragraph" w:customStyle="1" w:styleId="53">
    <w:name w:val="A常用文字"/>
    <w:basedOn w:val="1"/>
    <w:uiPriority w:val="0"/>
    <w:pPr>
      <w:adjustRightInd w:val="0"/>
      <w:snapToGrid w:val="0"/>
      <w:spacing w:line="440" w:lineRule="exact"/>
      <w:ind w:firstLine="567"/>
    </w:pPr>
    <w:rPr>
      <w:sz w:val="24"/>
      <w:szCs w:val="20"/>
    </w:rPr>
  </w:style>
  <w:style w:type="paragraph" w:customStyle="1" w:styleId="54">
    <w:name w:val="1"/>
    <w:basedOn w:val="1"/>
    <w:uiPriority w:val="0"/>
    <w:pPr>
      <w:spacing w:before="60" w:after="60"/>
      <w:jc w:val="center"/>
    </w:pPr>
    <w:rPr>
      <w:b/>
      <w:sz w:val="32"/>
      <w:szCs w:val="20"/>
    </w:rPr>
  </w:style>
  <w:style w:type="paragraph" w:customStyle="1" w:styleId="55">
    <w:name w:val="环评1级标题"/>
    <w:basedOn w:val="2"/>
    <w:next w:val="1"/>
    <w:uiPriority w:val="0"/>
    <w:pPr>
      <w:pageBreakBefore/>
      <w:spacing w:beforeLines="25" w:afterLines="25" w:line="440" w:lineRule="exact"/>
      <w:jc w:val="center"/>
    </w:pPr>
    <w:rPr>
      <w:rFonts w:eastAsia="黑体"/>
      <w:b w:val="0"/>
      <w:kern w:val="0"/>
      <w:sz w:val="32"/>
    </w:rPr>
  </w:style>
  <w:style w:type="paragraph" w:customStyle="1" w:styleId="56">
    <w:name w:val="List Paragraph"/>
    <w:basedOn w:val="1"/>
    <w:qFormat/>
    <w:uiPriority w:val="0"/>
    <w:pPr>
      <w:ind w:firstLine="420" w:firstLineChars="200"/>
    </w:pPr>
    <w:rPr>
      <w:rFonts w:ascii="Calibri" w:hAnsi="Calibri"/>
      <w:szCs w:val="22"/>
    </w:rPr>
  </w:style>
  <w:style w:type="paragraph" w:customStyle="1" w:styleId="57">
    <w:name w:val="表格居中"/>
    <w:basedOn w:val="1"/>
    <w:uiPriority w:val="0"/>
    <w:pPr>
      <w:jc w:val="center"/>
    </w:pPr>
    <w:rPr>
      <w:rFonts w:ascii="宋体"/>
      <w:bCs/>
      <w:snapToGrid w:val="0"/>
      <w:kern w:val="0"/>
      <w:szCs w:val="21"/>
      <w:u w:val="none" w:color="FF0000"/>
    </w:rPr>
  </w:style>
  <w:style w:type="paragraph" w:customStyle="1" w:styleId="58">
    <w:name w:val="环评标准段落"/>
    <w:basedOn w:val="1"/>
    <w:link w:val="83"/>
    <w:uiPriority w:val="0"/>
    <w:pPr>
      <w:spacing w:line="440" w:lineRule="exact"/>
      <w:ind w:firstLine="480" w:firstLineChars="200"/>
    </w:pPr>
    <w:rPr>
      <w:rFonts w:hAnsi="宋体"/>
      <w:color w:val="000000"/>
      <w:sz w:val="24"/>
    </w:rPr>
  </w:style>
  <w:style w:type="paragraph" w:customStyle="1" w:styleId="59">
    <w:name w:val="样式 标题 3 + 段前: 0 磅 段后: 0 磅 行距: 1.5 倍行距"/>
    <w:basedOn w:val="4"/>
    <w:uiPriority w:val="0"/>
    <w:pPr>
      <w:spacing w:beforeLines="50" w:after="0" w:line="360" w:lineRule="auto"/>
    </w:pPr>
    <w:rPr>
      <w:sz w:val="24"/>
      <w:szCs w:val="24"/>
    </w:rPr>
  </w:style>
  <w:style w:type="paragraph" w:customStyle="1" w:styleId="60">
    <w:name w:val="547618884"/>
    <w:basedOn w:val="1"/>
    <w:link w:val="76"/>
    <w:uiPriority w:val="0"/>
    <w:pPr>
      <w:spacing w:line="360" w:lineRule="auto"/>
      <w:ind w:firstLine="480" w:firstLineChars="200"/>
    </w:pPr>
    <w:rPr>
      <w:rFonts w:ascii="宋体" w:hAnsi="宋体"/>
      <w:bCs/>
      <w:color w:val="000000"/>
      <w:sz w:val="24"/>
    </w:rPr>
  </w:style>
  <w:style w:type="paragraph" w:customStyle="1" w:styleId="61">
    <w:name w:val="Char1 Char Char Char"/>
    <w:basedOn w:val="1"/>
    <w:uiPriority w:val="0"/>
    <w:pPr>
      <w:snapToGrid w:val="0"/>
      <w:spacing w:line="360" w:lineRule="auto"/>
      <w:ind w:firstLine="529" w:firstLineChars="200"/>
    </w:pPr>
    <w:rPr>
      <w:rFonts w:ascii="宋体" w:hAnsi="宋体"/>
      <w:b/>
    </w:rPr>
  </w:style>
  <w:style w:type="paragraph" w:customStyle="1" w:styleId="62">
    <w:name w:val="2"/>
    <w:basedOn w:val="1"/>
    <w:next w:val="29"/>
    <w:uiPriority w:val="0"/>
    <w:pPr>
      <w:widowControl/>
      <w:spacing w:before="100" w:beforeAutospacing="1" w:after="100" w:afterAutospacing="1"/>
      <w:jc w:val="left"/>
    </w:pPr>
    <w:rPr>
      <w:rFonts w:ascii="宋体" w:hAnsi="宋体" w:cs="宋体"/>
      <w:kern w:val="0"/>
      <w:sz w:val="24"/>
    </w:rPr>
  </w:style>
  <w:style w:type="paragraph" w:customStyle="1" w:styleId="63">
    <w:name w:val="Default"/>
    <w:unhideWhenUsed/>
    <w:uiPriority w:val="0"/>
    <w:pPr>
      <w:widowControl w:val="0"/>
      <w:autoSpaceDE w:val="0"/>
      <w:autoSpaceDN w:val="0"/>
      <w:adjustRightInd w:val="0"/>
    </w:pPr>
    <w:rPr>
      <w:rFonts w:ascii="宋体" w:hAnsi="宋体"/>
      <w:color w:val="000000"/>
      <w:sz w:val="24"/>
    </w:rPr>
  </w:style>
  <w:style w:type="paragraph" w:customStyle="1" w:styleId="64">
    <w:name w:val="content"/>
    <w:link w:val="68"/>
    <w:uiPriority w:val="0"/>
    <w:pPr>
      <w:adjustRightInd w:val="0"/>
      <w:spacing w:line="360" w:lineRule="auto"/>
      <w:ind w:firstLine="484" w:firstLineChars="200"/>
      <w:jc w:val="both"/>
    </w:pPr>
    <w:rPr>
      <w:rFonts w:cs="宋体"/>
      <w:spacing w:val="1"/>
      <w:position w:val="-2"/>
      <w:sz w:val="24"/>
      <w:szCs w:val="24"/>
      <w:lang w:val="zh-CN"/>
    </w:rPr>
  </w:style>
  <w:style w:type="paragraph" w:customStyle="1" w:styleId="65">
    <w:name w:val="Table Paragraph"/>
    <w:basedOn w:val="1"/>
    <w:qFormat/>
    <w:uiPriority w:val="1"/>
    <w:pPr>
      <w:jc w:val="left"/>
    </w:pPr>
    <w:rPr>
      <w:rFonts w:ascii="Calibri" w:hAnsi="Calibri"/>
      <w:kern w:val="0"/>
      <w:sz w:val="22"/>
      <w:szCs w:val="22"/>
      <w:lang w:eastAsia="en-US"/>
    </w:rPr>
  </w:style>
  <w:style w:type="paragraph" w:customStyle="1" w:styleId="66">
    <w:name w:val="表中文字"/>
    <w:basedOn w:val="1"/>
    <w:qFormat/>
    <w:uiPriority w:val="0"/>
    <w:pPr>
      <w:widowControl/>
      <w:spacing w:line="280" w:lineRule="exact"/>
      <w:jc w:val="center"/>
    </w:pPr>
    <w:rPr>
      <w:rFonts w:ascii="Calibri" w:hAnsi="Calibri" w:eastAsia="仿宋_GB2312"/>
      <w:color w:val="000000"/>
      <w:szCs w:val="20"/>
    </w:rPr>
  </w:style>
  <w:style w:type="paragraph" w:customStyle="1" w:styleId="67">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68">
    <w:name w:val="content Char Char"/>
    <w:link w:val="64"/>
    <w:uiPriority w:val="0"/>
    <w:rPr>
      <w:rFonts w:cs="宋体"/>
      <w:spacing w:val="1"/>
      <w:position w:val="-2"/>
      <w:sz w:val="24"/>
      <w:szCs w:val="24"/>
      <w:lang w:val="zh-CN" w:eastAsia="zh-CN" w:bidi="ar-SA"/>
    </w:rPr>
  </w:style>
  <w:style w:type="character" w:customStyle="1" w:styleId="69">
    <w:name w:val="标题 3 Char Char"/>
    <w:link w:val="4"/>
    <w:uiPriority w:val="0"/>
    <w:rPr>
      <w:rFonts w:eastAsia="宋体"/>
      <w:b/>
      <w:bCs/>
      <w:kern w:val="2"/>
      <w:sz w:val="32"/>
      <w:szCs w:val="32"/>
      <w:lang w:val="en-US" w:eastAsia="zh-CN" w:bidi="ar-SA"/>
    </w:rPr>
  </w:style>
  <w:style w:type="character" w:customStyle="1" w:styleId="70">
    <w:name w:val="正文文本缩进 2 Char Char"/>
    <w:link w:val="17"/>
    <w:uiPriority w:val="0"/>
    <w:rPr>
      <w:rFonts w:eastAsia="宋体"/>
      <w:kern w:val="2"/>
      <w:sz w:val="24"/>
      <w:lang w:val="en-US" w:eastAsia="zh-CN" w:bidi="ar-SA"/>
    </w:rPr>
  </w:style>
  <w:style w:type="character" w:customStyle="1" w:styleId="71">
    <w:name w:val="明显引用 Char"/>
    <w:link w:val="36"/>
    <w:uiPriority w:val="0"/>
    <w:rPr>
      <w:rFonts w:ascii="Calibri" w:hAnsi="Calibri"/>
      <w:b/>
      <w:i/>
      <w:sz w:val="24"/>
      <w:szCs w:val="22"/>
      <w:lang w:eastAsia="en-US" w:bidi="en-US"/>
    </w:rPr>
  </w:style>
  <w:style w:type="character" w:customStyle="1" w:styleId="72">
    <w:name w:val="段落 Char Char"/>
    <w:uiPriority w:val="0"/>
    <w:rPr>
      <w:rFonts w:ascii="宋体" w:hAnsi="宋体" w:eastAsia="宋体"/>
      <w:kern w:val="2"/>
      <w:sz w:val="28"/>
      <w:szCs w:val="24"/>
      <w:lang w:val="en-US" w:eastAsia="zh-CN" w:bidi="ar-SA"/>
    </w:rPr>
  </w:style>
  <w:style w:type="character" w:customStyle="1" w:styleId="73">
    <w:name w:val="页眉 Char Char"/>
    <w:link w:val="22"/>
    <w:uiPriority w:val="0"/>
    <w:rPr>
      <w:kern w:val="2"/>
      <w:sz w:val="18"/>
      <w:szCs w:val="18"/>
    </w:rPr>
  </w:style>
  <w:style w:type="character" w:customStyle="1" w:styleId="74">
    <w:name w:val="三级标题 Char Char"/>
    <w:link w:val="51"/>
    <w:uiPriority w:val="0"/>
    <w:rPr>
      <w:rFonts w:ascii="宋体" w:hAnsi="宋体" w:eastAsia="宋体"/>
      <w:bCs/>
      <w:kern w:val="2"/>
      <w:sz w:val="24"/>
      <w:szCs w:val="24"/>
      <w:lang w:val="en-US" w:eastAsia="zh-CN" w:bidi="ar-SA"/>
    </w:rPr>
  </w:style>
  <w:style w:type="character" w:customStyle="1" w:styleId="75">
    <w:name w:val="纯文本 Char Char"/>
    <w:link w:val="15"/>
    <w:uiPriority w:val="0"/>
    <w:rPr>
      <w:rFonts w:ascii="宋体" w:hAnsi="Courier New" w:eastAsia="宋体" w:cs="Courier New"/>
      <w:kern w:val="2"/>
      <w:sz w:val="21"/>
      <w:szCs w:val="21"/>
      <w:lang w:val="en-US" w:eastAsia="zh-CN" w:bidi="ar-SA"/>
    </w:rPr>
  </w:style>
  <w:style w:type="character" w:customStyle="1" w:styleId="76">
    <w:name w:val="547618884 Char Char"/>
    <w:link w:val="60"/>
    <w:uiPriority w:val="0"/>
    <w:rPr>
      <w:rFonts w:ascii="宋体" w:hAnsi="宋体" w:eastAsia="宋体"/>
      <w:bCs/>
      <w:color w:val="000000"/>
      <w:kern w:val="2"/>
      <w:sz w:val="24"/>
      <w:szCs w:val="24"/>
      <w:lang w:val="en-US" w:eastAsia="zh-CN" w:bidi="ar-SA"/>
    </w:rPr>
  </w:style>
  <w:style w:type="character" w:customStyle="1" w:styleId="77">
    <w:name w:val="样式4 Char Char"/>
    <w:link w:val="34"/>
    <w:uiPriority w:val="0"/>
    <w:rPr>
      <w:rFonts w:eastAsia="宋体"/>
      <w:b/>
      <w:bCs/>
      <w:color w:val="000000"/>
      <w:sz w:val="24"/>
      <w:szCs w:val="24"/>
      <w:lang w:val="en-US" w:eastAsia="zh-CN" w:bidi="ar-SA"/>
    </w:rPr>
  </w:style>
  <w:style w:type="character" w:customStyle="1" w:styleId="78">
    <w:name w:val="样式 标题 3 + 四号 非加粗 Char"/>
    <w:uiPriority w:val="0"/>
    <w:rPr>
      <w:rFonts w:eastAsia="宋体"/>
      <w:b/>
      <w:bCs/>
      <w:kern w:val="2"/>
      <w:sz w:val="24"/>
      <w:szCs w:val="32"/>
      <w:lang w:val="en-US" w:eastAsia="zh-CN" w:bidi="ar-SA"/>
    </w:rPr>
  </w:style>
  <w:style w:type="character" w:customStyle="1" w:styleId="79">
    <w:name w:val="样式2 Char Char"/>
    <w:link w:val="38"/>
    <w:uiPriority w:val="0"/>
    <w:rPr>
      <w:rFonts w:eastAsia="宋体"/>
      <w:b/>
      <w:bCs/>
      <w:snapToGrid w:val="0"/>
      <w:color w:val="000000"/>
      <w:sz w:val="24"/>
      <w:szCs w:val="24"/>
      <w:lang w:val="en-US" w:eastAsia="zh-CN" w:bidi="ar-SA"/>
    </w:rPr>
  </w:style>
  <w:style w:type="character" w:customStyle="1" w:styleId="80">
    <w:name w:val="批注主题 Char Char"/>
    <w:link w:val="5"/>
    <w:uiPriority w:val="0"/>
    <w:rPr>
      <w:rFonts w:eastAsia="宋体"/>
      <w:b/>
      <w:bCs/>
      <w:kern w:val="2"/>
      <w:sz w:val="21"/>
      <w:szCs w:val="24"/>
      <w:lang w:val="en-US" w:eastAsia="zh-CN" w:bidi="ar-SA"/>
    </w:rPr>
  </w:style>
  <w:style w:type="character" w:customStyle="1" w:styleId="81">
    <w:name w:val="批注文字 Char Char"/>
    <w:link w:val="6"/>
    <w:uiPriority w:val="0"/>
    <w:rPr>
      <w:rFonts w:eastAsia="宋体"/>
      <w:kern w:val="2"/>
      <w:sz w:val="21"/>
      <w:szCs w:val="24"/>
      <w:lang w:val="en-US" w:eastAsia="zh-CN" w:bidi="ar-SA"/>
    </w:rPr>
  </w:style>
  <w:style w:type="character" w:customStyle="1" w:styleId="82">
    <w:name w:val="apple-style-span"/>
    <w:uiPriority w:val="0"/>
    <w:rPr>
      <w:rFonts w:cs="Times New Roman"/>
    </w:rPr>
  </w:style>
  <w:style w:type="character" w:customStyle="1" w:styleId="83">
    <w:name w:val="环评标准段落 Char Char"/>
    <w:link w:val="58"/>
    <w:uiPriority w:val="0"/>
    <w:rPr>
      <w:rFonts w:hAnsi="宋体" w:eastAsia="宋体"/>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5.xml"/><Relationship Id="rId11" Type="http://schemas.openxmlformats.org/officeDocument/2006/relationships/theme" Target="theme/theme1.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customXml" Target="../customXml/item1.xml"/><Relationship Id="rId18"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7" textRotate="1"/>
    <customShpInfo spid="_x0000_s1058" textRotate="1"/>
    <customShpInfo spid="_x0000_s1061" textRotate="1"/>
    <customShpInfo spid="_x0000_s1062" textRotate="1"/>
    <customShpInfo spid="_x0000_s1064" textRotate="1"/>
    <customShpInfo spid="_x0000_s1065" textRotate="1"/>
    <customShpInfo spid="_x0000_s1067" textRotate="1"/>
    <customShpInfo spid="_x0000_s1068" textRotate="1"/>
    <customShpInfo spid="_x0000_s1069" textRotate="1"/>
    <customShpInfo spid="_x0000_s1071" textRotate="1"/>
    <customShpInfo spid="_x0000_s1072" textRotate="1"/>
    <customShpInfo spid="_x0000_s1074" textRotate="1"/>
    <customShpInfo spid="_x0000_s1076" textRotate="1"/>
    <customShpInfo spid="_x0000_s1077" textRotate="1"/>
    <customShpInfo spid="_x0000_s1078" textRotate="1"/>
    <customShpInfo spid="_x0000_s1080" textRotate="1"/>
    <customShpInfo spid="_x0000_s1081" textRotate="1"/>
    <customShpInfo spid="_x0000_s1082" textRotate="1"/>
    <customShpInfo spid="_x0000_s1083"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12" textRotate="1"/>
    <customShpInfo spid="_x0000_s1113" textRotate="1"/>
    <customShpInfo spid="_x0000_s1114" textRotate="1"/>
    <customShpInfo spid="_x0000_s1115" textRotate="1"/>
    <customShpInfo spid="_x0000_s1118" textRotate="1"/>
    <customShpInfo spid="_x0000_s1119" textRotate="1"/>
    <customShpInfo spid="_x0000_s1121" textRotate="1"/>
    <customShpInfo spid="_x0000_s11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72</Pages>
  <Words>7797</Words>
  <Characters>44448</Characters>
  <Lines>370</Lines>
  <Paragraphs>104</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2018-11-20T09:49:00Z</dcterms:created>
  <dc:creator>微软用户</dc:creator>
  <cp:lastModifiedBy>Administrator</cp:lastModifiedBy>
  <dcterms:modified xsi:type="dcterms:W3CDTF">2022-09-08T14:48:05Z</dcterms:modified>
  <dc:title>山西广灵润广卧羊场风力发电有限公司</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