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spacing w:line="640" w:lineRule="exact"/>
        <w:jc w:val="center"/>
        <w:outlineLvl w:val="2"/>
        <w:rPr>
          <w:rFonts w:ascii="华文中宋" w:hAnsi="华文中宋" w:eastAsia="华文中宋" w:cs="华文中宋"/>
          <w:color w:val="auto"/>
          <w:kern w:val="0"/>
          <w:sz w:val="44"/>
          <w:szCs w:val="44"/>
        </w:rPr>
      </w:pPr>
    </w:p>
    <w:p>
      <w:pPr>
        <w:widowControl/>
        <w:shd w:val="clear" w:color="auto" w:fill="FFFFFF"/>
        <w:spacing w:line="640" w:lineRule="exact"/>
        <w:jc w:val="center"/>
        <w:outlineLvl w:val="2"/>
        <w:rPr>
          <w:rFonts w:ascii="方正小标宋简体" w:hAnsi="华文中宋" w:eastAsia="方正小标宋简体" w:cs="华文中宋"/>
          <w:color w:val="auto"/>
          <w:kern w:val="0"/>
          <w:sz w:val="44"/>
          <w:szCs w:val="44"/>
        </w:rPr>
      </w:pPr>
    </w:p>
    <w:p>
      <w:pPr>
        <w:widowControl/>
        <w:shd w:val="clear" w:color="auto" w:fill="FFFFFF"/>
        <w:spacing w:line="640" w:lineRule="exact"/>
        <w:jc w:val="center"/>
        <w:outlineLvl w:val="2"/>
        <w:rPr>
          <w:rFonts w:ascii="方正小标宋简体" w:hAnsi="华文中宋" w:eastAsia="方正小标宋简体" w:cs="华文中宋"/>
          <w:color w:val="auto"/>
          <w:kern w:val="0"/>
          <w:sz w:val="44"/>
          <w:szCs w:val="44"/>
        </w:rPr>
      </w:pPr>
      <w:r>
        <w:rPr>
          <w:rFonts w:hint="eastAsia" w:ascii="方正小标宋简体" w:hAnsi="华文中宋" w:eastAsia="方正小标宋简体" w:cs="华文中宋"/>
          <w:color w:val="auto"/>
          <w:kern w:val="0"/>
          <w:sz w:val="44"/>
          <w:szCs w:val="44"/>
        </w:rPr>
        <w:t>忻州市发展和改革委员会</w:t>
      </w:r>
    </w:p>
    <w:p>
      <w:pPr>
        <w:widowControl/>
        <w:shd w:val="clear" w:color="auto" w:fill="FFFFFF"/>
        <w:spacing w:line="640" w:lineRule="exact"/>
        <w:jc w:val="center"/>
        <w:outlineLvl w:val="2"/>
        <w:rPr>
          <w:rFonts w:ascii="方正小标宋简体" w:hAnsi="华文中宋" w:eastAsia="方正小标宋简体" w:cs="华文中宋"/>
          <w:color w:val="auto"/>
          <w:kern w:val="0"/>
          <w:sz w:val="44"/>
          <w:szCs w:val="44"/>
        </w:rPr>
      </w:pPr>
      <w:r>
        <w:rPr>
          <w:rFonts w:ascii="方正小标宋简体" w:hAnsi="华文中宋" w:eastAsia="方正小标宋简体" w:cs="华文中宋"/>
          <w:color w:val="auto"/>
          <w:kern w:val="0"/>
          <w:sz w:val="44"/>
          <w:szCs w:val="44"/>
        </w:rPr>
        <w:t>201</w:t>
      </w:r>
      <w:r>
        <w:rPr>
          <w:rFonts w:hint="eastAsia" w:ascii="方正小标宋简体" w:hAnsi="华文中宋" w:eastAsia="方正小标宋简体" w:cs="华文中宋"/>
          <w:color w:val="auto"/>
          <w:kern w:val="0"/>
          <w:sz w:val="44"/>
          <w:szCs w:val="44"/>
          <w:lang w:val="en-US" w:eastAsia="zh-CN"/>
        </w:rPr>
        <w:t>9</w:t>
      </w:r>
      <w:r>
        <w:rPr>
          <w:rFonts w:hint="eastAsia" w:ascii="方正小标宋简体" w:hAnsi="华文中宋" w:eastAsia="方正小标宋简体" w:cs="华文中宋"/>
          <w:color w:val="auto"/>
          <w:kern w:val="0"/>
          <w:sz w:val="44"/>
          <w:szCs w:val="44"/>
        </w:rPr>
        <w:t>年</w:t>
      </w:r>
      <w:bookmarkStart w:id="0" w:name="_GoBack"/>
      <w:bookmarkEnd w:id="0"/>
      <w:r>
        <w:rPr>
          <w:rFonts w:hint="eastAsia" w:ascii="方正小标宋简体" w:hAnsi="华文中宋" w:eastAsia="方正小标宋简体" w:cs="华文中宋"/>
          <w:color w:val="auto"/>
          <w:kern w:val="0"/>
          <w:sz w:val="44"/>
          <w:szCs w:val="44"/>
        </w:rPr>
        <w:t>政府信息公开</w:t>
      </w:r>
      <w:r>
        <w:rPr>
          <w:rFonts w:hint="eastAsia" w:ascii="方正小标宋简体" w:hAnsi="华文中宋" w:eastAsia="方正小标宋简体" w:cs="华文中宋"/>
          <w:color w:val="auto"/>
          <w:kern w:val="0"/>
          <w:sz w:val="44"/>
          <w:szCs w:val="44"/>
          <w:lang w:eastAsia="zh-CN"/>
        </w:rPr>
        <w:t>工作</w:t>
      </w:r>
      <w:r>
        <w:rPr>
          <w:rFonts w:hint="eastAsia" w:ascii="方正小标宋简体" w:hAnsi="华文中宋" w:eastAsia="方正小标宋简体" w:cs="华文中宋"/>
          <w:color w:val="auto"/>
          <w:kern w:val="0"/>
          <w:sz w:val="44"/>
          <w:szCs w:val="44"/>
        </w:rPr>
        <w:t>年度报告</w:t>
      </w:r>
    </w:p>
    <w:p>
      <w:pPr>
        <w:widowControl/>
        <w:shd w:val="clear" w:color="auto" w:fill="FFFFFF"/>
        <w:spacing w:line="620" w:lineRule="exact"/>
        <w:ind w:firstLine="640" w:firstLineChars="200"/>
        <w:jc w:val="left"/>
        <w:rPr>
          <w:rFonts w:ascii="仿宋_GB2312" w:hAnsi="仿宋" w:eastAsia="仿宋_GB2312" w:cs="仿宋"/>
          <w:color w:val="auto"/>
          <w:sz w:val="32"/>
          <w:szCs w:val="32"/>
          <w:shd w:val="clear" w:color="auto" w:fill="FFFFFF"/>
        </w:rPr>
      </w:pPr>
    </w:p>
    <w:p>
      <w:pPr>
        <w:widowControl/>
        <w:shd w:val="clear" w:color="auto" w:fill="FFFFFF"/>
        <w:wordWrap/>
        <w:adjustRightInd/>
        <w:snapToGrid/>
        <w:spacing w:before="0" w:after="0" w:line="580" w:lineRule="exact"/>
        <w:ind w:left="0" w:leftChars="0" w:right="0" w:firstLine="640" w:firstLineChars="200"/>
        <w:jc w:val="left"/>
        <w:textAlignment w:val="auto"/>
        <w:outlineLvl w:val="9"/>
        <w:rPr>
          <w:rFonts w:ascii="仿宋_GB2312" w:hAnsi="仿宋" w:eastAsia="仿宋_GB2312" w:cs="仿宋"/>
          <w:color w:val="auto"/>
          <w:sz w:val="32"/>
          <w:szCs w:val="32"/>
          <w:shd w:val="clear" w:color="auto" w:fill="FFFFFF"/>
        </w:rPr>
      </w:pPr>
      <w:r>
        <w:rPr>
          <w:rFonts w:ascii="仿宋_GB2312" w:hAnsi="Times New Roman" w:eastAsia="仿宋_GB2312"/>
          <w:color w:val="auto"/>
          <w:sz w:val="32"/>
          <w:szCs w:val="32"/>
        </w:rPr>
        <w:t>201</w:t>
      </w:r>
      <w:r>
        <w:rPr>
          <w:rFonts w:hint="eastAsia" w:ascii="仿宋_GB2312" w:hAnsi="Times New Roman" w:eastAsia="仿宋_GB2312"/>
          <w:color w:val="auto"/>
          <w:sz w:val="32"/>
          <w:szCs w:val="32"/>
          <w:lang w:val="en-US" w:eastAsia="zh-CN"/>
        </w:rPr>
        <w:t>9</w:t>
      </w:r>
      <w:r>
        <w:rPr>
          <w:rFonts w:hint="eastAsia" w:ascii="仿宋_GB2312" w:hAnsi="Times New Roman" w:eastAsia="仿宋_GB2312"/>
          <w:color w:val="auto"/>
          <w:sz w:val="32"/>
          <w:szCs w:val="32"/>
        </w:rPr>
        <w:t>年是</w:t>
      </w:r>
      <w:r>
        <w:rPr>
          <w:rFonts w:hint="eastAsia" w:ascii="仿宋_GB2312" w:hAnsi="Times New Roman" w:eastAsia="仿宋_GB2312"/>
          <w:color w:val="auto"/>
          <w:sz w:val="32"/>
          <w:szCs w:val="32"/>
          <w:lang w:eastAsia="zh-CN"/>
        </w:rPr>
        <w:t>新中国成立</w:t>
      </w:r>
      <w:r>
        <w:rPr>
          <w:rFonts w:hint="eastAsia" w:ascii="仿宋_GB2312" w:hAnsi="Times New Roman" w:eastAsia="仿宋_GB2312"/>
          <w:color w:val="auto"/>
          <w:sz w:val="32"/>
          <w:szCs w:val="32"/>
          <w:lang w:val="en-US" w:eastAsia="zh-CN"/>
        </w:rPr>
        <w:t>七十周年</w:t>
      </w:r>
      <w:r>
        <w:rPr>
          <w:rFonts w:hint="eastAsia" w:ascii="仿宋_GB2312" w:hAnsi="Times New Roman" w:eastAsia="仿宋_GB2312"/>
          <w:color w:val="auto"/>
          <w:sz w:val="32"/>
          <w:szCs w:val="32"/>
        </w:rPr>
        <w:t>，是全面建成小康社会关键</w:t>
      </w:r>
      <w:r>
        <w:rPr>
          <w:rFonts w:hint="eastAsia" w:ascii="仿宋_GB2312" w:hAnsi="Times New Roman" w:eastAsia="仿宋_GB2312"/>
          <w:color w:val="auto"/>
          <w:sz w:val="32"/>
          <w:szCs w:val="32"/>
          <w:lang w:eastAsia="zh-CN"/>
        </w:rPr>
        <w:t>之</w:t>
      </w:r>
      <w:r>
        <w:rPr>
          <w:rFonts w:hint="eastAsia" w:ascii="仿宋_GB2312" w:hAnsi="Times New Roman" w:eastAsia="仿宋_GB2312"/>
          <w:color w:val="auto"/>
          <w:sz w:val="32"/>
          <w:szCs w:val="32"/>
        </w:rPr>
        <w:t>年。面对政府信息公开工作，</w:t>
      </w:r>
      <w:r>
        <w:rPr>
          <w:rFonts w:hint="eastAsia" w:ascii="仿宋_GB2312" w:hAnsi="Times New Roman" w:eastAsia="仿宋_GB2312"/>
          <w:color w:val="auto"/>
          <w:sz w:val="32"/>
          <w:szCs w:val="32"/>
          <w:lang w:eastAsia="zh-CN"/>
        </w:rPr>
        <w:t>我委</w:t>
      </w:r>
      <w:r>
        <w:rPr>
          <w:rFonts w:hint="eastAsia" w:ascii="仿宋_GB2312" w:hAnsi="仿宋" w:eastAsia="仿宋_GB2312" w:cs="仿宋"/>
          <w:color w:val="auto"/>
          <w:sz w:val="32"/>
          <w:szCs w:val="32"/>
          <w:shd w:val="clear" w:color="auto" w:fill="FFFFFF"/>
        </w:rPr>
        <w:t>认真落实《</w:t>
      </w:r>
      <w:r>
        <w:rPr>
          <w:rFonts w:hint="eastAsia" w:ascii="仿宋_GB2312" w:hAnsi="仿宋" w:eastAsia="仿宋_GB2312" w:cs="仿宋"/>
          <w:color w:val="auto"/>
          <w:sz w:val="32"/>
          <w:szCs w:val="32"/>
        </w:rPr>
        <w:t>忻州市人民政府办公</w:t>
      </w:r>
      <w:r>
        <w:rPr>
          <w:rFonts w:hint="eastAsia" w:ascii="仿宋_GB2312" w:hAnsi="仿宋" w:eastAsia="仿宋_GB2312" w:cs="仿宋"/>
          <w:color w:val="auto"/>
          <w:sz w:val="32"/>
          <w:szCs w:val="32"/>
          <w:lang w:eastAsia="zh-CN"/>
        </w:rPr>
        <w:t>室</w:t>
      </w:r>
      <w:r>
        <w:rPr>
          <w:rFonts w:hint="eastAsia" w:ascii="仿宋_GB2312" w:hAnsi="仿宋" w:eastAsia="仿宋_GB2312" w:cs="仿宋"/>
          <w:color w:val="auto"/>
          <w:sz w:val="32"/>
          <w:szCs w:val="32"/>
        </w:rPr>
        <w:t>关于印发忻州市</w:t>
      </w:r>
      <w:r>
        <w:rPr>
          <w:rFonts w:ascii="仿宋_GB2312" w:hAnsi="仿宋" w:eastAsia="仿宋_GB2312" w:cs="仿宋"/>
          <w:color w:val="auto"/>
          <w:sz w:val="32"/>
          <w:szCs w:val="32"/>
        </w:rPr>
        <w:t>201</w:t>
      </w:r>
      <w:r>
        <w:rPr>
          <w:rFonts w:hint="eastAsia" w:ascii="仿宋_GB2312" w:hAnsi="仿宋" w:eastAsia="仿宋_GB2312" w:cs="仿宋"/>
          <w:color w:val="auto"/>
          <w:sz w:val="32"/>
          <w:szCs w:val="32"/>
          <w:lang w:val="en-US" w:eastAsia="zh-CN"/>
        </w:rPr>
        <w:t>9</w:t>
      </w:r>
      <w:r>
        <w:rPr>
          <w:rFonts w:hint="eastAsia" w:ascii="仿宋_GB2312" w:hAnsi="仿宋" w:eastAsia="仿宋_GB2312" w:cs="仿宋"/>
          <w:color w:val="auto"/>
          <w:sz w:val="32"/>
          <w:szCs w:val="32"/>
        </w:rPr>
        <w:t>年政务公开工作要点的通知》</w:t>
      </w:r>
      <w:r>
        <w:rPr>
          <w:rFonts w:hint="eastAsia" w:ascii="仿宋_GB2312" w:hAnsi="仿宋" w:eastAsia="仿宋_GB2312" w:cs="仿宋"/>
          <w:color w:val="auto"/>
          <w:sz w:val="32"/>
          <w:szCs w:val="32"/>
          <w:shd w:val="clear" w:color="auto" w:fill="FFFFFF"/>
        </w:rPr>
        <w:t>精神，发挥政务公开围绕中心、服务大局的作用，全面推进机构职能及重点工作信息公开，</w:t>
      </w:r>
      <w:r>
        <w:rPr>
          <w:rFonts w:hint="eastAsia" w:ascii="仿宋_GB2312" w:hAnsi="仿宋" w:eastAsia="仿宋_GB2312" w:cs="仿宋"/>
          <w:color w:val="auto"/>
          <w:kern w:val="0"/>
          <w:sz w:val="32"/>
          <w:szCs w:val="32"/>
        </w:rPr>
        <w:t>较好地满足了社会公众获取、利用信息的需求。现将</w:t>
      </w:r>
      <w:r>
        <w:rPr>
          <w:rFonts w:ascii="仿宋_GB2312" w:hAnsi="仿宋" w:eastAsia="仿宋_GB2312" w:cs="仿宋"/>
          <w:color w:val="auto"/>
          <w:kern w:val="0"/>
          <w:sz w:val="32"/>
          <w:szCs w:val="32"/>
        </w:rPr>
        <w:t>201</w:t>
      </w:r>
      <w:r>
        <w:rPr>
          <w:rFonts w:hint="eastAsia" w:ascii="仿宋_GB2312" w:hAnsi="仿宋" w:eastAsia="仿宋_GB2312" w:cs="仿宋"/>
          <w:color w:val="auto"/>
          <w:kern w:val="0"/>
          <w:sz w:val="32"/>
          <w:szCs w:val="32"/>
          <w:lang w:val="en-US" w:eastAsia="zh-CN"/>
        </w:rPr>
        <w:t>9</w:t>
      </w:r>
      <w:r>
        <w:rPr>
          <w:rFonts w:hint="eastAsia" w:ascii="仿宋_GB2312" w:hAnsi="仿宋" w:eastAsia="仿宋_GB2312" w:cs="仿宋"/>
          <w:color w:val="auto"/>
          <w:kern w:val="0"/>
          <w:sz w:val="32"/>
          <w:szCs w:val="32"/>
        </w:rPr>
        <w:t>年度政府信息公开工作情况报告如下：</w:t>
      </w:r>
    </w:p>
    <w:p>
      <w:pPr>
        <w:widowControl/>
        <w:shd w:val="clear" w:color="auto" w:fill="FFFFFF"/>
        <w:wordWrap/>
        <w:adjustRightInd/>
        <w:snapToGrid/>
        <w:spacing w:before="0" w:after="0" w:line="580" w:lineRule="exact"/>
        <w:ind w:left="0" w:leftChars="0" w:right="0" w:firstLine="640" w:firstLineChars="200"/>
        <w:jc w:val="left"/>
        <w:textAlignment w:val="auto"/>
        <w:outlineLvl w:val="9"/>
        <w:rPr>
          <w:rFonts w:hint="eastAsia" w:ascii="黑体" w:hAnsi="仿宋" w:eastAsia="黑体" w:cs="仿宋"/>
          <w:bCs/>
          <w:color w:val="auto"/>
          <w:kern w:val="0"/>
          <w:sz w:val="32"/>
          <w:szCs w:val="32"/>
          <w:lang w:eastAsia="zh-CN"/>
        </w:rPr>
      </w:pPr>
      <w:r>
        <w:rPr>
          <w:rFonts w:hint="eastAsia" w:ascii="黑体" w:hAnsi="仿宋" w:eastAsia="黑体" w:cs="仿宋"/>
          <w:bCs/>
          <w:color w:val="auto"/>
          <w:kern w:val="0"/>
          <w:sz w:val="32"/>
          <w:szCs w:val="32"/>
        </w:rPr>
        <w:t>一、</w:t>
      </w:r>
      <w:r>
        <w:rPr>
          <w:rFonts w:hint="eastAsia" w:ascii="黑体" w:hAnsi="仿宋" w:eastAsia="黑体" w:cs="仿宋"/>
          <w:bCs/>
          <w:color w:val="auto"/>
          <w:kern w:val="0"/>
          <w:sz w:val="32"/>
          <w:szCs w:val="32"/>
          <w:lang w:eastAsia="zh-CN"/>
        </w:rPr>
        <w:t>总体情况</w:t>
      </w:r>
    </w:p>
    <w:p>
      <w:pPr>
        <w:widowControl/>
        <w:shd w:val="clear" w:color="auto" w:fill="FFFFFF"/>
        <w:wordWrap/>
        <w:adjustRightInd/>
        <w:snapToGrid/>
        <w:spacing w:before="0" w:after="0" w:line="580" w:lineRule="exact"/>
        <w:ind w:left="0" w:leftChars="0" w:right="0" w:firstLine="640" w:firstLineChars="200"/>
        <w:jc w:val="left"/>
        <w:textAlignment w:val="auto"/>
        <w:outlineLvl w:val="9"/>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为了使政务公开有序开展，</w:t>
      </w:r>
      <w:r>
        <w:rPr>
          <w:rFonts w:ascii="仿宋_GB2312" w:hAnsi="仿宋" w:eastAsia="仿宋_GB2312" w:cs="仿宋"/>
          <w:color w:val="auto"/>
          <w:kern w:val="0"/>
          <w:sz w:val="32"/>
          <w:szCs w:val="32"/>
        </w:rPr>
        <w:t>201</w:t>
      </w:r>
      <w:r>
        <w:rPr>
          <w:rFonts w:hint="eastAsia" w:ascii="仿宋_GB2312" w:hAnsi="仿宋" w:eastAsia="仿宋_GB2312" w:cs="仿宋"/>
          <w:color w:val="auto"/>
          <w:kern w:val="0"/>
          <w:sz w:val="32"/>
          <w:szCs w:val="32"/>
          <w:lang w:val="en-US" w:eastAsia="zh-CN"/>
        </w:rPr>
        <w:t>9</w:t>
      </w:r>
      <w:r>
        <w:rPr>
          <w:rFonts w:hint="eastAsia" w:ascii="仿宋_GB2312" w:hAnsi="仿宋" w:eastAsia="仿宋_GB2312" w:cs="仿宋"/>
          <w:color w:val="auto"/>
          <w:kern w:val="0"/>
          <w:sz w:val="32"/>
          <w:szCs w:val="32"/>
        </w:rPr>
        <w:t>年市发</w:t>
      </w:r>
      <w:r>
        <w:rPr>
          <w:rFonts w:hint="eastAsia" w:ascii="仿宋_GB2312" w:hAnsi="仿宋" w:eastAsia="仿宋_GB2312" w:cs="仿宋"/>
          <w:color w:val="auto"/>
          <w:kern w:val="0"/>
          <w:sz w:val="32"/>
          <w:szCs w:val="32"/>
          <w:lang w:eastAsia="zh-CN"/>
        </w:rPr>
        <w:t>展</w:t>
      </w:r>
      <w:r>
        <w:rPr>
          <w:rFonts w:hint="eastAsia" w:ascii="仿宋_GB2312" w:hAnsi="仿宋" w:eastAsia="仿宋_GB2312" w:cs="仿宋"/>
          <w:color w:val="auto"/>
          <w:kern w:val="0"/>
          <w:sz w:val="32"/>
          <w:szCs w:val="32"/>
        </w:rPr>
        <w:t>改</w:t>
      </w:r>
      <w:r>
        <w:rPr>
          <w:rFonts w:hint="eastAsia" w:ascii="仿宋_GB2312" w:hAnsi="仿宋" w:eastAsia="仿宋_GB2312" w:cs="仿宋"/>
          <w:color w:val="auto"/>
          <w:kern w:val="0"/>
          <w:sz w:val="32"/>
          <w:szCs w:val="32"/>
          <w:lang w:eastAsia="zh-CN"/>
        </w:rPr>
        <w:t>革</w:t>
      </w:r>
      <w:r>
        <w:rPr>
          <w:rFonts w:hint="eastAsia" w:ascii="仿宋_GB2312" w:hAnsi="仿宋" w:eastAsia="仿宋_GB2312" w:cs="仿宋"/>
          <w:color w:val="auto"/>
          <w:kern w:val="0"/>
          <w:sz w:val="32"/>
          <w:szCs w:val="32"/>
        </w:rPr>
        <w:t>委根据《中华人民共和国政府信息公开条例》要求，扎实推进政府信息公开工作，将政府信息公开纳入重要议事日程，确立了政务公开工作目标，制定了</w:t>
      </w:r>
      <w:r>
        <w:rPr>
          <w:rFonts w:hint="eastAsia" w:ascii="仿宋_GB2312" w:hAnsi="仿宋" w:eastAsia="仿宋_GB2312" w:cs="仿宋"/>
          <w:color w:val="auto"/>
          <w:sz w:val="32"/>
          <w:szCs w:val="32"/>
        </w:rPr>
        <w:t>忻州市发展和改革委员会</w:t>
      </w:r>
      <w:r>
        <w:rPr>
          <w:rFonts w:ascii="仿宋_GB2312" w:hAnsi="仿宋" w:eastAsia="仿宋_GB2312" w:cs="仿宋"/>
          <w:color w:val="auto"/>
          <w:sz w:val="32"/>
          <w:szCs w:val="32"/>
        </w:rPr>
        <w:t>201</w:t>
      </w:r>
      <w:r>
        <w:rPr>
          <w:rFonts w:hint="eastAsia" w:ascii="仿宋_GB2312" w:hAnsi="仿宋" w:eastAsia="仿宋_GB2312" w:cs="仿宋"/>
          <w:color w:val="auto"/>
          <w:sz w:val="32"/>
          <w:szCs w:val="32"/>
          <w:lang w:val="en-US" w:eastAsia="zh-CN"/>
        </w:rPr>
        <w:t>9</w:t>
      </w:r>
      <w:r>
        <w:rPr>
          <w:rFonts w:hint="eastAsia" w:ascii="仿宋_GB2312" w:hAnsi="仿宋" w:eastAsia="仿宋_GB2312" w:cs="仿宋"/>
          <w:color w:val="auto"/>
          <w:sz w:val="32"/>
          <w:szCs w:val="32"/>
        </w:rPr>
        <w:t>年政务公开工作要点</w:t>
      </w:r>
      <w:r>
        <w:rPr>
          <w:rFonts w:hint="eastAsia" w:ascii="仿宋_GB2312" w:hAnsi="仿宋" w:eastAsia="仿宋_GB2312" w:cs="仿宋"/>
          <w:color w:val="auto"/>
          <w:kern w:val="0"/>
          <w:sz w:val="32"/>
          <w:szCs w:val="32"/>
        </w:rPr>
        <w:t>等，明确信息公开原则，明晰公开流程，在保证信息安全的前提下，做到了“应公开尽公开”。</w:t>
      </w:r>
    </w:p>
    <w:p>
      <w:pPr>
        <w:widowControl/>
        <w:shd w:val="clear" w:color="auto" w:fill="FFFFFF"/>
        <w:wordWrap/>
        <w:adjustRightInd/>
        <w:snapToGrid/>
        <w:spacing w:before="0" w:after="0" w:line="580" w:lineRule="exact"/>
        <w:ind w:left="0" w:leftChars="0" w:right="0" w:firstLine="640" w:firstLineChars="200"/>
        <w:jc w:val="left"/>
        <w:textAlignment w:val="auto"/>
        <w:outlineLvl w:val="9"/>
        <w:rPr>
          <w:rFonts w:ascii="楷体_GB2312" w:hAnsi="仿宋" w:eastAsia="楷体_GB2312" w:cs="仿宋"/>
          <w:bCs/>
          <w:color w:val="auto"/>
          <w:kern w:val="0"/>
          <w:sz w:val="32"/>
          <w:szCs w:val="32"/>
        </w:rPr>
      </w:pPr>
      <w:r>
        <w:rPr>
          <w:rFonts w:hint="eastAsia" w:ascii="楷体_GB2312" w:hAnsi="仿宋" w:eastAsia="楷体_GB2312" w:cs="仿宋"/>
          <w:bCs/>
          <w:color w:val="auto"/>
          <w:kern w:val="0"/>
          <w:sz w:val="32"/>
          <w:szCs w:val="32"/>
        </w:rPr>
        <w:t>（一）做法及经验</w:t>
      </w:r>
    </w:p>
    <w:p>
      <w:pPr>
        <w:widowControl/>
        <w:shd w:val="clear" w:color="auto" w:fill="FFFFFF"/>
        <w:wordWrap/>
        <w:adjustRightInd/>
        <w:snapToGrid/>
        <w:spacing w:before="0" w:after="0" w:line="580" w:lineRule="exact"/>
        <w:ind w:left="0" w:leftChars="0" w:right="0" w:firstLine="640" w:firstLineChars="200"/>
        <w:jc w:val="left"/>
        <w:textAlignment w:val="auto"/>
        <w:outlineLvl w:val="9"/>
        <w:rPr>
          <w:rFonts w:ascii="仿宋_GB2312" w:hAnsi="仿宋" w:eastAsia="仿宋_GB2312" w:cs="仿宋"/>
          <w:color w:val="auto"/>
          <w:kern w:val="0"/>
          <w:sz w:val="32"/>
          <w:szCs w:val="32"/>
        </w:rPr>
      </w:pPr>
      <w:r>
        <w:rPr>
          <w:rFonts w:ascii="仿宋_GB2312" w:hAnsi="仿宋" w:eastAsia="仿宋_GB2312" w:cs="仿宋"/>
          <w:color w:val="auto"/>
          <w:kern w:val="0"/>
          <w:sz w:val="32"/>
          <w:szCs w:val="32"/>
        </w:rPr>
        <w:t>1</w:t>
      </w:r>
      <w:r>
        <w:rPr>
          <w:rFonts w:hint="eastAsia" w:ascii="仿宋_GB2312" w:hAnsi="仿宋" w:eastAsia="仿宋_GB2312" w:cs="仿宋"/>
          <w:color w:val="auto"/>
          <w:kern w:val="0"/>
          <w:sz w:val="32"/>
          <w:szCs w:val="32"/>
        </w:rPr>
        <w:t>、加强学习。组织全委干部职工认真学习《中华人民共和国政府信息公开条例》，对政府信息公开的主体和原则、范围和内容、方式和程序，监督和保障等有了明确的了解，增强了对《条例》重要意义的认识和贯彻落实《条例》的主动性和自觉性，为建立健全工作机制和制度奠定了基础。</w:t>
      </w:r>
    </w:p>
    <w:p>
      <w:pPr>
        <w:widowControl/>
        <w:shd w:val="clear" w:color="auto" w:fill="FFFFFF"/>
        <w:wordWrap/>
        <w:adjustRightInd/>
        <w:snapToGrid/>
        <w:spacing w:before="0" w:after="0" w:line="580" w:lineRule="exact"/>
        <w:ind w:left="0" w:leftChars="0" w:right="0" w:firstLine="640" w:firstLineChars="200"/>
        <w:jc w:val="left"/>
        <w:textAlignment w:val="auto"/>
        <w:outlineLvl w:val="9"/>
        <w:rPr>
          <w:rFonts w:ascii="仿宋_GB2312" w:hAnsi="仿宋" w:eastAsia="仿宋_GB2312" w:cs="仿宋"/>
          <w:color w:val="auto"/>
          <w:kern w:val="0"/>
          <w:sz w:val="32"/>
          <w:szCs w:val="32"/>
        </w:rPr>
      </w:pPr>
      <w:r>
        <w:rPr>
          <w:rFonts w:ascii="仿宋_GB2312" w:hAnsi="仿宋" w:eastAsia="仿宋_GB2312" w:cs="仿宋"/>
          <w:color w:val="auto"/>
          <w:kern w:val="0"/>
          <w:sz w:val="32"/>
          <w:szCs w:val="32"/>
        </w:rPr>
        <w:t>2</w:t>
      </w:r>
      <w:r>
        <w:rPr>
          <w:rFonts w:hint="eastAsia" w:ascii="仿宋_GB2312" w:hAnsi="仿宋" w:eastAsia="仿宋_GB2312" w:cs="仿宋"/>
          <w:color w:val="auto"/>
          <w:kern w:val="0"/>
          <w:sz w:val="32"/>
          <w:szCs w:val="32"/>
        </w:rPr>
        <w:t>、定期通报。全委每季度对各科室信息公开情况进行通报一次，并将信息公开情况纳入委内目标考核，与年终评比优秀科室和先进个人挂钩，使信息最大限度予以公开。</w:t>
      </w:r>
    </w:p>
    <w:p>
      <w:pPr>
        <w:widowControl/>
        <w:shd w:val="clear" w:color="auto" w:fill="FFFFFF"/>
        <w:wordWrap/>
        <w:adjustRightInd/>
        <w:snapToGrid/>
        <w:spacing w:before="0" w:after="0" w:line="580" w:lineRule="exact"/>
        <w:ind w:left="0" w:leftChars="0" w:right="0" w:firstLine="640" w:firstLineChars="200"/>
        <w:jc w:val="left"/>
        <w:textAlignment w:val="auto"/>
        <w:outlineLvl w:val="9"/>
        <w:rPr>
          <w:rFonts w:ascii="仿宋_GB2312" w:hAnsi="仿宋" w:eastAsia="仿宋_GB2312" w:cs="仿宋"/>
          <w:color w:val="auto"/>
          <w:kern w:val="0"/>
          <w:sz w:val="32"/>
          <w:szCs w:val="32"/>
        </w:rPr>
      </w:pPr>
      <w:r>
        <w:rPr>
          <w:rFonts w:ascii="仿宋_GB2312" w:hAnsi="仿宋" w:eastAsia="仿宋_GB2312" w:cs="仿宋"/>
          <w:color w:val="auto"/>
          <w:kern w:val="0"/>
          <w:sz w:val="32"/>
          <w:szCs w:val="32"/>
        </w:rPr>
        <w:t>3</w:t>
      </w:r>
      <w:r>
        <w:rPr>
          <w:rFonts w:hint="eastAsia" w:ascii="仿宋_GB2312" w:hAnsi="仿宋" w:eastAsia="仿宋_GB2312" w:cs="仿宋"/>
          <w:color w:val="auto"/>
          <w:kern w:val="0"/>
          <w:sz w:val="32"/>
          <w:szCs w:val="32"/>
        </w:rPr>
        <w:t>、严格奖惩。抽调政治素质高，业务能力强，纪律作风硬的人员组成政务公开监督小组，对各科室政务公开情况进行经常性监督检查。设立了投诉意见箱，自觉接受群众监督，广泛听取各方面意见，及时发现和解决政务公开工作中存在的问题，政务公开工作取得了实质性进展。</w:t>
      </w:r>
    </w:p>
    <w:p>
      <w:pPr>
        <w:widowControl/>
        <w:shd w:val="clear" w:color="auto" w:fill="FFFFFF"/>
        <w:wordWrap/>
        <w:adjustRightInd/>
        <w:snapToGrid/>
        <w:spacing w:before="0" w:after="0" w:line="580" w:lineRule="exact"/>
        <w:ind w:left="0" w:leftChars="0" w:right="0" w:firstLine="640" w:firstLineChars="200"/>
        <w:jc w:val="left"/>
        <w:textAlignment w:val="auto"/>
        <w:outlineLvl w:val="9"/>
        <w:rPr>
          <w:rFonts w:ascii="楷体_GB2312" w:hAnsi="仿宋" w:eastAsia="楷体_GB2312" w:cs="仿宋"/>
          <w:bCs/>
          <w:color w:val="auto"/>
          <w:kern w:val="0"/>
          <w:sz w:val="32"/>
          <w:szCs w:val="32"/>
        </w:rPr>
      </w:pPr>
      <w:r>
        <w:rPr>
          <w:rFonts w:hint="eastAsia" w:ascii="楷体_GB2312" w:hAnsi="仿宋" w:eastAsia="楷体_GB2312" w:cs="仿宋"/>
          <w:bCs/>
          <w:color w:val="auto"/>
          <w:kern w:val="0"/>
          <w:sz w:val="32"/>
          <w:szCs w:val="32"/>
        </w:rPr>
        <w:t>（二）取得成效</w:t>
      </w:r>
    </w:p>
    <w:p>
      <w:pPr>
        <w:widowControl/>
        <w:shd w:val="clear" w:color="auto" w:fill="FFFFFF"/>
        <w:wordWrap/>
        <w:adjustRightInd/>
        <w:snapToGrid/>
        <w:spacing w:before="0" w:after="0" w:line="580" w:lineRule="exact"/>
        <w:ind w:left="0" w:leftChars="0" w:right="0" w:firstLine="640"/>
        <w:jc w:val="left"/>
        <w:textAlignment w:val="auto"/>
        <w:outlineLvl w:val="9"/>
        <w:rPr>
          <w:rFonts w:hint="eastAsia" w:ascii="仿宋_GB2312" w:hAnsi="仿宋" w:eastAsia="仿宋_GB2312" w:cs="仿宋"/>
          <w:color w:val="auto"/>
          <w:kern w:val="0"/>
          <w:sz w:val="32"/>
          <w:szCs w:val="32"/>
        </w:rPr>
      </w:pPr>
      <w:r>
        <w:rPr>
          <w:rFonts w:ascii="仿宋_GB2312" w:hAnsi="仿宋" w:eastAsia="仿宋_GB2312" w:cs="仿宋"/>
          <w:color w:val="auto"/>
          <w:kern w:val="0"/>
          <w:sz w:val="32"/>
          <w:szCs w:val="32"/>
        </w:rPr>
        <w:t>201</w:t>
      </w:r>
      <w:r>
        <w:rPr>
          <w:rFonts w:hint="eastAsia" w:ascii="仿宋_GB2312" w:hAnsi="仿宋" w:eastAsia="仿宋_GB2312" w:cs="仿宋"/>
          <w:color w:val="auto"/>
          <w:kern w:val="0"/>
          <w:sz w:val="32"/>
          <w:szCs w:val="32"/>
          <w:lang w:val="en-US" w:eastAsia="zh-CN"/>
        </w:rPr>
        <w:t>9</w:t>
      </w:r>
      <w:r>
        <w:rPr>
          <w:rFonts w:hint="eastAsia" w:ascii="仿宋_GB2312" w:hAnsi="仿宋" w:eastAsia="仿宋_GB2312" w:cs="仿宋"/>
          <w:color w:val="auto"/>
          <w:kern w:val="0"/>
          <w:sz w:val="32"/>
          <w:szCs w:val="32"/>
        </w:rPr>
        <w:t>年我委政府信息公开工作各项责任得到了进一步落实，信息公开工作程序得到了进一步规范，各科室对政府信息重要性的认识得到了进一步提高，全委政府信息公开工作基本走上了有制度、有落实、有考核的轨道。政务公开工作的深入扎实开展，不仅提高了人民群众对工作的满意率，树立了发</w:t>
      </w:r>
      <w:r>
        <w:rPr>
          <w:rFonts w:hint="eastAsia" w:ascii="仿宋_GB2312" w:hAnsi="仿宋" w:eastAsia="仿宋_GB2312" w:cs="仿宋"/>
          <w:color w:val="auto"/>
          <w:kern w:val="0"/>
          <w:sz w:val="32"/>
          <w:szCs w:val="32"/>
          <w:lang w:eastAsia="zh-CN"/>
        </w:rPr>
        <w:t>展</w:t>
      </w:r>
      <w:r>
        <w:rPr>
          <w:rFonts w:hint="eastAsia" w:ascii="仿宋_GB2312" w:hAnsi="仿宋" w:eastAsia="仿宋_GB2312" w:cs="仿宋"/>
          <w:color w:val="auto"/>
          <w:kern w:val="0"/>
          <w:sz w:val="32"/>
          <w:szCs w:val="32"/>
        </w:rPr>
        <w:t>改</w:t>
      </w:r>
      <w:r>
        <w:rPr>
          <w:rFonts w:hint="eastAsia" w:ascii="仿宋_GB2312" w:hAnsi="仿宋" w:eastAsia="仿宋_GB2312" w:cs="仿宋"/>
          <w:color w:val="auto"/>
          <w:kern w:val="0"/>
          <w:sz w:val="32"/>
          <w:szCs w:val="32"/>
          <w:lang w:eastAsia="zh-CN"/>
        </w:rPr>
        <w:t>革</w:t>
      </w:r>
      <w:r>
        <w:rPr>
          <w:rFonts w:hint="eastAsia" w:ascii="仿宋_GB2312" w:hAnsi="仿宋" w:eastAsia="仿宋_GB2312" w:cs="仿宋"/>
          <w:color w:val="auto"/>
          <w:kern w:val="0"/>
          <w:sz w:val="32"/>
          <w:szCs w:val="32"/>
        </w:rPr>
        <w:t>委的良好形象，同时，也</w:t>
      </w:r>
      <w:r>
        <w:rPr>
          <w:rFonts w:hint="eastAsia" w:ascii="仿宋_GB2312" w:hAnsi="仿宋" w:eastAsia="仿宋_GB2312" w:cs="仿宋"/>
          <w:color w:val="auto"/>
          <w:kern w:val="0"/>
          <w:sz w:val="32"/>
          <w:szCs w:val="32"/>
          <w:lang w:eastAsia="zh-CN"/>
        </w:rPr>
        <w:t>促进</w:t>
      </w:r>
      <w:r>
        <w:rPr>
          <w:rFonts w:hint="eastAsia" w:ascii="仿宋_GB2312" w:hAnsi="仿宋" w:eastAsia="仿宋_GB2312" w:cs="仿宋"/>
          <w:color w:val="auto"/>
          <w:kern w:val="0"/>
          <w:sz w:val="32"/>
          <w:szCs w:val="32"/>
        </w:rPr>
        <w:t>全委干部职工整体素质</w:t>
      </w:r>
      <w:r>
        <w:rPr>
          <w:rFonts w:hint="eastAsia" w:ascii="仿宋_GB2312" w:hAnsi="仿宋" w:eastAsia="仿宋_GB2312" w:cs="仿宋"/>
          <w:color w:val="auto"/>
          <w:kern w:val="0"/>
          <w:sz w:val="32"/>
          <w:szCs w:val="32"/>
          <w:lang w:eastAsia="zh-CN"/>
        </w:rPr>
        <w:t>进一步</w:t>
      </w:r>
      <w:r>
        <w:rPr>
          <w:rFonts w:hint="eastAsia" w:ascii="仿宋_GB2312" w:hAnsi="仿宋" w:eastAsia="仿宋_GB2312" w:cs="仿宋"/>
          <w:color w:val="auto"/>
          <w:kern w:val="0"/>
          <w:sz w:val="32"/>
          <w:szCs w:val="32"/>
        </w:rPr>
        <w:t>提高，工作积极性和责任心</w:t>
      </w:r>
      <w:r>
        <w:rPr>
          <w:rFonts w:hint="eastAsia" w:ascii="仿宋_GB2312" w:hAnsi="仿宋" w:eastAsia="仿宋_GB2312" w:cs="仿宋"/>
          <w:color w:val="auto"/>
          <w:kern w:val="0"/>
          <w:sz w:val="32"/>
          <w:szCs w:val="32"/>
          <w:lang w:eastAsia="zh-CN"/>
        </w:rPr>
        <w:t>进一步</w:t>
      </w:r>
      <w:r>
        <w:rPr>
          <w:rFonts w:hint="eastAsia" w:ascii="仿宋_GB2312" w:hAnsi="仿宋" w:eastAsia="仿宋_GB2312" w:cs="仿宋"/>
          <w:color w:val="auto"/>
          <w:kern w:val="0"/>
          <w:sz w:val="32"/>
          <w:szCs w:val="32"/>
        </w:rPr>
        <w:t>增强，从而有力地</w:t>
      </w:r>
      <w:r>
        <w:rPr>
          <w:rFonts w:hint="eastAsia" w:ascii="仿宋_GB2312" w:hAnsi="仿宋" w:eastAsia="仿宋_GB2312" w:cs="仿宋"/>
          <w:color w:val="auto"/>
          <w:kern w:val="0"/>
          <w:sz w:val="32"/>
          <w:szCs w:val="32"/>
          <w:lang w:eastAsia="zh-CN"/>
        </w:rPr>
        <w:t>推进</w:t>
      </w:r>
      <w:r>
        <w:rPr>
          <w:rFonts w:hint="eastAsia" w:ascii="仿宋_GB2312" w:hAnsi="仿宋" w:eastAsia="仿宋_GB2312" w:cs="仿宋"/>
          <w:color w:val="auto"/>
          <w:kern w:val="0"/>
          <w:sz w:val="32"/>
          <w:szCs w:val="32"/>
        </w:rPr>
        <w:t>全委整体工作的</w:t>
      </w:r>
      <w:r>
        <w:rPr>
          <w:rFonts w:hint="eastAsia" w:ascii="仿宋_GB2312" w:hAnsi="仿宋" w:eastAsia="仿宋_GB2312" w:cs="仿宋"/>
          <w:color w:val="auto"/>
          <w:kern w:val="0"/>
          <w:sz w:val="32"/>
          <w:szCs w:val="32"/>
          <w:lang w:eastAsia="zh-CN"/>
        </w:rPr>
        <w:t>扎实</w:t>
      </w:r>
      <w:r>
        <w:rPr>
          <w:rFonts w:hint="eastAsia" w:ascii="仿宋_GB2312" w:hAnsi="仿宋" w:eastAsia="仿宋_GB2312" w:cs="仿宋"/>
          <w:color w:val="auto"/>
          <w:kern w:val="0"/>
          <w:sz w:val="32"/>
          <w:szCs w:val="32"/>
        </w:rPr>
        <w:t>开展。</w:t>
      </w:r>
    </w:p>
    <w:p>
      <w:pPr>
        <w:widowControl/>
        <w:shd w:val="clear" w:color="auto" w:fill="FFFFFF"/>
        <w:wordWrap/>
        <w:adjustRightInd/>
        <w:snapToGrid/>
        <w:spacing w:before="0" w:after="0" w:line="580" w:lineRule="exact"/>
        <w:ind w:left="0" w:leftChars="0" w:right="0" w:firstLine="640" w:firstLineChars="200"/>
        <w:jc w:val="left"/>
        <w:textAlignment w:val="auto"/>
        <w:outlineLvl w:val="9"/>
        <w:rPr>
          <w:rFonts w:hint="eastAsia" w:ascii="楷体" w:hAnsi="楷体" w:eastAsia="楷体" w:cs="楷体"/>
          <w:bCs/>
          <w:color w:val="auto"/>
          <w:kern w:val="0"/>
          <w:sz w:val="32"/>
          <w:szCs w:val="32"/>
        </w:rPr>
      </w:pPr>
      <w:r>
        <w:rPr>
          <w:rFonts w:hint="eastAsia" w:ascii="楷体" w:hAnsi="楷体" w:eastAsia="楷体" w:cs="楷体"/>
          <w:bCs/>
          <w:color w:val="auto"/>
          <w:kern w:val="0"/>
          <w:sz w:val="32"/>
          <w:szCs w:val="32"/>
          <w:lang w:val="en-US" w:eastAsia="zh-CN"/>
        </w:rPr>
        <w:t>(三）</w:t>
      </w:r>
      <w:r>
        <w:rPr>
          <w:rFonts w:hint="eastAsia" w:ascii="楷体" w:hAnsi="楷体" w:eastAsia="楷体" w:cs="楷体"/>
          <w:bCs/>
          <w:color w:val="auto"/>
          <w:kern w:val="0"/>
          <w:sz w:val="32"/>
          <w:szCs w:val="32"/>
        </w:rPr>
        <w:t>重点工作完成情况</w:t>
      </w:r>
    </w:p>
    <w:p>
      <w:pPr>
        <w:widowControl/>
        <w:shd w:val="clear" w:color="auto" w:fill="FFFFFF"/>
        <w:wordWrap/>
        <w:adjustRightInd/>
        <w:snapToGrid/>
        <w:spacing w:before="0" w:after="0" w:line="580" w:lineRule="exact"/>
        <w:ind w:left="0" w:leftChars="0" w:right="0" w:firstLine="640" w:firstLineChars="200"/>
        <w:jc w:val="left"/>
        <w:textAlignment w:val="auto"/>
        <w:outlineLvl w:val="9"/>
        <w:rPr>
          <w:rFonts w:hint="eastAsia" w:ascii="仿宋" w:hAnsi="仿宋" w:eastAsia="仿宋" w:cs="仿宋"/>
          <w:b/>
          <w:bCs w:val="0"/>
          <w:color w:val="auto"/>
          <w:kern w:val="0"/>
          <w:sz w:val="32"/>
          <w:szCs w:val="32"/>
        </w:rPr>
      </w:pPr>
      <w:r>
        <w:rPr>
          <w:rFonts w:hint="eastAsia" w:ascii="仿宋" w:hAnsi="仿宋" w:eastAsia="仿宋" w:cs="仿宋"/>
          <w:b/>
          <w:bCs w:val="0"/>
          <w:color w:val="auto"/>
          <w:kern w:val="0"/>
          <w:sz w:val="32"/>
          <w:szCs w:val="32"/>
          <w:lang w:val="en-US" w:eastAsia="zh-CN"/>
        </w:rPr>
        <w:t>1、</w:t>
      </w:r>
      <w:r>
        <w:rPr>
          <w:rFonts w:hint="eastAsia" w:ascii="仿宋" w:hAnsi="仿宋" w:eastAsia="仿宋" w:cs="仿宋"/>
          <w:b/>
          <w:bCs w:val="0"/>
          <w:color w:val="auto"/>
          <w:kern w:val="0"/>
          <w:sz w:val="32"/>
          <w:szCs w:val="32"/>
        </w:rPr>
        <w:t>认真安排部署</w:t>
      </w:r>
    </w:p>
    <w:p>
      <w:pPr>
        <w:widowControl/>
        <w:shd w:val="clear" w:color="auto" w:fill="FFFFFF"/>
        <w:wordWrap/>
        <w:adjustRightInd/>
        <w:snapToGrid/>
        <w:spacing w:before="0" w:after="0" w:line="580" w:lineRule="exact"/>
        <w:ind w:left="0" w:leftChars="0" w:right="0" w:firstLine="640" w:firstLineChars="200"/>
        <w:jc w:val="left"/>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按照市政府《忻州市201</w:t>
      </w:r>
      <w:r>
        <w:rPr>
          <w:rFonts w:hint="eastAsia" w:ascii="仿宋" w:hAnsi="仿宋" w:eastAsia="仿宋" w:cs="仿宋"/>
          <w:color w:val="auto"/>
          <w:kern w:val="0"/>
          <w:sz w:val="32"/>
          <w:szCs w:val="32"/>
          <w:lang w:val="en-US" w:eastAsia="zh-CN"/>
        </w:rPr>
        <w:t>9</w:t>
      </w:r>
      <w:r>
        <w:rPr>
          <w:rFonts w:hint="eastAsia" w:ascii="仿宋" w:hAnsi="仿宋" w:eastAsia="仿宋" w:cs="仿宋"/>
          <w:color w:val="auto"/>
          <w:kern w:val="0"/>
          <w:sz w:val="32"/>
          <w:szCs w:val="32"/>
        </w:rPr>
        <w:t>年政务公开工作要点》要求，我委把政府信息公开纳入重要议事日程。一是加强</w:t>
      </w:r>
      <w:r>
        <w:rPr>
          <w:rFonts w:hint="eastAsia" w:ascii="仿宋" w:hAnsi="仿宋" w:eastAsia="仿宋" w:cs="仿宋"/>
          <w:color w:val="auto"/>
          <w:kern w:val="0"/>
          <w:sz w:val="32"/>
          <w:szCs w:val="32"/>
          <w:lang w:eastAsia="zh-CN"/>
        </w:rPr>
        <w:t>组织</w:t>
      </w:r>
      <w:r>
        <w:rPr>
          <w:rFonts w:hint="eastAsia" w:ascii="仿宋" w:hAnsi="仿宋" w:eastAsia="仿宋" w:cs="仿宋"/>
          <w:color w:val="auto"/>
          <w:kern w:val="0"/>
          <w:sz w:val="32"/>
          <w:szCs w:val="32"/>
        </w:rPr>
        <w:t>领导</w:t>
      </w:r>
      <w:r>
        <w:rPr>
          <w:rFonts w:hint="eastAsia" w:ascii="仿宋" w:hAnsi="仿宋" w:eastAsia="仿宋" w:cs="仿宋"/>
          <w:color w:val="auto"/>
          <w:kern w:val="0"/>
          <w:sz w:val="32"/>
          <w:szCs w:val="32"/>
          <w:lang w:eastAsia="zh-CN"/>
        </w:rPr>
        <w:t>。成立领导小组，由</w:t>
      </w:r>
      <w:r>
        <w:rPr>
          <w:rFonts w:hint="eastAsia" w:ascii="仿宋" w:hAnsi="仿宋" w:eastAsia="仿宋" w:cs="仿宋"/>
          <w:color w:val="auto"/>
          <w:kern w:val="0"/>
          <w:sz w:val="32"/>
          <w:szCs w:val="32"/>
        </w:rPr>
        <w:t>委党组书记、主任李德刚任组长，副主任郭东升、</w:t>
      </w:r>
      <w:r>
        <w:rPr>
          <w:rFonts w:hint="eastAsia" w:ascii="仿宋" w:hAnsi="仿宋" w:eastAsia="仿宋" w:cs="仿宋"/>
          <w:color w:val="auto"/>
          <w:kern w:val="0"/>
          <w:sz w:val="32"/>
          <w:szCs w:val="32"/>
          <w:lang w:eastAsia="zh-CN"/>
        </w:rPr>
        <w:t>四级</w:t>
      </w:r>
      <w:r>
        <w:rPr>
          <w:rFonts w:hint="eastAsia" w:ascii="仿宋" w:hAnsi="仿宋" w:eastAsia="仿宋" w:cs="仿宋"/>
          <w:color w:val="auto"/>
          <w:kern w:val="0"/>
          <w:sz w:val="32"/>
          <w:szCs w:val="32"/>
        </w:rPr>
        <w:t>调研员郝燕任副组长，相关科室主要负责人为成员，配备兼职政府信息公开工作人员5名。二是建立健全工作机制，修订《忻州市发</w:t>
      </w:r>
      <w:r>
        <w:rPr>
          <w:rFonts w:hint="eastAsia" w:ascii="仿宋" w:hAnsi="仿宋" w:eastAsia="仿宋" w:cs="仿宋"/>
          <w:color w:val="auto"/>
          <w:kern w:val="0"/>
          <w:sz w:val="32"/>
          <w:szCs w:val="32"/>
          <w:lang w:eastAsia="zh-CN"/>
        </w:rPr>
        <w:t>展改革</w:t>
      </w:r>
      <w:r>
        <w:rPr>
          <w:rFonts w:hint="eastAsia" w:ascii="仿宋" w:hAnsi="仿宋" w:eastAsia="仿宋" w:cs="仿宋"/>
          <w:color w:val="auto"/>
          <w:kern w:val="0"/>
          <w:sz w:val="32"/>
          <w:szCs w:val="32"/>
        </w:rPr>
        <w:t>委政府信息公开工作制度》，对各科室信息公开的内容、方式、程序进一步明确。按照“谁主管、谁负责，谁公开、谁审查”的原则，对拟公开的信息进行责任审查。三是做好保密审查工作。公文起草人员拟制公文或信息时，按照《保密法》《市发</w:t>
      </w:r>
      <w:r>
        <w:rPr>
          <w:rFonts w:hint="eastAsia" w:ascii="仿宋" w:hAnsi="仿宋" w:eastAsia="仿宋" w:cs="仿宋"/>
          <w:color w:val="auto"/>
          <w:kern w:val="0"/>
          <w:sz w:val="32"/>
          <w:szCs w:val="32"/>
          <w:lang w:eastAsia="zh-CN"/>
        </w:rPr>
        <w:t>展</w:t>
      </w:r>
      <w:r>
        <w:rPr>
          <w:rFonts w:hint="eastAsia" w:ascii="仿宋" w:hAnsi="仿宋" w:eastAsia="仿宋" w:cs="仿宋"/>
          <w:color w:val="auto"/>
          <w:kern w:val="0"/>
          <w:sz w:val="32"/>
          <w:szCs w:val="32"/>
        </w:rPr>
        <w:t>改</w:t>
      </w:r>
      <w:r>
        <w:rPr>
          <w:rFonts w:hint="eastAsia" w:ascii="仿宋" w:hAnsi="仿宋" w:eastAsia="仿宋" w:cs="仿宋"/>
          <w:color w:val="auto"/>
          <w:kern w:val="0"/>
          <w:sz w:val="32"/>
          <w:szCs w:val="32"/>
          <w:lang w:eastAsia="zh-CN"/>
        </w:rPr>
        <w:t>革</w:t>
      </w:r>
      <w:r>
        <w:rPr>
          <w:rFonts w:hint="eastAsia" w:ascii="仿宋" w:hAnsi="仿宋" w:eastAsia="仿宋" w:cs="仿宋"/>
          <w:color w:val="auto"/>
          <w:kern w:val="0"/>
          <w:sz w:val="32"/>
          <w:szCs w:val="32"/>
        </w:rPr>
        <w:t>委保密工作制度》对其是否涉密进行初审，科室负责人对拟制的公文或信息提出审批意见，由分管主任审批，办公室核稿审核把关确定。</w:t>
      </w:r>
    </w:p>
    <w:p>
      <w:pPr>
        <w:widowControl/>
        <w:shd w:val="clear" w:color="auto" w:fill="FFFFFF"/>
        <w:wordWrap/>
        <w:adjustRightInd/>
        <w:snapToGrid/>
        <w:spacing w:before="0" w:after="0" w:line="580" w:lineRule="exact"/>
        <w:ind w:left="0" w:leftChars="0" w:right="0" w:firstLine="640" w:firstLineChars="200"/>
        <w:jc w:val="left"/>
        <w:textAlignment w:val="auto"/>
        <w:outlineLvl w:val="9"/>
        <w:rPr>
          <w:rFonts w:hint="eastAsia" w:ascii="仿宋" w:hAnsi="仿宋" w:eastAsia="仿宋" w:cs="仿宋"/>
          <w:b/>
          <w:bCs w:val="0"/>
          <w:color w:val="auto"/>
          <w:kern w:val="0"/>
          <w:sz w:val="32"/>
          <w:szCs w:val="32"/>
        </w:rPr>
      </w:pPr>
      <w:r>
        <w:rPr>
          <w:rFonts w:hint="eastAsia" w:ascii="仿宋" w:hAnsi="仿宋" w:eastAsia="仿宋" w:cs="仿宋"/>
          <w:b/>
          <w:bCs w:val="0"/>
          <w:color w:val="auto"/>
          <w:kern w:val="0"/>
          <w:sz w:val="32"/>
          <w:szCs w:val="32"/>
          <w:lang w:val="en-US" w:eastAsia="zh-CN"/>
        </w:rPr>
        <w:t>2、</w:t>
      </w:r>
      <w:r>
        <w:rPr>
          <w:rFonts w:hint="eastAsia" w:ascii="仿宋" w:hAnsi="仿宋" w:eastAsia="仿宋" w:cs="仿宋"/>
          <w:b/>
          <w:bCs w:val="0"/>
          <w:color w:val="auto"/>
          <w:kern w:val="0"/>
          <w:sz w:val="32"/>
          <w:szCs w:val="32"/>
        </w:rPr>
        <w:t>主动抓好工作落实</w:t>
      </w:r>
    </w:p>
    <w:p>
      <w:pPr>
        <w:wordWrap/>
        <w:adjustRightInd/>
        <w:snapToGrid/>
        <w:spacing w:before="0" w:after="0" w:line="580" w:lineRule="exact"/>
        <w:ind w:left="0" w:leftChars="0" w:right="0" w:firstLine="645"/>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rPr>
        <w:t>按照《忻州市201</w:t>
      </w:r>
      <w:r>
        <w:rPr>
          <w:rFonts w:hint="eastAsia" w:ascii="仿宋" w:hAnsi="仿宋" w:eastAsia="仿宋" w:cs="仿宋"/>
          <w:color w:val="auto"/>
          <w:kern w:val="0"/>
          <w:sz w:val="32"/>
          <w:szCs w:val="32"/>
          <w:lang w:val="en-US" w:eastAsia="zh-CN"/>
        </w:rPr>
        <w:t>9</w:t>
      </w:r>
      <w:r>
        <w:rPr>
          <w:rFonts w:hint="eastAsia" w:ascii="仿宋" w:hAnsi="仿宋" w:eastAsia="仿宋" w:cs="仿宋"/>
          <w:color w:val="auto"/>
          <w:kern w:val="0"/>
          <w:sz w:val="32"/>
          <w:szCs w:val="32"/>
        </w:rPr>
        <w:t>年政务公开工作要点》要求，</w:t>
      </w:r>
      <w:r>
        <w:rPr>
          <w:rFonts w:hint="eastAsia" w:ascii="仿宋" w:hAnsi="仿宋" w:eastAsia="仿宋" w:cs="仿宋"/>
          <w:color w:val="auto"/>
          <w:sz w:val="32"/>
          <w:szCs w:val="32"/>
        </w:rPr>
        <w:t>推</w:t>
      </w:r>
    </w:p>
    <w:p>
      <w:pPr>
        <w:wordWrap/>
        <w:adjustRightInd/>
        <w:snapToGrid/>
        <w:spacing w:before="0" w:after="0" w:line="580" w:lineRule="exact"/>
        <w:ind w:left="0" w:leftChars="0" w:right="0"/>
        <w:textAlignment w:val="auto"/>
        <w:outlineLvl w:val="9"/>
        <w:rPr>
          <w:rFonts w:hint="eastAsia" w:ascii="仿宋" w:hAnsi="仿宋" w:eastAsia="仿宋" w:cs="仿宋"/>
          <w:color w:val="auto"/>
          <w:sz w:val="32"/>
        </w:rPr>
      </w:pPr>
      <w:r>
        <w:rPr>
          <w:rFonts w:hint="eastAsia" w:ascii="仿宋" w:hAnsi="仿宋" w:eastAsia="仿宋" w:cs="仿宋"/>
          <w:color w:val="auto"/>
          <w:sz w:val="32"/>
          <w:szCs w:val="32"/>
        </w:rPr>
        <w:t>动学校收费信息公开，</w:t>
      </w:r>
      <w:r>
        <w:rPr>
          <w:rFonts w:hint="eastAsia" w:ascii="仿宋" w:hAnsi="仿宋" w:eastAsia="仿宋" w:cs="仿宋"/>
          <w:color w:val="auto"/>
          <w:sz w:val="32"/>
        </w:rPr>
        <w:t>对调整的学校收费项目和标准等内容进行公示，自觉接受社会监督。根据国家和省发改委的要求，</w:t>
      </w:r>
      <w:r>
        <w:rPr>
          <w:rFonts w:hint="eastAsia" w:ascii="仿宋" w:hAnsi="仿宋" w:eastAsia="仿宋" w:cs="仿宋"/>
          <w:color w:val="auto"/>
          <w:sz w:val="32"/>
          <w:szCs w:val="32"/>
        </w:rPr>
        <w:t>及时更新行政事业性收费目录清单。</w:t>
      </w:r>
      <w:r>
        <w:rPr>
          <w:rFonts w:hint="eastAsia" w:ascii="仿宋" w:hAnsi="仿宋" w:eastAsia="仿宋" w:cs="仿宋"/>
          <w:color w:val="auto"/>
          <w:sz w:val="32"/>
        </w:rPr>
        <w:t>我市市本级行政事业性收费目录清单和收费标准政策，实行了常态化公示，公示的内容包括：《行政事业性收费目录清单》《涉企行政事业性目录清单》《考试考务费目录清单》《免征小微企业行政事业性收费项目目录清单》等。</w:t>
      </w:r>
    </w:p>
    <w:p>
      <w:pPr>
        <w:widowControl w:val="0"/>
        <w:wordWrap/>
        <w:adjustRightInd/>
        <w:snapToGrid/>
        <w:spacing w:before="0" w:after="0" w:line="580" w:lineRule="exact"/>
        <w:ind w:left="0" w:leftChars="0" w:right="0" w:firstLine="640" w:firstLineChars="200"/>
        <w:jc w:val="both"/>
        <w:textAlignment w:val="auto"/>
        <w:outlineLvl w:val="9"/>
        <w:rPr>
          <w:rFonts w:hint="eastAsia" w:ascii="仿宋" w:hAnsi="仿宋" w:eastAsia="仿宋" w:cs="仿宋"/>
          <w:color w:val="auto"/>
          <w:sz w:val="32"/>
        </w:rPr>
      </w:pPr>
      <w:r>
        <w:rPr>
          <w:rFonts w:hint="eastAsia" w:ascii="仿宋" w:hAnsi="仿宋" w:eastAsia="仿宋" w:cs="仿宋"/>
          <w:color w:val="auto"/>
          <w:sz w:val="32"/>
        </w:rPr>
        <w:t>按照相关文件要求，在忻州政务服务平台中更新了“阳光政务”栏目中“责任清单”；更新修改了政务服务事项（权力清单）公示内容，所有事项编码采用新编码，所有事项均明确了办理时限、实施机构，对要求提供材料的事项明确了规格要求。</w:t>
      </w:r>
    </w:p>
    <w:p>
      <w:pPr>
        <w:widowControl w:val="0"/>
        <w:wordWrap/>
        <w:adjustRightInd/>
        <w:snapToGrid/>
        <w:spacing w:before="0" w:after="0" w:line="580" w:lineRule="exact"/>
        <w:ind w:left="0" w:leftChars="0" w:right="0" w:firstLine="640" w:firstLineChars="200"/>
        <w:jc w:val="both"/>
        <w:textAlignment w:val="auto"/>
        <w:outlineLvl w:val="9"/>
        <w:rPr>
          <w:rFonts w:hint="eastAsia" w:ascii="仿宋" w:hAnsi="仿宋" w:eastAsia="仿宋" w:cs="仿宋"/>
          <w:b w:val="0"/>
          <w:i w:val="0"/>
          <w:color w:val="auto"/>
          <w:sz w:val="32"/>
          <w:szCs w:val="32"/>
          <w:shd w:val="clear" w:color="auto" w:fill="FFFFFF"/>
          <w:lang w:val="en-US" w:eastAsia="zh-CN"/>
        </w:rPr>
      </w:pPr>
      <w:r>
        <w:rPr>
          <w:rFonts w:hint="eastAsia" w:ascii="仿宋" w:hAnsi="仿宋" w:eastAsia="仿宋" w:cs="仿宋"/>
          <w:b w:val="0"/>
          <w:i w:val="0"/>
          <w:color w:val="auto"/>
          <w:sz w:val="32"/>
          <w:szCs w:val="32"/>
          <w:shd w:val="clear" w:color="auto" w:fill="FFFFFF"/>
          <w:lang w:eastAsia="zh-CN"/>
        </w:rPr>
        <w:t>全面推行“双随机、一公开”监管，及时向社会公布随机抽查事项清单动态调整情况。公示粮食收购专项检查及市场监督检查事项和检查结果</w:t>
      </w:r>
      <w:r>
        <w:rPr>
          <w:rFonts w:hint="eastAsia" w:ascii="仿宋" w:hAnsi="仿宋" w:eastAsia="仿宋" w:cs="仿宋"/>
          <w:b w:val="0"/>
          <w:i w:val="0"/>
          <w:color w:val="auto"/>
          <w:sz w:val="32"/>
          <w:szCs w:val="32"/>
          <w:shd w:val="clear" w:color="auto" w:fill="FFFFFF"/>
          <w:lang w:val="en-US" w:eastAsia="zh-CN"/>
        </w:rPr>
        <w:t>5次。</w:t>
      </w:r>
    </w:p>
    <w:p>
      <w:pPr>
        <w:widowControl w:val="0"/>
        <w:wordWrap/>
        <w:adjustRightInd/>
        <w:snapToGrid/>
        <w:spacing w:before="0" w:after="0" w:line="58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val="0"/>
          <w:i w:val="0"/>
          <w:color w:val="auto"/>
          <w:sz w:val="32"/>
          <w:szCs w:val="32"/>
          <w:shd w:val="clear" w:color="auto" w:fill="FFFFFF"/>
          <w:lang w:val="en-US" w:eastAsia="zh-CN"/>
        </w:rPr>
        <w:t>行政许可、行政处罚信息公示情况。</w:t>
      </w:r>
      <w:r>
        <w:rPr>
          <w:rFonts w:hint="eastAsia" w:ascii="仿宋" w:hAnsi="仿宋" w:eastAsia="仿宋" w:cs="仿宋"/>
          <w:color w:val="auto"/>
          <w:sz w:val="32"/>
          <w:szCs w:val="32"/>
        </w:rPr>
        <w:t>按照《国家发展改革委办公厅</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家市场监管总局办公厅关于更新调整行政许可和行政处罚等信用信息数据归集公示标准的通知》（发改办财金〔2018〕790号）要求做好行政许可和行政处罚等信用信息归集公示工作，2019年，我委在部门网站公示行政许可信息</w:t>
      </w:r>
      <w:r>
        <w:rPr>
          <w:rFonts w:hint="eastAsia" w:ascii="仿宋" w:hAnsi="仿宋" w:eastAsia="仿宋" w:cs="仿宋"/>
          <w:color w:val="auto"/>
          <w:sz w:val="32"/>
          <w:szCs w:val="32"/>
          <w:lang w:val="en-US" w:eastAsia="zh-CN"/>
        </w:rPr>
        <w:t>30</w:t>
      </w:r>
      <w:r>
        <w:rPr>
          <w:rFonts w:hint="eastAsia" w:ascii="仿宋" w:hAnsi="仿宋" w:eastAsia="仿宋" w:cs="仿宋"/>
          <w:color w:val="auto"/>
          <w:sz w:val="32"/>
          <w:szCs w:val="32"/>
        </w:rPr>
        <w:t>条，行政处罚信息5条。</w:t>
      </w:r>
    </w:p>
    <w:p>
      <w:pPr>
        <w:widowControl/>
        <w:shd w:val="clear" w:color="auto" w:fill="FFFFFF"/>
        <w:wordWrap/>
        <w:adjustRightInd/>
        <w:snapToGrid/>
        <w:spacing w:before="0" w:after="0" w:line="580" w:lineRule="exact"/>
        <w:ind w:left="0" w:leftChars="0" w:right="0" w:firstLine="640" w:firstLineChars="200"/>
        <w:jc w:val="left"/>
        <w:textAlignment w:val="auto"/>
        <w:outlineLvl w:val="9"/>
        <w:rPr>
          <w:rFonts w:hint="eastAsia" w:ascii="仿宋" w:hAnsi="仿宋" w:eastAsia="仿宋" w:cs="仿宋"/>
          <w:b/>
          <w:bCs w:val="0"/>
          <w:color w:val="auto"/>
          <w:kern w:val="0"/>
          <w:sz w:val="32"/>
          <w:szCs w:val="32"/>
        </w:rPr>
      </w:pPr>
      <w:r>
        <w:rPr>
          <w:rFonts w:hint="eastAsia" w:ascii="仿宋" w:hAnsi="仿宋" w:eastAsia="仿宋" w:cs="仿宋"/>
          <w:b/>
          <w:bCs w:val="0"/>
          <w:color w:val="auto"/>
          <w:kern w:val="0"/>
          <w:sz w:val="32"/>
          <w:szCs w:val="32"/>
          <w:lang w:val="en-US" w:eastAsia="zh-CN"/>
        </w:rPr>
        <w:t>3、</w:t>
      </w:r>
      <w:r>
        <w:rPr>
          <w:rFonts w:hint="eastAsia" w:ascii="仿宋" w:hAnsi="仿宋" w:eastAsia="仿宋" w:cs="仿宋"/>
          <w:b/>
          <w:bCs w:val="0"/>
          <w:color w:val="auto"/>
          <w:kern w:val="0"/>
          <w:sz w:val="32"/>
          <w:szCs w:val="32"/>
        </w:rPr>
        <w:t>围绕实体经济工作推进公开</w:t>
      </w:r>
    </w:p>
    <w:p>
      <w:pPr>
        <w:widowControl/>
        <w:shd w:val="clear" w:color="auto" w:fill="FFFFFF"/>
        <w:wordWrap/>
        <w:adjustRightInd/>
        <w:snapToGrid/>
        <w:spacing w:before="0" w:after="0" w:line="580" w:lineRule="exact"/>
        <w:ind w:left="0" w:leftChars="0" w:right="0" w:firstLine="640" w:firstLineChars="200"/>
        <w:jc w:val="left"/>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我委严格按照国家法律法规要求设置项目立项审批前置材料、审批程序及办理时限，并以清单方式向群众公开。对于属于《忻州市政府核准的企业投资项目目录》内的企业投资项目，实行核准制管理，项目立项所需材料共5项，分别为企业营业执照副本复印件、企业所提交材料真实性承诺、城乡规划行政主管部门出具的选址意见书、国土资源（海洋）行政主管部门出具的用地（用海）预审意见、项目申请报告（含初审部门上报文件），企业通过互联网登录山西省投资项目在线审批监管平台进行网上申请，办理时限为20个工作日；对于不属于《忻州市政府核准的企业投资项目目录》的项目，实行备案制管理，企业通过互联网登录山西省投资项目在线审批监管平台进行网上申请，并上传企业营业执照副本复印件、山西省企业投资项目备案表、申请人提交的项目实施方案和企业对所提交材料的真实性承诺，经我委审核信息无误且符合产业政策后，即为</w:t>
      </w:r>
      <w:r>
        <w:rPr>
          <w:rFonts w:hint="eastAsia" w:ascii="仿宋" w:hAnsi="仿宋" w:eastAsia="仿宋" w:cs="仿宋"/>
          <w:color w:val="auto"/>
          <w:kern w:val="0"/>
          <w:sz w:val="32"/>
          <w:szCs w:val="32"/>
          <w:lang w:eastAsia="zh-CN"/>
        </w:rPr>
        <w:t>其</w:t>
      </w:r>
      <w:r>
        <w:rPr>
          <w:rFonts w:hint="eastAsia" w:ascii="仿宋" w:hAnsi="仿宋" w:eastAsia="仿宋" w:cs="仿宋"/>
          <w:color w:val="auto"/>
          <w:kern w:val="0"/>
          <w:sz w:val="32"/>
          <w:szCs w:val="32"/>
        </w:rPr>
        <w:t>备案，项目单位需要备案证明的，可以通过在线平台自行打印或者要求我委出具。201</w:t>
      </w:r>
      <w:r>
        <w:rPr>
          <w:rFonts w:hint="eastAsia" w:ascii="仿宋" w:hAnsi="仿宋" w:eastAsia="仿宋" w:cs="仿宋"/>
          <w:color w:val="auto"/>
          <w:kern w:val="0"/>
          <w:sz w:val="32"/>
          <w:szCs w:val="32"/>
          <w:lang w:val="en-US" w:eastAsia="zh-CN"/>
        </w:rPr>
        <w:t>9</w:t>
      </w:r>
      <w:r>
        <w:rPr>
          <w:rFonts w:hint="eastAsia" w:ascii="仿宋" w:hAnsi="仿宋" w:eastAsia="仿宋" w:cs="仿宋"/>
          <w:color w:val="auto"/>
          <w:kern w:val="0"/>
          <w:sz w:val="32"/>
          <w:szCs w:val="32"/>
        </w:rPr>
        <w:t>年完成在线办理政务服务</w:t>
      </w:r>
      <w:r>
        <w:rPr>
          <w:rFonts w:hint="eastAsia" w:ascii="仿宋" w:hAnsi="仿宋" w:eastAsia="仿宋" w:cs="仿宋"/>
          <w:color w:val="auto"/>
          <w:kern w:val="0"/>
          <w:sz w:val="32"/>
          <w:szCs w:val="32"/>
          <w:lang w:val="en-US" w:eastAsia="zh-CN"/>
        </w:rPr>
        <w:t>46</w:t>
      </w:r>
      <w:r>
        <w:rPr>
          <w:rFonts w:hint="eastAsia" w:ascii="仿宋" w:hAnsi="仿宋" w:eastAsia="仿宋" w:cs="仿宋"/>
          <w:color w:val="auto"/>
          <w:kern w:val="0"/>
          <w:sz w:val="32"/>
          <w:szCs w:val="32"/>
        </w:rPr>
        <w:t>项。</w:t>
      </w:r>
    </w:p>
    <w:p>
      <w:pPr>
        <w:wordWrap/>
        <w:adjustRightInd/>
        <w:snapToGrid/>
        <w:spacing w:before="0" w:after="0" w:line="580" w:lineRule="exact"/>
        <w:ind w:left="0" w:leftChars="0" w:right="0" w:firstLine="640" w:firstLineChars="200"/>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4、</w:t>
      </w:r>
      <w:r>
        <w:rPr>
          <w:rFonts w:hint="eastAsia" w:ascii="仿宋" w:hAnsi="仿宋" w:eastAsia="仿宋" w:cs="仿宋"/>
          <w:b/>
          <w:bCs/>
          <w:color w:val="auto"/>
          <w:sz w:val="32"/>
          <w:szCs w:val="32"/>
        </w:rPr>
        <w:t>围绕重点领域改革工作推进公开</w:t>
      </w:r>
    </w:p>
    <w:p>
      <w:pPr>
        <w:wordWrap/>
        <w:adjustRightInd/>
        <w:snapToGrid/>
        <w:spacing w:before="0" w:after="0" w:line="580" w:lineRule="exact"/>
        <w:ind w:left="0" w:leftChars="0" w:right="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认真贯彻落实省委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省政府</w:t>
      </w:r>
      <w:r>
        <w:rPr>
          <w:rFonts w:hint="eastAsia" w:ascii="仿宋" w:hAnsi="仿宋" w:eastAsia="仿宋" w:cs="仿宋"/>
          <w:color w:val="auto"/>
          <w:sz w:val="32"/>
          <w:szCs w:val="32"/>
          <w:lang w:eastAsia="zh-CN"/>
        </w:rPr>
        <w:t>和市委、市政府</w:t>
      </w:r>
      <w:r>
        <w:rPr>
          <w:rFonts w:hint="eastAsia" w:ascii="仿宋" w:hAnsi="仿宋" w:eastAsia="仿宋" w:cs="仿宋"/>
          <w:color w:val="auto"/>
          <w:sz w:val="32"/>
          <w:szCs w:val="32"/>
        </w:rPr>
        <w:t>深化转型项目建设年各项工作部署，坚持以项目建设为抓手，不断优化和改善项目建设投资环境，持续加快基础设施、社会民生和产业转型三大领域项目建设步伐，5项深化转型项目建设年年度指标全部超额完成省政府下达的目标任务。开展了“项目手续集中办理月”“项目集中开工月”“进工地、到一线、解难题”等系列专题活动，服务项目3036人次，解决问题772个，办理前期手续130项，推动221个新建项目集中开工，发挥省市重点工程龙头带动作用，完成固定资产省市重点工程221.69亿元。对此类信息，及时进行了公开。</w:t>
      </w:r>
    </w:p>
    <w:p>
      <w:pPr>
        <w:widowControl/>
        <w:shd w:val="clear" w:color="auto" w:fill="FFFFFF"/>
        <w:wordWrap/>
        <w:adjustRightInd/>
        <w:snapToGrid/>
        <w:spacing w:before="0" w:after="0" w:line="580" w:lineRule="exact"/>
        <w:ind w:left="0" w:leftChars="0" w:right="0" w:firstLine="640"/>
        <w:jc w:val="left"/>
        <w:textAlignment w:val="auto"/>
        <w:outlineLvl w:val="9"/>
        <w:rPr>
          <w:rFonts w:hint="eastAsia" w:ascii="仿宋_GB2312" w:hAnsi="仿宋" w:eastAsia="仿宋_GB2312" w:cs="仿宋"/>
          <w:color w:val="auto"/>
          <w:kern w:val="0"/>
          <w:sz w:val="32"/>
          <w:szCs w:val="32"/>
        </w:rPr>
      </w:pPr>
      <w:r>
        <w:rPr>
          <w:rFonts w:hint="eastAsia" w:ascii="仿宋" w:hAnsi="仿宋" w:eastAsia="仿宋" w:cs="仿宋"/>
          <w:color w:val="auto"/>
          <w:kern w:val="0"/>
          <w:sz w:val="32"/>
          <w:szCs w:val="32"/>
        </w:rPr>
        <w:t>牵头起草市委“1+3”经济运行专题会议、市政府经济运行常务会议分析报告，向市委、市政府提出一系列稳增长、调结构工作建议。</w:t>
      </w:r>
      <w:r>
        <w:rPr>
          <w:rFonts w:hint="eastAsia" w:ascii="仿宋" w:hAnsi="仿宋" w:eastAsia="仿宋" w:cs="仿宋"/>
          <w:color w:val="auto"/>
          <w:sz w:val="32"/>
          <w:szCs w:val="32"/>
          <w:shd w:val="clear" w:color="auto" w:fill="FFFFFF"/>
        </w:rPr>
        <w:t>按月召开固定资产投资、转型项目建设、重点工程、区域转型升级“四合一”调度会议，发现问题，提前预警，超前部署。</w:t>
      </w:r>
      <w:r>
        <w:rPr>
          <w:rFonts w:hint="eastAsia" w:ascii="仿宋" w:hAnsi="仿宋" w:eastAsia="仿宋" w:cs="仿宋"/>
          <w:color w:val="auto"/>
          <w:kern w:val="0"/>
          <w:sz w:val="32"/>
          <w:szCs w:val="32"/>
        </w:rPr>
        <w:t>全年地区生产总值完成</w:t>
      </w:r>
      <w:r>
        <w:rPr>
          <w:rFonts w:hint="eastAsia" w:ascii="仿宋" w:hAnsi="仿宋" w:eastAsia="仿宋" w:cs="仿宋"/>
          <w:color w:val="auto"/>
          <w:kern w:val="0"/>
          <w:sz w:val="32"/>
          <w:szCs w:val="32"/>
          <w:lang w:val="en-US" w:eastAsia="zh-CN"/>
        </w:rPr>
        <w:t>1001.6</w:t>
      </w:r>
      <w:r>
        <w:rPr>
          <w:rFonts w:hint="eastAsia" w:ascii="仿宋" w:hAnsi="仿宋" w:eastAsia="仿宋" w:cs="仿宋"/>
          <w:color w:val="auto"/>
          <w:kern w:val="0"/>
          <w:sz w:val="32"/>
          <w:szCs w:val="32"/>
        </w:rPr>
        <w:t>亿元，再创历史新高，固定资产投资完成</w:t>
      </w:r>
      <w:r>
        <w:rPr>
          <w:rFonts w:hint="eastAsia" w:ascii="仿宋" w:hAnsi="仿宋" w:eastAsia="仿宋" w:cs="仿宋"/>
          <w:color w:val="auto"/>
          <w:kern w:val="0"/>
          <w:sz w:val="32"/>
          <w:szCs w:val="32"/>
          <w:lang w:val="en-US" w:eastAsia="zh-CN"/>
        </w:rPr>
        <w:t>539.1</w:t>
      </w:r>
      <w:r>
        <w:rPr>
          <w:rFonts w:hint="eastAsia" w:ascii="仿宋" w:hAnsi="仿宋" w:eastAsia="仿宋" w:cs="仿宋"/>
          <w:color w:val="auto"/>
          <w:kern w:val="0"/>
          <w:sz w:val="32"/>
          <w:szCs w:val="32"/>
        </w:rPr>
        <w:t>亿元。在不同时期，及时公开信息，</w:t>
      </w:r>
      <w:r>
        <w:rPr>
          <w:rFonts w:hint="eastAsia" w:ascii="仿宋" w:hAnsi="仿宋" w:eastAsia="仿宋" w:cs="仿宋"/>
          <w:color w:val="auto"/>
          <w:kern w:val="0"/>
          <w:sz w:val="32"/>
          <w:szCs w:val="32"/>
          <w:lang w:eastAsia="zh-CN"/>
        </w:rPr>
        <w:t>接受</w:t>
      </w:r>
      <w:r>
        <w:rPr>
          <w:rFonts w:hint="eastAsia" w:ascii="仿宋" w:hAnsi="仿宋" w:eastAsia="仿宋" w:cs="仿宋"/>
          <w:color w:val="auto"/>
          <w:kern w:val="0"/>
          <w:sz w:val="32"/>
          <w:szCs w:val="32"/>
        </w:rPr>
        <w:t>社会监督，促进工作</w:t>
      </w:r>
      <w:r>
        <w:rPr>
          <w:rFonts w:hint="eastAsia" w:ascii="仿宋" w:hAnsi="仿宋" w:eastAsia="仿宋" w:cs="仿宋"/>
          <w:color w:val="auto"/>
          <w:kern w:val="0"/>
          <w:sz w:val="32"/>
          <w:szCs w:val="32"/>
          <w:lang w:eastAsia="zh-CN"/>
        </w:rPr>
        <w:t>顺利</w:t>
      </w:r>
      <w:r>
        <w:rPr>
          <w:rFonts w:hint="eastAsia" w:ascii="仿宋" w:hAnsi="仿宋" w:eastAsia="仿宋" w:cs="仿宋"/>
          <w:color w:val="auto"/>
          <w:kern w:val="0"/>
          <w:sz w:val="32"/>
          <w:szCs w:val="32"/>
        </w:rPr>
        <w:t>开展。</w:t>
      </w:r>
    </w:p>
    <w:p>
      <w:pPr>
        <w:widowControl/>
        <w:shd w:val="clear" w:color="auto" w:fill="FFFFFF"/>
        <w:wordWrap/>
        <w:adjustRightInd/>
        <w:snapToGrid/>
        <w:spacing w:before="0" w:after="0" w:line="580" w:lineRule="exact"/>
        <w:ind w:left="0" w:leftChars="0" w:right="0" w:firstLine="640" w:firstLineChars="200"/>
        <w:jc w:val="left"/>
        <w:textAlignment w:val="auto"/>
        <w:outlineLvl w:val="9"/>
        <w:rPr>
          <w:rFonts w:hint="eastAsia" w:ascii="黑体" w:hAnsi="仿宋" w:eastAsia="黑体" w:cs="仿宋"/>
          <w:bCs/>
          <w:color w:val="auto"/>
          <w:kern w:val="0"/>
          <w:sz w:val="32"/>
          <w:szCs w:val="32"/>
        </w:rPr>
      </w:pPr>
      <w:r>
        <w:rPr>
          <w:rFonts w:hint="eastAsia" w:ascii="黑体" w:hAnsi="仿宋" w:eastAsia="黑体" w:cs="仿宋"/>
          <w:bCs/>
          <w:color w:val="auto"/>
          <w:kern w:val="0"/>
          <w:sz w:val="32"/>
          <w:szCs w:val="32"/>
        </w:rPr>
        <w:t>二、主动公开政府信息情况</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80" w:lineRule="exact"/>
        <w:ind w:left="0" w:leftChars="0" w:right="0" w:firstLine="640" w:firstLineChars="200"/>
        <w:jc w:val="left"/>
        <w:textAlignment w:val="auto"/>
        <w:outlineLvl w:val="9"/>
        <w:rPr>
          <w:rFonts w:hint="eastAsia" w:ascii="仿宋" w:hAnsi="仿宋" w:eastAsia="仿宋" w:cs="仿宋"/>
          <w:b w:val="0"/>
          <w:i w:val="0"/>
          <w:caps w:val="0"/>
          <w:color w:val="auto"/>
          <w:spacing w:val="0"/>
          <w:sz w:val="32"/>
          <w:szCs w:val="32"/>
        </w:rPr>
      </w:pPr>
      <w:r>
        <w:rPr>
          <w:rFonts w:ascii="仿宋_GB2312" w:hAnsi="仿宋" w:eastAsia="仿宋_GB2312" w:cs="仿宋"/>
          <w:color w:val="auto"/>
          <w:kern w:val="0"/>
          <w:sz w:val="32"/>
          <w:szCs w:val="32"/>
        </w:rPr>
        <w:t>201</w:t>
      </w:r>
      <w:r>
        <w:rPr>
          <w:rFonts w:hint="eastAsia" w:ascii="仿宋_GB2312" w:hAnsi="仿宋" w:eastAsia="仿宋_GB2312" w:cs="仿宋"/>
          <w:color w:val="auto"/>
          <w:kern w:val="0"/>
          <w:sz w:val="32"/>
          <w:szCs w:val="32"/>
          <w:lang w:val="en-US" w:eastAsia="zh-CN"/>
        </w:rPr>
        <w:t>9</w:t>
      </w:r>
      <w:r>
        <w:rPr>
          <w:rFonts w:hint="eastAsia" w:ascii="仿宋_GB2312" w:hAnsi="仿宋" w:eastAsia="仿宋_GB2312" w:cs="仿宋"/>
          <w:color w:val="auto"/>
          <w:kern w:val="0"/>
          <w:sz w:val="32"/>
          <w:szCs w:val="32"/>
        </w:rPr>
        <w:t>年，</w:t>
      </w:r>
      <w:r>
        <w:rPr>
          <w:rFonts w:hint="eastAsia" w:ascii="仿宋" w:hAnsi="仿宋" w:eastAsia="仿宋" w:cs="仿宋"/>
          <w:b w:val="0"/>
          <w:i w:val="0"/>
          <w:caps w:val="0"/>
          <w:color w:val="auto"/>
          <w:spacing w:val="0"/>
          <w:sz w:val="32"/>
          <w:szCs w:val="32"/>
        </w:rPr>
        <w:t>全委主动公开政务信息</w:t>
      </w:r>
      <w:r>
        <w:rPr>
          <w:rFonts w:hint="eastAsia" w:ascii="仿宋" w:hAnsi="仿宋" w:eastAsia="仿宋" w:cs="仿宋"/>
          <w:b w:val="0"/>
          <w:i w:val="0"/>
          <w:caps w:val="0"/>
          <w:color w:val="auto"/>
          <w:spacing w:val="0"/>
          <w:sz w:val="32"/>
          <w:szCs w:val="32"/>
          <w:lang w:val="en-US" w:eastAsia="zh-CN"/>
        </w:rPr>
        <w:t>327</w:t>
      </w:r>
      <w:r>
        <w:rPr>
          <w:rFonts w:hint="eastAsia" w:ascii="仿宋" w:hAnsi="仿宋" w:eastAsia="仿宋" w:cs="仿宋"/>
          <w:b w:val="0"/>
          <w:i w:val="0"/>
          <w:caps w:val="0"/>
          <w:color w:val="auto"/>
          <w:spacing w:val="0"/>
          <w:sz w:val="32"/>
          <w:szCs w:val="32"/>
        </w:rPr>
        <w:t>条，其中报送在市政府网站信息</w:t>
      </w:r>
      <w:r>
        <w:rPr>
          <w:rFonts w:hint="eastAsia" w:ascii="仿宋" w:hAnsi="仿宋" w:eastAsia="仿宋" w:cs="仿宋"/>
          <w:b w:val="0"/>
          <w:i w:val="0"/>
          <w:caps w:val="0"/>
          <w:color w:val="auto"/>
          <w:spacing w:val="0"/>
          <w:sz w:val="32"/>
          <w:szCs w:val="32"/>
          <w:lang w:val="en-US" w:eastAsia="zh-CN"/>
        </w:rPr>
        <w:t>59</w:t>
      </w:r>
      <w:r>
        <w:rPr>
          <w:rFonts w:hint="eastAsia" w:ascii="仿宋" w:hAnsi="仿宋" w:eastAsia="仿宋" w:cs="仿宋"/>
          <w:b w:val="0"/>
          <w:i w:val="0"/>
          <w:caps w:val="0"/>
          <w:color w:val="auto"/>
          <w:spacing w:val="0"/>
          <w:sz w:val="32"/>
          <w:szCs w:val="32"/>
        </w:rPr>
        <w:t>条，报送市政府信息科信息</w:t>
      </w:r>
      <w:r>
        <w:rPr>
          <w:rFonts w:hint="eastAsia" w:ascii="仿宋" w:hAnsi="仿宋" w:eastAsia="仿宋" w:cs="仿宋"/>
          <w:b w:val="0"/>
          <w:i w:val="0"/>
          <w:caps w:val="0"/>
          <w:color w:val="auto"/>
          <w:spacing w:val="0"/>
          <w:sz w:val="32"/>
          <w:szCs w:val="32"/>
          <w:lang w:val="en-US" w:eastAsia="zh-CN"/>
        </w:rPr>
        <w:t>70</w:t>
      </w:r>
      <w:r>
        <w:rPr>
          <w:rFonts w:hint="eastAsia" w:ascii="仿宋" w:hAnsi="仿宋" w:eastAsia="仿宋" w:cs="仿宋"/>
          <w:b w:val="0"/>
          <w:i w:val="0"/>
          <w:caps w:val="0"/>
          <w:color w:val="auto"/>
          <w:spacing w:val="0"/>
          <w:sz w:val="32"/>
          <w:szCs w:val="32"/>
        </w:rPr>
        <w:t>条，部门动态</w:t>
      </w:r>
      <w:r>
        <w:rPr>
          <w:rFonts w:hint="eastAsia" w:ascii="仿宋" w:hAnsi="仿宋" w:eastAsia="仿宋" w:cs="仿宋"/>
          <w:b w:val="0"/>
          <w:i w:val="0"/>
          <w:caps w:val="0"/>
          <w:color w:val="auto"/>
          <w:spacing w:val="0"/>
          <w:sz w:val="32"/>
          <w:szCs w:val="32"/>
          <w:lang w:val="en-US" w:eastAsia="zh-CN"/>
        </w:rPr>
        <w:t>208</w:t>
      </w:r>
      <w:r>
        <w:rPr>
          <w:rFonts w:hint="eastAsia" w:ascii="仿宋" w:hAnsi="仿宋" w:eastAsia="仿宋" w:cs="仿宋"/>
          <w:b w:val="0"/>
          <w:i w:val="0"/>
          <w:caps w:val="0"/>
          <w:color w:val="auto"/>
          <w:spacing w:val="0"/>
          <w:sz w:val="32"/>
          <w:szCs w:val="32"/>
        </w:rPr>
        <w:t>条，党</w:t>
      </w:r>
      <w:r>
        <w:rPr>
          <w:rFonts w:hint="eastAsia" w:ascii="仿宋" w:hAnsi="仿宋" w:eastAsia="仿宋" w:cs="仿宋"/>
          <w:b w:val="0"/>
          <w:i w:val="0"/>
          <w:caps w:val="0"/>
          <w:color w:val="auto"/>
          <w:spacing w:val="0"/>
          <w:sz w:val="32"/>
          <w:szCs w:val="32"/>
          <w:lang w:eastAsia="zh-CN"/>
        </w:rPr>
        <w:t>务</w:t>
      </w:r>
      <w:r>
        <w:rPr>
          <w:rFonts w:hint="eastAsia" w:ascii="仿宋" w:hAnsi="仿宋" w:eastAsia="仿宋" w:cs="仿宋"/>
          <w:b w:val="0"/>
          <w:i w:val="0"/>
          <w:caps w:val="0"/>
          <w:color w:val="auto"/>
          <w:spacing w:val="0"/>
          <w:sz w:val="32"/>
          <w:szCs w:val="32"/>
        </w:rPr>
        <w:t>政务公开</w:t>
      </w:r>
      <w:r>
        <w:rPr>
          <w:rFonts w:hint="eastAsia" w:ascii="仿宋" w:hAnsi="仿宋" w:eastAsia="仿宋" w:cs="仿宋"/>
          <w:b w:val="0"/>
          <w:i w:val="0"/>
          <w:caps w:val="0"/>
          <w:color w:val="auto"/>
          <w:spacing w:val="0"/>
          <w:sz w:val="32"/>
          <w:szCs w:val="32"/>
          <w:lang w:val="en-US" w:eastAsia="zh-CN"/>
        </w:rPr>
        <w:t>47</w:t>
      </w:r>
      <w:r>
        <w:rPr>
          <w:rFonts w:hint="eastAsia" w:ascii="仿宋" w:hAnsi="仿宋" w:eastAsia="仿宋" w:cs="仿宋"/>
          <w:b w:val="0"/>
          <w:i w:val="0"/>
          <w:caps w:val="0"/>
          <w:color w:val="auto"/>
          <w:spacing w:val="0"/>
          <w:sz w:val="32"/>
          <w:szCs w:val="32"/>
        </w:rPr>
        <w:t>条，委内文件</w:t>
      </w:r>
      <w:r>
        <w:rPr>
          <w:rFonts w:hint="eastAsia" w:ascii="仿宋" w:hAnsi="仿宋" w:eastAsia="仿宋" w:cs="仿宋"/>
          <w:b w:val="0"/>
          <w:i w:val="0"/>
          <w:caps w:val="0"/>
          <w:color w:val="auto"/>
          <w:spacing w:val="0"/>
          <w:sz w:val="32"/>
          <w:szCs w:val="32"/>
          <w:lang w:val="en-US" w:eastAsia="zh-CN"/>
        </w:rPr>
        <w:t>44</w:t>
      </w:r>
      <w:r>
        <w:rPr>
          <w:rFonts w:hint="eastAsia" w:ascii="仿宋" w:hAnsi="仿宋" w:eastAsia="仿宋" w:cs="仿宋"/>
          <w:b w:val="0"/>
          <w:i w:val="0"/>
          <w:caps w:val="0"/>
          <w:color w:val="auto"/>
          <w:spacing w:val="0"/>
          <w:sz w:val="32"/>
          <w:szCs w:val="32"/>
        </w:rPr>
        <w:t>条，领导信箱</w:t>
      </w:r>
      <w:r>
        <w:rPr>
          <w:rFonts w:hint="eastAsia" w:ascii="仿宋" w:hAnsi="仿宋" w:eastAsia="仿宋" w:cs="仿宋"/>
          <w:b w:val="0"/>
          <w:i w:val="0"/>
          <w:caps w:val="0"/>
          <w:color w:val="auto"/>
          <w:spacing w:val="0"/>
          <w:sz w:val="32"/>
          <w:szCs w:val="32"/>
          <w:lang w:val="en-US" w:eastAsia="zh-CN"/>
        </w:rPr>
        <w:t>7</w:t>
      </w:r>
      <w:r>
        <w:rPr>
          <w:rFonts w:hint="eastAsia" w:ascii="仿宋" w:hAnsi="仿宋" w:eastAsia="仿宋" w:cs="仿宋"/>
          <w:b w:val="0"/>
          <w:i w:val="0"/>
          <w:caps w:val="0"/>
          <w:color w:val="auto"/>
          <w:spacing w:val="0"/>
          <w:sz w:val="32"/>
          <w:szCs w:val="32"/>
        </w:rPr>
        <w:t>条，咨询投诉</w:t>
      </w:r>
      <w:r>
        <w:rPr>
          <w:rFonts w:hint="eastAsia" w:ascii="仿宋" w:hAnsi="仿宋" w:eastAsia="仿宋" w:cs="仿宋"/>
          <w:b w:val="0"/>
          <w:i w:val="0"/>
          <w:caps w:val="0"/>
          <w:color w:val="auto"/>
          <w:spacing w:val="0"/>
          <w:sz w:val="32"/>
          <w:szCs w:val="32"/>
          <w:lang w:val="en-US" w:eastAsia="zh-CN"/>
        </w:rPr>
        <w:t>8</w:t>
      </w:r>
      <w:r>
        <w:rPr>
          <w:rFonts w:hint="eastAsia" w:ascii="仿宋" w:hAnsi="仿宋" w:eastAsia="仿宋" w:cs="仿宋"/>
          <w:b w:val="0"/>
          <w:i w:val="0"/>
          <w:caps w:val="0"/>
          <w:color w:val="auto"/>
          <w:spacing w:val="0"/>
          <w:sz w:val="32"/>
          <w:szCs w:val="32"/>
        </w:rPr>
        <w:t>条，财务信息公开</w:t>
      </w:r>
      <w:r>
        <w:rPr>
          <w:rFonts w:hint="eastAsia" w:ascii="仿宋" w:hAnsi="仿宋" w:eastAsia="仿宋" w:cs="仿宋"/>
          <w:b w:val="0"/>
          <w:i w:val="0"/>
          <w:caps w:val="0"/>
          <w:color w:val="auto"/>
          <w:spacing w:val="0"/>
          <w:sz w:val="32"/>
          <w:szCs w:val="32"/>
          <w:lang w:val="en-US" w:eastAsia="zh-CN"/>
        </w:rPr>
        <w:t>13</w:t>
      </w:r>
      <w:r>
        <w:rPr>
          <w:rFonts w:hint="eastAsia" w:ascii="仿宋" w:hAnsi="仿宋" w:eastAsia="仿宋" w:cs="仿宋"/>
          <w:b w:val="0"/>
          <w:i w:val="0"/>
          <w:caps w:val="0"/>
          <w:color w:val="auto"/>
          <w:spacing w:val="0"/>
          <w:sz w:val="32"/>
          <w:szCs w:val="32"/>
        </w:rPr>
        <w:t>条。</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80" w:lineRule="exact"/>
        <w:ind w:left="0" w:leftChars="0" w:right="0" w:firstLine="640" w:firstLineChars="200"/>
        <w:jc w:val="left"/>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rPr>
        <w:t>另外，门户网站转载发布各类公开信息</w:t>
      </w:r>
      <w:r>
        <w:rPr>
          <w:rFonts w:hint="eastAsia" w:ascii="仿宋" w:hAnsi="仿宋" w:eastAsia="仿宋" w:cs="仿宋"/>
          <w:b w:val="0"/>
          <w:i w:val="0"/>
          <w:caps w:val="0"/>
          <w:color w:val="auto"/>
          <w:spacing w:val="0"/>
          <w:sz w:val="32"/>
          <w:szCs w:val="32"/>
          <w:lang w:val="en-US" w:eastAsia="zh-CN"/>
        </w:rPr>
        <w:t>2232</w:t>
      </w:r>
      <w:r>
        <w:rPr>
          <w:rFonts w:hint="eastAsia" w:ascii="仿宋" w:hAnsi="仿宋" w:eastAsia="仿宋" w:cs="仿宋"/>
          <w:b w:val="0"/>
          <w:i w:val="0"/>
          <w:caps w:val="0"/>
          <w:color w:val="auto"/>
          <w:spacing w:val="0"/>
          <w:sz w:val="32"/>
          <w:szCs w:val="32"/>
        </w:rPr>
        <w:t>条。门户网站公开的政府信息中，价格管理</w:t>
      </w:r>
      <w:r>
        <w:rPr>
          <w:rFonts w:hint="eastAsia" w:ascii="仿宋" w:hAnsi="仿宋" w:eastAsia="仿宋" w:cs="仿宋"/>
          <w:b w:val="0"/>
          <w:i w:val="0"/>
          <w:caps w:val="0"/>
          <w:color w:val="auto"/>
          <w:spacing w:val="0"/>
          <w:sz w:val="32"/>
          <w:szCs w:val="32"/>
          <w:lang w:val="en-US" w:eastAsia="zh-CN"/>
        </w:rPr>
        <w:t>210</w:t>
      </w:r>
      <w:r>
        <w:rPr>
          <w:rFonts w:hint="eastAsia" w:ascii="仿宋" w:hAnsi="仿宋" w:eastAsia="仿宋" w:cs="仿宋"/>
          <w:b w:val="0"/>
          <w:i w:val="0"/>
          <w:caps w:val="0"/>
          <w:color w:val="auto"/>
          <w:spacing w:val="0"/>
          <w:sz w:val="32"/>
          <w:szCs w:val="32"/>
        </w:rPr>
        <w:t>条，项目建设</w:t>
      </w:r>
      <w:r>
        <w:rPr>
          <w:rFonts w:hint="eastAsia" w:ascii="仿宋" w:hAnsi="仿宋" w:eastAsia="仿宋" w:cs="仿宋"/>
          <w:b w:val="0"/>
          <w:i w:val="0"/>
          <w:caps w:val="0"/>
          <w:color w:val="auto"/>
          <w:spacing w:val="0"/>
          <w:sz w:val="32"/>
          <w:szCs w:val="32"/>
          <w:lang w:val="en-US" w:eastAsia="zh-CN"/>
        </w:rPr>
        <w:t>175</w:t>
      </w:r>
      <w:r>
        <w:rPr>
          <w:rFonts w:hint="eastAsia" w:ascii="仿宋" w:hAnsi="仿宋" w:eastAsia="仿宋" w:cs="仿宋"/>
          <w:b w:val="0"/>
          <w:i w:val="0"/>
          <w:caps w:val="0"/>
          <w:color w:val="auto"/>
          <w:spacing w:val="0"/>
          <w:sz w:val="32"/>
          <w:szCs w:val="32"/>
        </w:rPr>
        <w:t>条，经济动态</w:t>
      </w:r>
      <w:r>
        <w:rPr>
          <w:rFonts w:hint="eastAsia" w:ascii="仿宋" w:hAnsi="仿宋" w:eastAsia="仿宋" w:cs="仿宋"/>
          <w:b w:val="0"/>
          <w:i w:val="0"/>
          <w:caps w:val="0"/>
          <w:color w:val="auto"/>
          <w:spacing w:val="0"/>
          <w:sz w:val="32"/>
          <w:szCs w:val="32"/>
          <w:lang w:val="en-US" w:eastAsia="zh-CN"/>
        </w:rPr>
        <w:t>373</w:t>
      </w:r>
      <w:r>
        <w:rPr>
          <w:rFonts w:hint="eastAsia" w:ascii="仿宋" w:hAnsi="仿宋" w:eastAsia="仿宋" w:cs="仿宋"/>
          <w:b w:val="0"/>
          <w:i w:val="0"/>
          <w:caps w:val="0"/>
          <w:color w:val="auto"/>
          <w:spacing w:val="0"/>
          <w:sz w:val="32"/>
          <w:szCs w:val="32"/>
        </w:rPr>
        <w:t>条，公告公示</w:t>
      </w:r>
      <w:r>
        <w:rPr>
          <w:rFonts w:hint="eastAsia" w:ascii="仿宋" w:hAnsi="仿宋" w:eastAsia="仿宋" w:cs="仿宋"/>
          <w:b w:val="0"/>
          <w:i w:val="0"/>
          <w:caps w:val="0"/>
          <w:color w:val="auto"/>
          <w:spacing w:val="0"/>
          <w:sz w:val="32"/>
          <w:szCs w:val="32"/>
          <w:lang w:val="en-US" w:eastAsia="zh-CN"/>
        </w:rPr>
        <w:t>78</w:t>
      </w:r>
      <w:r>
        <w:rPr>
          <w:rFonts w:hint="eastAsia" w:ascii="仿宋" w:hAnsi="仿宋" w:eastAsia="仿宋" w:cs="仿宋"/>
          <w:b w:val="0"/>
          <w:i w:val="0"/>
          <w:caps w:val="0"/>
          <w:color w:val="auto"/>
          <w:spacing w:val="0"/>
          <w:sz w:val="32"/>
          <w:szCs w:val="32"/>
        </w:rPr>
        <w:t>条，国务院要闻</w:t>
      </w:r>
      <w:r>
        <w:rPr>
          <w:rFonts w:hint="eastAsia" w:ascii="仿宋" w:hAnsi="仿宋" w:eastAsia="仿宋" w:cs="仿宋"/>
          <w:b w:val="0"/>
          <w:i w:val="0"/>
          <w:caps w:val="0"/>
          <w:color w:val="auto"/>
          <w:spacing w:val="0"/>
          <w:sz w:val="32"/>
          <w:szCs w:val="32"/>
          <w:lang w:val="en-US" w:eastAsia="zh-CN"/>
        </w:rPr>
        <w:t>323</w:t>
      </w:r>
      <w:r>
        <w:rPr>
          <w:rFonts w:hint="eastAsia" w:ascii="仿宋" w:hAnsi="仿宋" w:eastAsia="仿宋" w:cs="仿宋"/>
          <w:b w:val="0"/>
          <w:i w:val="0"/>
          <w:caps w:val="0"/>
          <w:color w:val="auto"/>
          <w:spacing w:val="0"/>
          <w:sz w:val="32"/>
          <w:szCs w:val="32"/>
        </w:rPr>
        <w:t>条，省政府要闻</w:t>
      </w:r>
      <w:r>
        <w:rPr>
          <w:rFonts w:hint="eastAsia" w:ascii="仿宋" w:hAnsi="仿宋" w:eastAsia="仿宋" w:cs="仿宋"/>
          <w:b w:val="0"/>
          <w:i w:val="0"/>
          <w:caps w:val="0"/>
          <w:color w:val="auto"/>
          <w:spacing w:val="0"/>
          <w:sz w:val="32"/>
          <w:szCs w:val="32"/>
          <w:lang w:val="en-US" w:eastAsia="zh-CN"/>
        </w:rPr>
        <w:t>369</w:t>
      </w:r>
      <w:r>
        <w:rPr>
          <w:rFonts w:hint="eastAsia" w:ascii="仿宋" w:hAnsi="仿宋" w:eastAsia="仿宋" w:cs="仿宋"/>
          <w:b w:val="0"/>
          <w:i w:val="0"/>
          <w:caps w:val="0"/>
          <w:color w:val="auto"/>
          <w:spacing w:val="0"/>
          <w:sz w:val="32"/>
          <w:szCs w:val="32"/>
        </w:rPr>
        <w:t>条，市政府要闻</w:t>
      </w:r>
      <w:r>
        <w:rPr>
          <w:rFonts w:hint="eastAsia" w:ascii="仿宋" w:hAnsi="仿宋" w:eastAsia="仿宋" w:cs="仿宋"/>
          <w:b w:val="0"/>
          <w:i w:val="0"/>
          <w:caps w:val="0"/>
          <w:color w:val="auto"/>
          <w:spacing w:val="0"/>
          <w:sz w:val="32"/>
          <w:szCs w:val="32"/>
          <w:lang w:val="en-US" w:eastAsia="zh-CN"/>
        </w:rPr>
        <w:t>363</w:t>
      </w:r>
      <w:r>
        <w:rPr>
          <w:rFonts w:hint="eastAsia" w:ascii="仿宋" w:hAnsi="仿宋" w:eastAsia="仿宋" w:cs="仿宋"/>
          <w:b w:val="0"/>
          <w:i w:val="0"/>
          <w:caps w:val="0"/>
          <w:color w:val="auto"/>
          <w:spacing w:val="0"/>
          <w:sz w:val="32"/>
          <w:szCs w:val="32"/>
        </w:rPr>
        <w:t>条，政策解读</w:t>
      </w:r>
      <w:r>
        <w:rPr>
          <w:rFonts w:hint="eastAsia" w:ascii="仿宋" w:hAnsi="仿宋" w:eastAsia="仿宋" w:cs="仿宋"/>
          <w:b w:val="0"/>
          <w:i w:val="0"/>
          <w:caps w:val="0"/>
          <w:color w:val="auto"/>
          <w:spacing w:val="0"/>
          <w:sz w:val="32"/>
          <w:szCs w:val="32"/>
          <w:lang w:val="en-US" w:eastAsia="zh-CN"/>
        </w:rPr>
        <w:t>62</w:t>
      </w:r>
      <w:r>
        <w:rPr>
          <w:rFonts w:hint="eastAsia" w:ascii="仿宋" w:hAnsi="仿宋" w:eastAsia="仿宋" w:cs="仿宋"/>
          <w:b w:val="0"/>
          <w:i w:val="0"/>
          <w:caps w:val="0"/>
          <w:color w:val="auto"/>
          <w:spacing w:val="0"/>
          <w:sz w:val="32"/>
          <w:szCs w:val="32"/>
        </w:rPr>
        <w:t>条，规划计划</w:t>
      </w:r>
      <w:r>
        <w:rPr>
          <w:rFonts w:hint="eastAsia" w:ascii="仿宋" w:hAnsi="仿宋" w:eastAsia="仿宋" w:cs="仿宋"/>
          <w:b w:val="0"/>
          <w:i w:val="0"/>
          <w:caps w:val="0"/>
          <w:color w:val="auto"/>
          <w:spacing w:val="0"/>
          <w:sz w:val="32"/>
          <w:szCs w:val="32"/>
          <w:lang w:val="en-US" w:eastAsia="zh-CN"/>
        </w:rPr>
        <w:t>14</w:t>
      </w:r>
      <w:r>
        <w:rPr>
          <w:rFonts w:hint="eastAsia" w:ascii="仿宋" w:hAnsi="仿宋" w:eastAsia="仿宋" w:cs="仿宋"/>
          <w:b w:val="0"/>
          <w:i w:val="0"/>
          <w:caps w:val="0"/>
          <w:color w:val="auto"/>
          <w:spacing w:val="0"/>
          <w:sz w:val="32"/>
          <w:szCs w:val="32"/>
        </w:rPr>
        <w:t>条，专题集锦</w:t>
      </w:r>
      <w:r>
        <w:rPr>
          <w:rFonts w:hint="eastAsia" w:ascii="仿宋" w:hAnsi="仿宋" w:eastAsia="仿宋" w:cs="仿宋"/>
          <w:b w:val="0"/>
          <w:i w:val="0"/>
          <w:caps w:val="0"/>
          <w:color w:val="auto"/>
          <w:spacing w:val="0"/>
          <w:sz w:val="32"/>
          <w:szCs w:val="32"/>
          <w:lang w:val="en-US" w:eastAsia="zh-CN"/>
        </w:rPr>
        <w:t>20</w:t>
      </w:r>
      <w:r>
        <w:rPr>
          <w:rFonts w:hint="eastAsia" w:ascii="仿宋" w:hAnsi="仿宋" w:eastAsia="仿宋" w:cs="仿宋"/>
          <w:b w:val="0"/>
          <w:i w:val="0"/>
          <w:caps w:val="0"/>
          <w:color w:val="auto"/>
          <w:spacing w:val="0"/>
          <w:sz w:val="32"/>
          <w:szCs w:val="32"/>
        </w:rPr>
        <w:t>条。</w:t>
      </w:r>
    </w:p>
    <w:p>
      <w:pPr>
        <w:widowControl/>
        <w:shd w:val="clear" w:color="auto" w:fill="FFFFFF"/>
        <w:wordWrap/>
        <w:adjustRightInd/>
        <w:snapToGrid/>
        <w:spacing w:before="0" w:after="0" w:line="580" w:lineRule="exact"/>
        <w:ind w:left="0" w:leftChars="0" w:right="0" w:firstLine="640" w:firstLineChars="200"/>
        <w:jc w:val="left"/>
        <w:textAlignment w:val="auto"/>
        <w:outlineLvl w:val="9"/>
        <w:rPr>
          <w:rFonts w:hint="eastAsia" w:ascii="黑体" w:hAnsi="仿宋" w:eastAsia="黑体" w:cs="仿宋"/>
          <w:bCs/>
          <w:color w:val="auto"/>
          <w:kern w:val="0"/>
          <w:sz w:val="32"/>
          <w:szCs w:val="32"/>
        </w:rPr>
      </w:pPr>
    </w:p>
    <w:tbl>
      <w:tblPr>
        <w:tblW w:w="81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113"/>
        <w:gridCol w:w="1875"/>
        <w:gridCol w:w="6"/>
        <w:gridCol w:w="1265"/>
        <w:gridCol w:w="1881"/>
      </w:tblGrid>
      <w:tr>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第二十条第（一）项</w:t>
            </w:r>
          </w:p>
        </w:tc>
      </w:tr>
      <w:tr>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信息内容</w:t>
            </w:r>
          </w:p>
        </w:tc>
        <w:tc>
          <w:tcPr>
            <w:tcW w:w="187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本年新</w:t>
            </w:r>
            <w:r>
              <w:rPr>
                <w:rFonts w:hint="eastAsia"/>
                <w:color w:val="000000"/>
                <w:kern w:val="0"/>
                <w:sz w:val="20"/>
              </w:rPr>
              <w:br/>
            </w:r>
            <w:r>
              <w:rPr>
                <w:rFonts w:hint="eastAsia" w:ascii="宋体" w:hAnsi="宋体"/>
                <w:color w:val="000000"/>
                <w:kern w:val="0"/>
                <w:sz w:val="20"/>
              </w:rPr>
              <w:t>制作数量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本年新</w:t>
            </w:r>
            <w:r>
              <w:rPr>
                <w:rFonts w:hint="eastAsia"/>
                <w:color w:val="000000"/>
                <w:kern w:val="0"/>
                <w:sz w:val="20"/>
              </w:rPr>
              <w:br/>
            </w:r>
            <w:r>
              <w:rPr>
                <w:rFonts w:hint="eastAsia" w:ascii="宋体" w:hAnsi="宋体"/>
                <w:color w:val="000000"/>
                <w:kern w:val="0"/>
                <w:sz w:val="20"/>
              </w:rPr>
              <w:t>公开数量</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对外公开总数量</w:t>
            </w:r>
          </w:p>
        </w:tc>
      </w:tr>
      <w:tr>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color w:val="000000"/>
                <w:kern w:val="0"/>
                <w:sz w:val="24"/>
              </w:rPr>
            </w:pPr>
            <w:r>
              <w:rPr>
                <w:rFonts w:hint="eastAsia" w:ascii="宋体" w:hAnsi="宋体"/>
                <w:color w:val="000000"/>
                <w:kern w:val="0"/>
                <w:sz w:val="20"/>
              </w:rPr>
              <w:t>规章</w:t>
            </w:r>
          </w:p>
        </w:tc>
        <w:tc>
          <w:tcPr>
            <w:tcW w:w="187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color w:val="000000"/>
                <w:kern w:val="0"/>
                <w:sz w:val="24"/>
              </w:rPr>
            </w:pPr>
            <w:r>
              <w:rPr>
                <w:rFonts w:hint="eastAsia" w:ascii="宋体" w:hAnsi="宋体"/>
                <w:color w:val="000000"/>
                <w:kern w:val="0"/>
                <w:sz w:val="20"/>
              </w:rPr>
              <w:t>　　</w:t>
            </w:r>
            <w:r>
              <w:rPr>
                <w:rFonts w:hint="eastAsia" w:ascii="宋体" w:hAnsi="宋体"/>
                <w:color w:val="000000"/>
                <w:kern w:val="0"/>
                <w:sz w:val="20"/>
                <w:lang w:val="en-US" w:eastAsia="zh-CN"/>
              </w:rPr>
              <w:t>0</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color w:val="000000"/>
                <w:kern w:val="0"/>
                <w:sz w:val="24"/>
              </w:rPr>
            </w:pPr>
            <w:r>
              <w:rPr>
                <w:rFonts w:hint="eastAsia"/>
                <w:color w:val="000000"/>
                <w:kern w:val="0"/>
                <w:sz w:val="20"/>
              </w:rPr>
              <w:t> </w:t>
            </w:r>
            <w:r>
              <w:rPr>
                <w:rFonts w:hint="eastAsia"/>
                <w:color w:val="000000"/>
                <w:kern w:val="0"/>
                <w:sz w:val="20"/>
                <w:lang w:val="en-US" w:eastAsia="zh-CN"/>
              </w:rPr>
              <w:t>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color w:val="000000"/>
                <w:kern w:val="0"/>
                <w:sz w:val="24"/>
              </w:rPr>
            </w:pPr>
            <w:r>
              <w:rPr>
                <w:rFonts w:hint="eastAsia" w:ascii="宋体" w:hAnsi="宋体"/>
                <w:color w:val="000000"/>
                <w:kern w:val="0"/>
                <w:sz w:val="20"/>
              </w:rPr>
              <w:t>　</w:t>
            </w:r>
            <w:r>
              <w:rPr>
                <w:rFonts w:hint="eastAsia" w:ascii="宋体" w:hAnsi="宋体"/>
                <w:color w:val="000000"/>
                <w:kern w:val="0"/>
                <w:sz w:val="20"/>
                <w:lang w:val="en-US" w:eastAsia="zh-CN"/>
              </w:rPr>
              <w:t>0</w:t>
            </w:r>
          </w:p>
        </w:tc>
      </w:tr>
      <w:tr>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color w:val="000000"/>
                <w:kern w:val="0"/>
                <w:sz w:val="24"/>
              </w:rPr>
            </w:pPr>
            <w:r>
              <w:rPr>
                <w:rFonts w:hint="eastAsia" w:ascii="宋体" w:hAnsi="宋体"/>
                <w:color w:val="000000"/>
                <w:kern w:val="0"/>
                <w:sz w:val="20"/>
              </w:rPr>
              <w:t>规范性文件</w:t>
            </w:r>
          </w:p>
        </w:tc>
        <w:tc>
          <w:tcPr>
            <w:tcW w:w="187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color w:val="000000"/>
                <w:kern w:val="0"/>
                <w:sz w:val="24"/>
              </w:rPr>
            </w:pPr>
            <w:r>
              <w:rPr>
                <w:rFonts w:hint="eastAsia" w:ascii="宋体" w:hAnsi="宋体"/>
                <w:color w:val="000000"/>
                <w:kern w:val="0"/>
                <w:sz w:val="20"/>
              </w:rPr>
              <w:t>　　</w:t>
            </w:r>
            <w:r>
              <w:rPr>
                <w:rFonts w:hint="eastAsia" w:ascii="宋体" w:hAnsi="宋体"/>
                <w:color w:val="000000"/>
                <w:kern w:val="0"/>
                <w:sz w:val="20"/>
                <w:lang w:val="en-US" w:eastAsia="zh-CN"/>
              </w:rPr>
              <w:t>0</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color w:val="000000"/>
                <w:kern w:val="0"/>
                <w:sz w:val="24"/>
              </w:rPr>
            </w:pPr>
            <w:r>
              <w:rPr>
                <w:rFonts w:hint="eastAsia"/>
                <w:color w:val="000000"/>
                <w:kern w:val="0"/>
                <w:sz w:val="20"/>
              </w:rPr>
              <w:t> </w:t>
            </w:r>
            <w:r>
              <w:rPr>
                <w:rFonts w:hint="eastAsia"/>
                <w:color w:val="000000"/>
                <w:kern w:val="0"/>
                <w:sz w:val="20"/>
                <w:lang w:val="en-US" w:eastAsia="zh-CN"/>
              </w:rPr>
              <w:t>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color w:val="000000"/>
                <w:kern w:val="0"/>
                <w:sz w:val="24"/>
              </w:rPr>
            </w:pPr>
            <w:r>
              <w:rPr>
                <w:rFonts w:hint="eastAsia" w:ascii="宋体" w:hAnsi="宋体"/>
                <w:color w:val="000000"/>
                <w:kern w:val="0"/>
                <w:sz w:val="20"/>
              </w:rPr>
              <w:t>　</w:t>
            </w:r>
            <w:r>
              <w:rPr>
                <w:rFonts w:hint="eastAsia" w:ascii="宋体" w:hAnsi="宋体"/>
                <w:color w:val="000000"/>
                <w:kern w:val="0"/>
                <w:sz w:val="20"/>
                <w:lang w:val="en-US" w:eastAsia="zh-CN"/>
              </w:rPr>
              <w:t>0</w:t>
            </w:r>
          </w:p>
        </w:tc>
      </w:tr>
      <w:tr>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第二十条第（五）项</w:t>
            </w:r>
          </w:p>
        </w:tc>
      </w:tr>
      <w:tr>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信息内容</w:t>
            </w:r>
          </w:p>
        </w:tc>
        <w:tc>
          <w:tcPr>
            <w:tcW w:w="187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本年增</w:t>
            </w:r>
            <w:r>
              <w:rPr>
                <w:rFonts w:hint="eastAsia" w:ascii="宋体" w:hAnsi="宋体"/>
                <w:color w:val="000000"/>
                <w:kern w:val="0"/>
                <w:sz w:val="20"/>
                <w:lang w:eastAsia="zh-CN"/>
              </w:rPr>
              <w:t>加</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处理决定数量</w:t>
            </w:r>
          </w:p>
        </w:tc>
      </w:tr>
      <w:tr>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E6F4FF"/>
            <w:vAlign w:val="center"/>
          </w:tcPr>
          <w:p>
            <w:pPr>
              <w:widowControl/>
              <w:jc w:val="left"/>
              <w:rPr>
                <w:rFonts w:hint="eastAsia"/>
                <w:color w:val="000000"/>
                <w:kern w:val="0"/>
                <w:sz w:val="24"/>
              </w:rPr>
            </w:pPr>
            <w:r>
              <w:rPr>
                <w:rFonts w:hint="eastAsia" w:ascii="宋体" w:hAnsi="宋体"/>
                <w:color w:val="000000"/>
                <w:kern w:val="0"/>
                <w:sz w:val="20"/>
              </w:rPr>
              <w:t>行政许可</w:t>
            </w:r>
          </w:p>
        </w:tc>
        <w:tc>
          <w:tcPr>
            <w:tcW w:w="1881" w:type="dxa"/>
            <w:gridSpan w:val="2"/>
            <w:tcBorders>
              <w:top w:val="nil"/>
              <w:left w:val="nil"/>
              <w:bottom w:val="single" w:color="auto" w:sz="8" w:space="0"/>
              <w:right w:val="single" w:color="auto" w:sz="8" w:space="0"/>
            </w:tcBorders>
            <w:shd w:val="clear" w:color="auto" w:fill="E6F4FF"/>
            <w:vAlign w:val="center"/>
          </w:tcPr>
          <w:p>
            <w:pPr>
              <w:widowControl/>
              <w:jc w:val="center"/>
              <w:rPr>
                <w:rFonts w:hint="eastAsia"/>
                <w:color w:val="000000"/>
                <w:kern w:val="0"/>
                <w:sz w:val="24"/>
              </w:rPr>
            </w:pPr>
            <w:r>
              <w:rPr>
                <w:rFonts w:hint="eastAsia" w:ascii="宋体" w:hAnsi="宋体"/>
                <w:color w:val="000000"/>
                <w:kern w:val="0"/>
                <w:sz w:val="20"/>
              </w:rPr>
              <w:t>　</w:t>
            </w:r>
            <w:r>
              <w:rPr>
                <w:rFonts w:hint="eastAsia" w:ascii="宋体" w:hAnsi="宋体"/>
                <w:color w:val="000000"/>
                <w:kern w:val="0"/>
                <w:sz w:val="20"/>
                <w:lang w:val="en-US" w:eastAsia="zh-CN"/>
              </w:rPr>
              <w:t>4</w:t>
            </w:r>
          </w:p>
        </w:tc>
        <w:tc>
          <w:tcPr>
            <w:tcW w:w="12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　</w:t>
            </w:r>
            <w:r>
              <w:rPr>
                <w:rFonts w:hint="eastAsia" w:ascii="宋体" w:hAnsi="宋体"/>
                <w:color w:val="000000"/>
                <w:kern w:val="0"/>
                <w:sz w:val="20"/>
                <w:lang w:val="en-US" w:eastAsia="zh-CN"/>
              </w:rPr>
              <w:t>1</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　</w:t>
            </w:r>
            <w:r>
              <w:rPr>
                <w:rFonts w:hint="eastAsia" w:ascii="宋体" w:hAnsi="宋体"/>
                <w:color w:val="000000"/>
                <w:kern w:val="0"/>
                <w:sz w:val="20"/>
                <w:lang w:val="en-US" w:eastAsia="zh-CN"/>
              </w:rPr>
              <w:t>30</w:t>
            </w:r>
          </w:p>
        </w:tc>
      </w:tr>
      <w:tr>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E6F4FF"/>
            <w:vAlign w:val="center"/>
          </w:tcPr>
          <w:p>
            <w:pPr>
              <w:widowControl/>
              <w:jc w:val="left"/>
              <w:rPr>
                <w:rFonts w:hint="eastAsia"/>
                <w:color w:val="000000"/>
                <w:kern w:val="0"/>
                <w:sz w:val="24"/>
              </w:rPr>
            </w:pPr>
            <w:r>
              <w:rPr>
                <w:rFonts w:hint="eastAsia" w:ascii="宋体" w:hAnsi="宋体"/>
                <w:color w:val="000000"/>
                <w:kern w:val="0"/>
                <w:sz w:val="20"/>
              </w:rPr>
              <w:t>其他对外管理服务事项</w:t>
            </w:r>
          </w:p>
        </w:tc>
        <w:tc>
          <w:tcPr>
            <w:tcW w:w="1881" w:type="dxa"/>
            <w:gridSpan w:val="2"/>
            <w:tcBorders>
              <w:top w:val="nil"/>
              <w:left w:val="nil"/>
              <w:bottom w:val="single" w:color="auto" w:sz="8" w:space="0"/>
              <w:right w:val="single" w:color="auto" w:sz="8" w:space="0"/>
            </w:tcBorders>
            <w:shd w:val="clear" w:color="auto" w:fill="E6F4FF"/>
            <w:vAlign w:val="center"/>
          </w:tcPr>
          <w:p>
            <w:pPr>
              <w:widowControl/>
              <w:jc w:val="center"/>
              <w:rPr>
                <w:rFonts w:hint="eastAsia" w:eastAsia="宋体"/>
                <w:color w:val="000000"/>
                <w:kern w:val="0"/>
                <w:sz w:val="24"/>
                <w:lang w:eastAsia="zh-CN"/>
              </w:rPr>
            </w:pPr>
            <w:r>
              <w:rPr>
                <w:rFonts w:hint="eastAsia" w:ascii="宋体" w:hAnsi="宋体"/>
                <w:color w:val="000000"/>
                <w:kern w:val="0"/>
                <w:sz w:val="20"/>
                <w:lang w:val="en-US" w:eastAsia="zh-CN"/>
              </w:rPr>
              <w:t>2</w:t>
            </w:r>
          </w:p>
        </w:tc>
        <w:tc>
          <w:tcPr>
            <w:tcW w:w="12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　</w:t>
            </w:r>
            <w:r>
              <w:rPr>
                <w:rFonts w:hint="eastAsia" w:ascii="宋体" w:hAnsi="宋体"/>
                <w:color w:val="000000"/>
                <w:kern w:val="0"/>
                <w:sz w:val="20"/>
                <w:lang w:val="en-US" w:eastAsia="zh-CN"/>
              </w:rPr>
              <w:t>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　</w:t>
            </w:r>
            <w:r>
              <w:rPr>
                <w:rFonts w:hint="eastAsia" w:ascii="宋体" w:hAnsi="宋体"/>
                <w:color w:val="000000"/>
                <w:kern w:val="0"/>
                <w:sz w:val="20"/>
                <w:lang w:val="en-US" w:eastAsia="zh-CN"/>
              </w:rPr>
              <w:t>0</w:t>
            </w:r>
          </w:p>
        </w:tc>
      </w:tr>
      <w:tr>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第二十条第（六）项</w:t>
            </w:r>
          </w:p>
        </w:tc>
      </w:tr>
      <w:tr>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信息内容</w:t>
            </w:r>
          </w:p>
        </w:tc>
        <w:tc>
          <w:tcPr>
            <w:tcW w:w="187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本年增</w:t>
            </w:r>
            <w:r>
              <w:rPr>
                <w:rFonts w:hint="eastAsia" w:ascii="宋体" w:hAnsi="宋体"/>
                <w:color w:val="000000"/>
                <w:kern w:val="0"/>
                <w:sz w:val="20"/>
                <w:lang w:eastAsia="zh-CN"/>
              </w:rPr>
              <w:t>加</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处理决定数量</w:t>
            </w:r>
          </w:p>
        </w:tc>
      </w:tr>
      <w:tr>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E6F4FF"/>
            <w:vAlign w:val="center"/>
          </w:tcPr>
          <w:p>
            <w:pPr>
              <w:widowControl/>
              <w:jc w:val="left"/>
              <w:rPr>
                <w:rFonts w:hint="eastAsia"/>
                <w:color w:val="000000"/>
                <w:kern w:val="0"/>
                <w:sz w:val="24"/>
              </w:rPr>
            </w:pPr>
            <w:r>
              <w:rPr>
                <w:rFonts w:hint="eastAsia" w:ascii="宋体" w:hAnsi="宋体"/>
                <w:color w:val="000000"/>
                <w:kern w:val="0"/>
                <w:sz w:val="20"/>
              </w:rPr>
              <w:t>行政处罚</w:t>
            </w:r>
          </w:p>
        </w:tc>
        <w:tc>
          <w:tcPr>
            <w:tcW w:w="1881" w:type="dxa"/>
            <w:gridSpan w:val="2"/>
            <w:tcBorders>
              <w:top w:val="nil"/>
              <w:left w:val="nil"/>
              <w:bottom w:val="single" w:color="auto" w:sz="8" w:space="0"/>
              <w:right w:val="single" w:color="auto" w:sz="8" w:space="0"/>
            </w:tcBorders>
            <w:shd w:val="clear" w:color="auto" w:fill="E6F4FF"/>
            <w:vAlign w:val="center"/>
          </w:tcPr>
          <w:p>
            <w:pPr>
              <w:widowControl/>
              <w:jc w:val="center"/>
              <w:rPr>
                <w:rFonts w:hint="eastAsia"/>
                <w:color w:val="000000"/>
                <w:kern w:val="0"/>
                <w:sz w:val="24"/>
              </w:rPr>
            </w:pPr>
            <w:r>
              <w:rPr>
                <w:rFonts w:hint="eastAsia" w:ascii="宋体" w:hAnsi="宋体"/>
                <w:color w:val="000000"/>
                <w:kern w:val="0"/>
                <w:sz w:val="20"/>
              </w:rPr>
              <w:t>　</w:t>
            </w:r>
            <w:r>
              <w:rPr>
                <w:rFonts w:hint="eastAsia" w:ascii="宋体" w:hAnsi="宋体"/>
                <w:color w:val="000000"/>
                <w:kern w:val="0"/>
                <w:sz w:val="20"/>
                <w:lang w:val="en-US" w:eastAsia="zh-CN"/>
              </w:rPr>
              <w:t>12</w:t>
            </w:r>
          </w:p>
        </w:tc>
        <w:tc>
          <w:tcPr>
            <w:tcW w:w="12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　</w:t>
            </w:r>
            <w:r>
              <w:rPr>
                <w:rFonts w:hint="eastAsia" w:ascii="宋体" w:hAnsi="宋体"/>
                <w:color w:val="000000"/>
                <w:kern w:val="0"/>
                <w:sz w:val="20"/>
                <w:lang w:val="en-US" w:eastAsia="zh-CN"/>
              </w:rPr>
              <w:t>4</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lang w:val="en-US" w:eastAsia="zh-CN"/>
              </w:rPr>
              <w:t>5</w:t>
            </w:r>
          </w:p>
        </w:tc>
      </w:tr>
      <w:tr>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E6F4FF"/>
            <w:vAlign w:val="center"/>
          </w:tcPr>
          <w:p>
            <w:pPr>
              <w:widowControl/>
              <w:jc w:val="left"/>
              <w:rPr>
                <w:rFonts w:hint="eastAsia"/>
                <w:color w:val="000000"/>
                <w:kern w:val="0"/>
                <w:sz w:val="24"/>
              </w:rPr>
            </w:pPr>
            <w:r>
              <w:rPr>
                <w:rFonts w:hint="eastAsia" w:ascii="宋体" w:hAnsi="宋体"/>
                <w:color w:val="000000"/>
                <w:kern w:val="0"/>
                <w:sz w:val="20"/>
              </w:rPr>
              <w:t>行政强制</w:t>
            </w:r>
          </w:p>
        </w:tc>
        <w:tc>
          <w:tcPr>
            <w:tcW w:w="1881" w:type="dxa"/>
            <w:gridSpan w:val="2"/>
            <w:tcBorders>
              <w:top w:val="nil"/>
              <w:left w:val="nil"/>
              <w:bottom w:val="single" w:color="auto" w:sz="8" w:space="0"/>
              <w:right w:val="single" w:color="auto" w:sz="8" w:space="0"/>
            </w:tcBorders>
            <w:shd w:val="clear" w:color="auto" w:fill="E6F4FF"/>
            <w:vAlign w:val="center"/>
          </w:tcPr>
          <w:p>
            <w:pPr>
              <w:widowControl/>
              <w:jc w:val="center"/>
              <w:rPr>
                <w:rFonts w:hint="eastAsia"/>
                <w:color w:val="000000"/>
                <w:kern w:val="0"/>
                <w:sz w:val="24"/>
              </w:rPr>
            </w:pPr>
            <w:r>
              <w:rPr>
                <w:rFonts w:hint="eastAsia" w:ascii="宋体" w:hAnsi="宋体"/>
                <w:color w:val="000000"/>
                <w:kern w:val="0"/>
                <w:sz w:val="20"/>
              </w:rPr>
              <w:t>　</w:t>
            </w:r>
            <w:r>
              <w:rPr>
                <w:rFonts w:hint="eastAsia" w:ascii="宋体" w:hAnsi="宋体"/>
                <w:color w:val="000000"/>
                <w:kern w:val="0"/>
                <w:sz w:val="20"/>
                <w:lang w:val="en-US" w:eastAsia="zh-CN"/>
              </w:rPr>
              <w:t>2</w:t>
            </w:r>
          </w:p>
        </w:tc>
        <w:tc>
          <w:tcPr>
            <w:tcW w:w="12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　</w:t>
            </w:r>
            <w:r>
              <w:rPr>
                <w:rFonts w:hint="eastAsia" w:ascii="宋体" w:hAnsi="宋体"/>
                <w:color w:val="000000"/>
                <w:kern w:val="0"/>
                <w:sz w:val="20"/>
                <w:lang w:val="en-US" w:eastAsia="zh-CN"/>
              </w:rPr>
              <w:t>-2</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lang w:val="en-US" w:eastAsia="zh-CN"/>
              </w:rPr>
              <w:t>0</w:t>
            </w:r>
          </w:p>
        </w:tc>
      </w:tr>
      <w:tr>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第二十条第（八）项</w:t>
            </w:r>
          </w:p>
        </w:tc>
      </w:tr>
      <w:tr>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信息内容</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color w:val="000000"/>
                <w:kern w:val="0"/>
                <w:sz w:val="24"/>
              </w:rPr>
            </w:pPr>
            <w:r>
              <w:rPr>
                <w:rFonts w:hint="eastAsia" w:ascii="宋体" w:hAnsi="宋体"/>
                <w:color w:val="000000"/>
                <w:kern w:val="0"/>
                <w:sz w:val="20"/>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本年增/减</w:t>
            </w:r>
          </w:p>
        </w:tc>
      </w:tr>
      <w:tr>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color w:val="000000"/>
                <w:kern w:val="0"/>
                <w:sz w:val="24"/>
              </w:rPr>
            </w:pPr>
            <w:r>
              <w:rPr>
                <w:rFonts w:hint="eastAsia" w:ascii="宋体" w:hAnsi="宋体"/>
                <w:color w:val="000000"/>
                <w:kern w:val="0"/>
                <w:sz w:val="20"/>
              </w:rPr>
              <w:t>行政事业性收费</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　</w:t>
            </w:r>
            <w:r>
              <w:rPr>
                <w:rFonts w:hint="eastAsia" w:ascii="宋体" w:hAnsi="宋体"/>
                <w:color w:val="000000"/>
                <w:kern w:val="0"/>
                <w:sz w:val="20"/>
                <w:lang w:val="en-US" w:eastAsia="zh-CN"/>
              </w:rPr>
              <w:t>0</w:t>
            </w:r>
          </w:p>
        </w:tc>
        <w:tc>
          <w:tcPr>
            <w:tcW w:w="3146" w:type="dxa"/>
            <w:gridSpan w:val="2"/>
            <w:tcBorders>
              <w:top w:val="nil"/>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eastAsia"/>
                <w:color w:val="000000"/>
                <w:kern w:val="0"/>
                <w:sz w:val="20"/>
              </w:rPr>
              <w:t> </w:t>
            </w:r>
          </w:p>
        </w:tc>
      </w:tr>
      <w:tr>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第二十条第（九）项</w:t>
            </w:r>
          </w:p>
        </w:tc>
      </w:tr>
      <w:tr>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信息内容</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采购总金额</w:t>
            </w:r>
          </w:p>
        </w:tc>
      </w:tr>
      <w:tr>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color w:val="000000"/>
                <w:kern w:val="0"/>
                <w:sz w:val="24"/>
              </w:rPr>
            </w:pPr>
            <w:r>
              <w:rPr>
                <w:rFonts w:hint="eastAsia" w:ascii="宋体" w:hAnsi="宋体"/>
                <w:color w:val="000000"/>
                <w:kern w:val="0"/>
                <w:sz w:val="20"/>
              </w:rPr>
              <w:t>政府集中采购</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　</w:t>
            </w:r>
            <w:r>
              <w:rPr>
                <w:rFonts w:hint="eastAsia" w:ascii="宋体" w:hAnsi="宋体"/>
                <w:color w:val="000000"/>
                <w:kern w:val="0"/>
                <w:sz w:val="20"/>
                <w:lang w:val="en-US" w:eastAsia="zh-CN"/>
              </w:rPr>
              <w:t>14</w:t>
            </w:r>
          </w:p>
        </w:tc>
        <w:tc>
          <w:tcPr>
            <w:tcW w:w="3146" w:type="dxa"/>
            <w:gridSpan w:val="2"/>
            <w:tcBorders>
              <w:top w:val="nil"/>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widowControl/>
              <w:jc w:val="left"/>
              <w:rPr>
                <w:rFonts w:hint="eastAsia" w:eastAsia="宋体"/>
                <w:color w:val="000000"/>
                <w:kern w:val="0"/>
                <w:sz w:val="24"/>
                <w:lang w:val="en-US" w:eastAsia="zh-CN"/>
              </w:rPr>
            </w:pPr>
            <w:r>
              <w:rPr>
                <w:rFonts w:hint="eastAsia"/>
                <w:color w:val="000000"/>
                <w:kern w:val="0"/>
                <w:sz w:val="24"/>
                <w:lang w:val="en-US" w:eastAsia="zh-CN"/>
              </w:rPr>
              <w:t>830.830031万元</w:t>
            </w:r>
          </w:p>
        </w:tc>
      </w:tr>
    </w:tbl>
    <w:p>
      <w:pPr>
        <w:widowControl/>
        <w:ind w:firstLine="480"/>
        <w:rPr>
          <w:rFonts w:hint="eastAsia"/>
          <w:color w:val="000000"/>
          <w:kern w:val="0"/>
          <w:sz w:val="24"/>
        </w:rPr>
      </w:pPr>
    </w:p>
    <w:p>
      <w:pPr>
        <w:widowControl/>
        <w:shd w:val="clear" w:color="auto" w:fill="FFFFFF"/>
        <w:wordWrap/>
        <w:adjustRightInd/>
        <w:snapToGrid/>
        <w:spacing w:before="0" w:after="0" w:line="580" w:lineRule="exact"/>
        <w:ind w:left="0" w:leftChars="0" w:right="0" w:firstLine="640" w:firstLineChars="200"/>
        <w:jc w:val="left"/>
        <w:textAlignment w:val="auto"/>
        <w:outlineLvl w:val="9"/>
        <w:rPr>
          <w:rFonts w:hint="eastAsia" w:ascii="黑体" w:hAnsi="黑体" w:eastAsia="黑体" w:cs="黑体"/>
          <w:b/>
          <w:color w:val="000000"/>
          <w:kern w:val="0"/>
          <w:sz w:val="32"/>
          <w:szCs w:val="32"/>
        </w:rPr>
      </w:pPr>
      <w:r>
        <w:rPr>
          <w:rFonts w:hint="eastAsia" w:ascii="黑体" w:hAnsi="黑体" w:eastAsia="黑体" w:cs="黑体"/>
          <w:b/>
          <w:color w:val="000000"/>
          <w:kern w:val="0"/>
          <w:sz w:val="32"/>
          <w:szCs w:val="32"/>
        </w:rPr>
        <w:t>三、收到和处理政府信息公开申请情况</w:t>
      </w:r>
    </w:p>
    <w:p>
      <w:pPr>
        <w:widowControl/>
        <w:shd w:val="clear" w:color="auto" w:fill="FFFFFF"/>
        <w:wordWrap/>
        <w:adjustRightInd/>
        <w:snapToGrid/>
        <w:spacing w:before="0" w:after="0" w:line="580" w:lineRule="exact"/>
        <w:ind w:left="0" w:leftChars="0" w:right="0" w:firstLine="640" w:firstLineChars="200"/>
        <w:jc w:val="left"/>
        <w:textAlignment w:val="auto"/>
        <w:outlineLvl w:val="9"/>
        <w:rPr>
          <w:rFonts w:ascii="仿宋_GB2312" w:hAnsi="仿宋" w:eastAsia="仿宋_GB2312" w:cs="仿宋"/>
          <w:color w:val="auto"/>
          <w:kern w:val="0"/>
          <w:sz w:val="32"/>
          <w:szCs w:val="32"/>
        </w:rPr>
      </w:pPr>
      <w:r>
        <w:rPr>
          <w:rFonts w:ascii="仿宋_GB2312" w:hAnsi="仿宋" w:eastAsia="仿宋_GB2312" w:cs="仿宋"/>
          <w:color w:val="auto"/>
          <w:kern w:val="0"/>
          <w:sz w:val="32"/>
          <w:szCs w:val="32"/>
        </w:rPr>
        <w:t>201</w:t>
      </w:r>
      <w:r>
        <w:rPr>
          <w:rFonts w:hint="eastAsia" w:ascii="仿宋_GB2312" w:hAnsi="仿宋" w:eastAsia="仿宋_GB2312" w:cs="仿宋"/>
          <w:color w:val="auto"/>
          <w:kern w:val="0"/>
          <w:sz w:val="32"/>
          <w:szCs w:val="32"/>
          <w:lang w:val="en-US" w:eastAsia="zh-CN"/>
        </w:rPr>
        <w:t>9</w:t>
      </w:r>
      <w:r>
        <w:rPr>
          <w:rFonts w:hint="eastAsia" w:ascii="仿宋_GB2312" w:hAnsi="仿宋" w:eastAsia="仿宋_GB2312" w:cs="仿宋"/>
          <w:color w:val="auto"/>
          <w:kern w:val="0"/>
          <w:sz w:val="32"/>
          <w:szCs w:val="32"/>
        </w:rPr>
        <w:t>年度，未</w:t>
      </w:r>
      <w:r>
        <w:rPr>
          <w:rFonts w:hint="eastAsia" w:ascii="仿宋_GB2312" w:hAnsi="仿宋" w:eastAsia="仿宋_GB2312" w:cs="仿宋"/>
          <w:color w:val="auto"/>
          <w:kern w:val="0"/>
          <w:sz w:val="32"/>
          <w:szCs w:val="32"/>
          <w:lang w:eastAsia="zh-CN"/>
        </w:rPr>
        <w:t>收到</w:t>
      </w:r>
      <w:r>
        <w:rPr>
          <w:rFonts w:hint="eastAsia" w:ascii="仿宋_GB2312" w:hAnsi="仿宋" w:eastAsia="仿宋_GB2312" w:cs="仿宋"/>
          <w:color w:val="auto"/>
          <w:kern w:val="0"/>
          <w:sz w:val="32"/>
          <w:szCs w:val="32"/>
        </w:rPr>
        <w:t>依申请公开信息。</w:t>
      </w:r>
    </w:p>
    <w:p>
      <w:pPr>
        <w:widowControl/>
        <w:ind w:firstLine="480"/>
        <w:rPr>
          <w:rFonts w:hint="eastAsia"/>
          <w:color w:val="000000"/>
          <w:kern w:val="0"/>
          <w:sz w:val="24"/>
        </w:rPr>
      </w:pPr>
      <w:r>
        <w:rPr>
          <w:rFonts w:hint="eastAsia"/>
          <w:b/>
          <w:color w:val="000000"/>
          <w:kern w:val="0"/>
          <w:sz w:val="24"/>
        </w:rPr>
        <w:br/>
      </w:r>
    </w:p>
    <w:tbl>
      <w:tblPr>
        <w:tblW w:w="907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94"/>
        <w:gridCol w:w="855"/>
        <w:gridCol w:w="2130"/>
        <w:gridCol w:w="825"/>
        <w:gridCol w:w="765"/>
        <w:gridCol w:w="765"/>
        <w:gridCol w:w="825"/>
        <w:gridCol w:w="990"/>
        <w:gridCol w:w="720"/>
        <w:gridCol w:w="702"/>
      </w:tblGrid>
      <w:tr>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申请人情况</w:t>
            </w:r>
          </w:p>
        </w:tc>
      </w:tr>
      <w:tr>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82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自然人</w:t>
            </w:r>
          </w:p>
        </w:tc>
        <w:tc>
          <w:tcPr>
            <w:tcW w:w="4065"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法人或其他组织</w:t>
            </w:r>
          </w:p>
        </w:tc>
        <w:tc>
          <w:tcPr>
            <w:tcW w:w="702"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总计</w:t>
            </w:r>
          </w:p>
        </w:tc>
      </w:tr>
      <w:tr>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825" w:type="dxa"/>
            <w:vMerge w:val="continue"/>
            <w:tcBorders>
              <w:top w:val="nil"/>
              <w:left w:val="nil"/>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商业企业</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科研机构</w:t>
            </w:r>
          </w:p>
        </w:tc>
        <w:tc>
          <w:tcPr>
            <w:tcW w:w="82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社会公益组织</w:t>
            </w:r>
          </w:p>
        </w:tc>
        <w:tc>
          <w:tcPr>
            <w:tcW w:w="99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法律服务机构</w:t>
            </w:r>
          </w:p>
        </w:tc>
        <w:tc>
          <w:tcPr>
            <w:tcW w:w="72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其他</w:t>
            </w:r>
          </w:p>
        </w:tc>
        <w:tc>
          <w:tcPr>
            <w:tcW w:w="702" w:type="dxa"/>
            <w:vMerge w:val="continue"/>
            <w:tcBorders>
              <w:top w:val="single" w:color="auto" w:sz="8" w:space="0"/>
              <w:left w:val="nil"/>
              <w:bottom w:val="single" w:color="auto" w:sz="8" w:space="0"/>
              <w:right w:val="single" w:color="auto" w:sz="8" w:space="0"/>
            </w:tcBorders>
            <w:vAlign w:val="center"/>
          </w:tcPr>
          <w:p>
            <w:pPr>
              <w:widowControl/>
              <w:jc w:val="left"/>
              <w:rPr>
                <w:rFonts w:hint="eastAsia"/>
                <w:color w:val="000000"/>
                <w:kern w:val="0"/>
                <w:sz w:val="24"/>
              </w:rPr>
            </w:pPr>
          </w:p>
        </w:tc>
      </w:tr>
      <w:tr>
        <w:trPr>
          <w:jc w:val="center"/>
        </w:trPr>
        <w:tc>
          <w:tcPr>
            <w:tcW w:w="3479" w:type="dxa"/>
            <w:gridSpan w:val="3"/>
            <w:tcBorders>
              <w:top w:val="nil"/>
              <w:left w:val="single" w:color="auto" w:sz="8" w:space="0"/>
              <w:bottom w:val="single" w:color="auto" w:sz="8" w:space="0"/>
              <w:right w:val="single" w:color="auto" w:sz="8" w:space="0"/>
            </w:tcBorders>
            <w:shd w:val="clear" w:color="auto" w:fill="E6F4FF"/>
            <w:vAlign w:val="center"/>
          </w:tcPr>
          <w:p>
            <w:pPr>
              <w:widowControl/>
              <w:jc w:val="left"/>
              <w:rPr>
                <w:rFonts w:hint="eastAsia"/>
                <w:color w:val="000000"/>
                <w:kern w:val="0"/>
                <w:sz w:val="24"/>
              </w:rPr>
            </w:pPr>
            <w:r>
              <w:rPr>
                <w:rFonts w:hint="eastAsia" w:ascii="宋体" w:hAnsi="宋体"/>
                <w:color w:val="000000"/>
                <w:kern w:val="0"/>
                <w:sz w:val="20"/>
              </w:rPr>
              <w:t>一、本年新收政府信息公开申请数量</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r>
      <w:tr>
        <w:trPr>
          <w:jc w:val="center"/>
        </w:trPr>
        <w:tc>
          <w:tcPr>
            <w:tcW w:w="3479" w:type="dxa"/>
            <w:gridSpan w:val="3"/>
            <w:tcBorders>
              <w:top w:val="nil"/>
              <w:left w:val="single" w:color="auto" w:sz="8" w:space="0"/>
              <w:bottom w:val="single" w:color="auto" w:sz="8" w:space="0"/>
              <w:right w:val="single" w:color="auto" w:sz="8" w:space="0"/>
            </w:tcBorders>
            <w:shd w:val="clear" w:color="auto" w:fill="E6F4FF"/>
            <w:vAlign w:val="center"/>
          </w:tcPr>
          <w:p>
            <w:pPr>
              <w:widowControl/>
              <w:jc w:val="left"/>
              <w:rPr>
                <w:rFonts w:hint="eastAsia"/>
                <w:color w:val="000000"/>
                <w:kern w:val="0"/>
                <w:sz w:val="24"/>
              </w:rPr>
            </w:pPr>
            <w:r>
              <w:rPr>
                <w:rFonts w:hint="eastAsia" w:ascii="宋体" w:hAnsi="宋体"/>
                <w:color w:val="000000"/>
                <w:kern w:val="0"/>
                <w:sz w:val="20"/>
              </w:rPr>
              <w:t>二、上年结转政府信息公开申请数量</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r>
      <w:tr>
        <w:trPr>
          <w:jc w:val="center"/>
        </w:trPr>
        <w:tc>
          <w:tcPr>
            <w:tcW w:w="494" w:type="dxa"/>
            <w:vMerge w:val="restart"/>
            <w:tcBorders>
              <w:top w:val="nil"/>
              <w:left w:val="single" w:color="auto" w:sz="8" w:space="0"/>
              <w:bottom w:val="single" w:color="auto" w:sz="8" w:space="0"/>
              <w:right w:val="single" w:color="auto" w:sz="8" w:space="0"/>
            </w:tcBorders>
            <w:shd w:val="clear" w:color="auto" w:fill="E6F4FF"/>
            <w:vAlign w:val="center"/>
          </w:tcPr>
          <w:p>
            <w:pPr>
              <w:widowControl/>
              <w:jc w:val="center"/>
              <w:rPr>
                <w:rFonts w:hint="eastAsia"/>
                <w:color w:val="000000"/>
                <w:kern w:val="0"/>
                <w:sz w:val="24"/>
              </w:rPr>
            </w:pPr>
            <w:r>
              <w:rPr>
                <w:rFonts w:hint="eastAsia" w:ascii="宋体" w:hAnsi="宋体"/>
                <w:color w:val="000000"/>
                <w:kern w:val="0"/>
                <w:sz w:val="20"/>
              </w:rPr>
              <w:t>三、本年度办理结果</w:t>
            </w:r>
          </w:p>
        </w:tc>
        <w:tc>
          <w:tcPr>
            <w:tcW w:w="2985" w:type="dxa"/>
            <w:gridSpan w:val="2"/>
            <w:tcBorders>
              <w:top w:val="nil"/>
              <w:left w:val="nil"/>
              <w:bottom w:val="single" w:color="auto" w:sz="8" w:space="0"/>
              <w:right w:val="single" w:color="auto" w:sz="8" w:space="0"/>
            </w:tcBorders>
            <w:shd w:val="clear" w:color="auto" w:fill="E6F4FF"/>
            <w:vAlign w:val="center"/>
          </w:tcPr>
          <w:p>
            <w:pPr>
              <w:widowControl/>
              <w:jc w:val="left"/>
              <w:rPr>
                <w:rFonts w:hint="eastAsia"/>
                <w:color w:val="000000"/>
                <w:kern w:val="0"/>
                <w:sz w:val="24"/>
              </w:rPr>
            </w:pPr>
            <w:r>
              <w:rPr>
                <w:rFonts w:hint="eastAsia" w:ascii="楷体" w:hAnsi="楷体" w:eastAsia="楷体"/>
                <w:color w:val="000000"/>
                <w:kern w:val="0"/>
                <w:sz w:val="20"/>
              </w:rPr>
              <w:t>（一）予以公开</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02"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r>
      <w:tr>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2985" w:type="dxa"/>
            <w:gridSpan w:val="2"/>
            <w:tcBorders>
              <w:top w:val="nil"/>
              <w:left w:val="nil"/>
              <w:bottom w:val="single" w:color="auto" w:sz="8" w:space="0"/>
              <w:right w:val="single" w:color="auto" w:sz="8" w:space="0"/>
            </w:tcBorders>
            <w:shd w:val="clear" w:color="auto" w:fill="E6F4FF"/>
            <w:vAlign w:val="center"/>
          </w:tcPr>
          <w:p>
            <w:pPr>
              <w:widowControl/>
              <w:jc w:val="left"/>
              <w:rPr>
                <w:rFonts w:hint="eastAsia"/>
                <w:color w:val="000000"/>
                <w:kern w:val="0"/>
                <w:sz w:val="24"/>
              </w:rPr>
            </w:pPr>
            <w:r>
              <w:rPr>
                <w:rFonts w:hint="eastAsia" w:ascii="楷体" w:hAnsi="楷体" w:eastAsia="楷体"/>
                <w:color w:val="000000"/>
                <w:kern w:val="0"/>
                <w:sz w:val="20"/>
              </w:rPr>
              <w:t>（二）部分公开（区分处理的，只计这一情形，不计其他情形）</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r>
      <w:tr>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color w:val="000000"/>
                <w:kern w:val="0"/>
                <w:sz w:val="24"/>
              </w:rPr>
            </w:pPr>
            <w:r>
              <w:rPr>
                <w:rFonts w:hint="eastAsia" w:ascii="楷体" w:hAnsi="楷体" w:eastAsia="楷体"/>
                <w:color w:val="000000"/>
                <w:kern w:val="0"/>
                <w:sz w:val="20"/>
              </w:rPr>
              <w:t>（三）不予公开</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color w:val="000000"/>
                <w:kern w:val="0"/>
                <w:sz w:val="24"/>
              </w:rPr>
            </w:pPr>
            <w:r>
              <w:rPr>
                <w:rFonts w:hint="eastAsia" w:ascii="楷体" w:hAnsi="楷体" w:eastAsia="楷体"/>
                <w:color w:val="000000"/>
                <w:kern w:val="0"/>
                <w:sz w:val="20"/>
              </w:rPr>
              <w:t>1.属于国家秘密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02"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r>
      <w:tr>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color w:val="000000"/>
                <w:kern w:val="0"/>
                <w:sz w:val="24"/>
              </w:rPr>
            </w:pPr>
            <w:r>
              <w:rPr>
                <w:rFonts w:hint="eastAsia" w:ascii="楷体" w:hAnsi="楷体" w:eastAsia="楷体"/>
                <w:color w:val="000000"/>
                <w:kern w:val="0"/>
                <w:sz w:val="20"/>
              </w:rPr>
              <w:t>2.其他法律行政法规禁止公开</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r>
      <w:tr>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color w:val="000000"/>
                <w:kern w:val="0"/>
                <w:sz w:val="24"/>
              </w:rPr>
            </w:pPr>
            <w:r>
              <w:rPr>
                <w:rFonts w:hint="eastAsia" w:ascii="楷体" w:hAnsi="楷体" w:eastAsia="楷体"/>
                <w:color w:val="000000"/>
                <w:kern w:val="0"/>
                <w:sz w:val="20"/>
              </w:rPr>
              <w:t>3.危及“三安全一稳定”</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r>
      <w:tr>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color w:val="000000"/>
                <w:kern w:val="0"/>
                <w:sz w:val="24"/>
              </w:rPr>
            </w:pPr>
            <w:r>
              <w:rPr>
                <w:rFonts w:hint="eastAsia" w:ascii="楷体" w:hAnsi="楷体" w:eastAsia="楷体"/>
                <w:color w:val="000000"/>
                <w:kern w:val="0"/>
                <w:sz w:val="20"/>
              </w:rPr>
              <w:t>4.保护第三方合法权益</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r>
      <w:tr>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color w:val="000000"/>
                <w:kern w:val="0"/>
                <w:sz w:val="24"/>
              </w:rPr>
            </w:pPr>
            <w:r>
              <w:rPr>
                <w:rFonts w:hint="eastAsia" w:ascii="楷体" w:hAnsi="楷体" w:eastAsia="楷体"/>
                <w:color w:val="000000"/>
                <w:kern w:val="0"/>
                <w:sz w:val="20"/>
              </w:rPr>
              <w:t>5.属于三类内部事务信息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r>
      <w:tr>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color w:val="000000"/>
                <w:kern w:val="0"/>
                <w:sz w:val="24"/>
              </w:rPr>
            </w:pPr>
            <w:r>
              <w:rPr>
                <w:rFonts w:hint="eastAsia" w:ascii="楷体" w:hAnsi="楷体" w:eastAsia="楷体"/>
                <w:color w:val="000000"/>
                <w:kern w:val="0"/>
                <w:sz w:val="20"/>
              </w:rPr>
              <w:t>6.属于四类过程性信息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r>
      <w:tr>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color w:val="000000"/>
                <w:kern w:val="0"/>
                <w:sz w:val="24"/>
              </w:rPr>
            </w:pPr>
            <w:r>
              <w:rPr>
                <w:rFonts w:hint="eastAsia" w:ascii="楷体" w:hAnsi="楷体" w:eastAsia="楷体"/>
                <w:color w:val="000000"/>
                <w:kern w:val="0"/>
                <w:sz w:val="20"/>
              </w:rPr>
              <w:t>7.属于行政执法案卷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r>
      <w:tr>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color w:val="000000"/>
                <w:kern w:val="0"/>
                <w:sz w:val="24"/>
              </w:rPr>
            </w:pPr>
            <w:r>
              <w:rPr>
                <w:rFonts w:hint="eastAsia" w:ascii="楷体" w:hAnsi="楷体" w:eastAsia="楷体"/>
                <w:color w:val="000000"/>
                <w:kern w:val="0"/>
                <w:sz w:val="20"/>
              </w:rPr>
              <w:t>8.属于行政查询事项</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r>
      <w:tr>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color w:val="000000"/>
                <w:kern w:val="0"/>
                <w:sz w:val="24"/>
              </w:rPr>
            </w:pPr>
            <w:r>
              <w:rPr>
                <w:rFonts w:hint="eastAsia" w:ascii="楷体" w:hAnsi="楷体" w:eastAsia="楷体"/>
                <w:color w:val="000000"/>
                <w:kern w:val="0"/>
                <w:sz w:val="20"/>
              </w:rPr>
              <w:t>（四）无法提供</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color w:val="000000"/>
                <w:kern w:val="0"/>
                <w:sz w:val="24"/>
              </w:rPr>
            </w:pPr>
            <w:r>
              <w:rPr>
                <w:rFonts w:hint="eastAsia" w:ascii="楷体" w:hAnsi="楷体" w:eastAsia="楷体"/>
                <w:color w:val="000000"/>
                <w:kern w:val="0"/>
                <w:sz w:val="20"/>
              </w:rPr>
              <w:t>1.本机关不掌握相关政府信息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r>
      <w:tr>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color w:val="000000"/>
                <w:kern w:val="0"/>
                <w:sz w:val="24"/>
              </w:rPr>
            </w:pPr>
            <w:r>
              <w:rPr>
                <w:rFonts w:hint="eastAsia" w:ascii="楷体" w:hAnsi="楷体" w:eastAsia="楷体"/>
                <w:color w:val="000000"/>
                <w:kern w:val="0"/>
                <w:sz w:val="20"/>
              </w:rPr>
              <w:t>2.没有现成信息需要另行制作</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r>
      <w:tr>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color w:val="000000"/>
                <w:kern w:val="0"/>
                <w:sz w:val="24"/>
              </w:rPr>
            </w:pPr>
            <w:r>
              <w:rPr>
                <w:rFonts w:hint="eastAsia" w:ascii="楷体" w:hAnsi="楷体" w:eastAsia="楷体"/>
                <w:color w:val="000000"/>
                <w:kern w:val="0"/>
                <w:sz w:val="20"/>
              </w:rPr>
              <w:t>3.补正后申请内容仍不明确</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r>
      <w:tr>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color w:val="000000"/>
                <w:kern w:val="0"/>
                <w:sz w:val="24"/>
              </w:rPr>
            </w:pPr>
            <w:r>
              <w:rPr>
                <w:rFonts w:hint="eastAsia" w:ascii="楷体" w:hAnsi="楷体" w:eastAsia="楷体"/>
                <w:color w:val="000000"/>
                <w:kern w:val="0"/>
                <w:sz w:val="20"/>
              </w:rPr>
              <w:t>（五）不予处理</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color w:val="000000"/>
                <w:kern w:val="0"/>
                <w:sz w:val="24"/>
              </w:rPr>
            </w:pPr>
            <w:r>
              <w:rPr>
                <w:rFonts w:hint="eastAsia" w:ascii="楷体" w:hAnsi="楷体" w:eastAsia="楷体"/>
                <w:color w:val="000000"/>
                <w:kern w:val="0"/>
                <w:sz w:val="20"/>
              </w:rPr>
              <w:t>1.信访举报投诉类申请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r>
      <w:tr>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color w:val="000000"/>
                <w:kern w:val="0"/>
                <w:sz w:val="24"/>
              </w:rPr>
            </w:pPr>
            <w:r>
              <w:rPr>
                <w:rFonts w:hint="eastAsia" w:ascii="楷体" w:hAnsi="楷体" w:eastAsia="楷体"/>
                <w:color w:val="000000"/>
                <w:kern w:val="0"/>
                <w:sz w:val="20"/>
              </w:rPr>
              <w:t>2.重复申请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r>
      <w:tr>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color w:val="000000"/>
                <w:kern w:val="0"/>
                <w:sz w:val="24"/>
              </w:rPr>
            </w:pPr>
            <w:r>
              <w:rPr>
                <w:rFonts w:hint="eastAsia" w:ascii="楷体" w:hAnsi="楷体" w:eastAsia="楷体"/>
                <w:color w:val="000000"/>
                <w:kern w:val="0"/>
                <w:sz w:val="20"/>
              </w:rPr>
              <w:t>3.要求提供公开出版物</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r>
      <w:tr>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color w:val="000000"/>
                <w:kern w:val="0"/>
                <w:sz w:val="24"/>
              </w:rPr>
            </w:pPr>
            <w:r>
              <w:rPr>
                <w:rFonts w:hint="eastAsia" w:ascii="楷体" w:hAnsi="楷体" w:eastAsia="楷体"/>
                <w:color w:val="000000"/>
                <w:kern w:val="0"/>
                <w:sz w:val="20"/>
              </w:rPr>
              <w:t>4.无正当理由大量反复申请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r>
      <w:tr>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color w:val="000000"/>
                <w:kern w:val="0"/>
                <w:sz w:val="24"/>
              </w:rPr>
            </w:pPr>
            <w:r>
              <w:rPr>
                <w:rFonts w:hint="eastAsia" w:ascii="楷体" w:hAnsi="楷体" w:eastAsia="楷体"/>
                <w:color w:val="000000"/>
                <w:kern w:val="0"/>
                <w:sz w:val="20"/>
              </w:rPr>
              <w:t>5.要求行政机关确认或重新出具已获取信息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r>
      <w:tr>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2985" w:type="dxa"/>
            <w:gridSpan w:val="2"/>
            <w:tcBorders>
              <w:top w:val="nil"/>
              <w:left w:val="nil"/>
              <w:bottom w:val="single" w:color="auto" w:sz="8" w:space="0"/>
              <w:right w:val="single" w:color="auto" w:sz="8" w:space="0"/>
            </w:tcBorders>
            <w:shd w:val="clear" w:color="auto" w:fill="E6F4FF"/>
            <w:vAlign w:val="center"/>
          </w:tcPr>
          <w:p>
            <w:pPr>
              <w:widowControl/>
              <w:jc w:val="left"/>
              <w:rPr>
                <w:rFonts w:hint="eastAsia"/>
                <w:color w:val="000000"/>
                <w:kern w:val="0"/>
                <w:sz w:val="24"/>
              </w:rPr>
            </w:pPr>
            <w:r>
              <w:rPr>
                <w:rFonts w:hint="eastAsia" w:ascii="楷体" w:hAnsi="楷体" w:eastAsia="楷体"/>
                <w:color w:val="000000"/>
                <w:kern w:val="0"/>
                <w:sz w:val="20"/>
              </w:rPr>
              <w:t>（六）其他处理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r>
      <w:tr>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2985" w:type="dxa"/>
            <w:gridSpan w:val="2"/>
            <w:tcBorders>
              <w:top w:val="nil"/>
              <w:left w:val="nil"/>
              <w:bottom w:val="single" w:color="auto" w:sz="8" w:space="0"/>
              <w:right w:val="single" w:color="auto" w:sz="8" w:space="0"/>
            </w:tcBorders>
            <w:shd w:val="clear" w:color="auto" w:fill="E6F4FF"/>
            <w:vAlign w:val="center"/>
          </w:tcPr>
          <w:p>
            <w:pPr>
              <w:widowControl/>
              <w:jc w:val="left"/>
              <w:rPr>
                <w:rFonts w:hint="eastAsia"/>
                <w:color w:val="000000"/>
                <w:kern w:val="0"/>
                <w:sz w:val="24"/>
              </w:rPr>
            </w:pPr>
            <w:r>
              <w:rPr>
                <w:rFonts w:hint="eastAsia" w:ascii="楷体" w:hAnsi="楷体" w:eastAsia="楷体"/>
                <w:color w:val="000000"/>
                <w:kern w:val="0"/>
                <w:sz w:val="20"/>
              </w:rPr>
              <w:t>（七）总计</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r>
      <w:tr>
        <w:trPr>
          <w:jc w:val="center"/>
        </w:trPr>
        <w:tc>
          <w:tcPr>
            <w:tcW w:w="3479" w:type="dxa"/>
            <w:gridSpan w:val="3"/>
            <w:tcBorders>
              <w:top w:val="nil"/>
              <w:left w:val="single" w:color="auto" w:sz="8" w:space="0"/>
              <w:bottom w:val="single" w:color="auto" w:sz="8" w:space="0"/>
              <w:right w:val="single" w:color="auto" w:sz="8" w:space="0"/>
            </w:tcBorders>
            <w:shd w:val="clear" w:color="auto" w:fill="E6F4FF"/>
            <w:vAlign w:val="center"/>
          </w:tcPr>
          <w:p>
            <w:pPr>
              <w:widowControl/>
              <w:jc w:val="left"/>
              <w:rPr>
                <w:rFonts w:hint="eastAsia"/>
                <w:color w:val="000000"/>
                <w:kern w:val="0"/>
                <w:sz w:val="24"/>
              </w:rPr>
            </w:pPr>
            <w:r>
              <w:rPr>
                <w:rFonts w:hint="eastAsia" w:ascii="宋体" w:hAnsi="宋体"/>
                <w:color w:val="000000"/>
                <w:kern w:val="0"/>
                <w:sz w:val="20"/>
              </w:rPr>
              <w:t>四、结转下年度继续办理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eastAsia="宋体"/>
                <w:color w:val="000000"/>
                <w:kern w:val="0"/>
                <w:sz w:val="24"/>
                <w:lang w:val="en-US" w:eastAsia="zh-CN"/>
              </w:rPr>
            </w:pPr>
            <w:r>
              <w:rPr>
                <w:rFonts w:hint="eastAsia"/>
                <w:color w:val="000000"/>
                <w:kern w:val="0"/>
                <w:sz w:val="24"/>
                <w:lang w:val="en-US" w:eastAsia="zh-CN"/>
              </w:rPr>
              <w:t>0</w:t>
            </w:r>
          </w:p>
        </w:tc>
      </w:tr>
    </w:tbl>
    <w:p>
      <w:pPr>
        <w:widowControl/>
        <w:ind w:firstLine="480"/>
        <w:rPr>
          <w:rFonts w:hint="eastAsia"/>
          <w:color w:val="000000"/>
          <w:kern w:val="0"/>
          <w:sz w:val="24"/>
        </w:rPr>
      </w:pPr>
    </w:p>
    <w:p>
      <w:pPr>
        <w:widowControl/>
        <w:ind w:firstLine="480"/>
        <w:rPr>
          <w:rFonts w:hint="eastAsia" w:ascii="黑体" w:hAnsi="黑体" w:eastAsia="黑体" w:cs="黑体"/>
          <w:b/>
          <w:color w:val="000000"/>
          <w:kern w:val="0"/>
          <w:sz w:val="32"/>
          <w:szCs w:val="32"/>
        </w:rPr>
      </w:pPr>
      <w:r>
        <w:rPr>
          <w:rFonts w:hint="eastAsia" w:ascii="黑体" w:hAnsi="黑体" w:eastAsia="黑体" w:cs="黑体"/>
          <w:b/>
          <w:color w:val="000000"/>
          <w:kern w:val="0"/>
          <w:sz w:val="32"/>
          <w:szCs w:val="32"/>
        </w:rPr>
        <w:t>四、政府信息公开行政复议、行政诉讼情况</w:t>
      </w:r>
    </w:p>
    <w:p>
      <w:pPr>
        <w:widowControl/>
        <w:shd w:val="clear" w:color="auto" w:fill="FFFFFF"/>
        <w:wordWrap/>
        <w:adjustRightInd/>
        <w:snapToGrid/>
        <w:spacing w:before="0" w:after="0" w:line="580" w:lineRule="exact"/>
        <w:ind w:left="0" w:leftChars="0" w:right="0" w:firstLine="640" w:firstLineChars="200"/>
        <w:jc w:val="left"/>
        <w:textAlignment w:val="auto"/>
        <w:outlineLvl w:val="9"/>
        <w:rPr>
          <w:rFonts w:hint="eastAsia" w:ascii="黑体" w:hAnsi="黑体" w:eastAsia="黑体" w:cs="黑体"/>
          <w:b/>
          <w:color w:val="000000"/>
          <w:kern w:val="0"/>
          <w:sz w:val="32"/>
          <w:szCs w:val="32"/>
        </w:rPr>
      </w:pPr>
      <w:r>
        <w:rPr>
          <w:rFonts w:ascii="仿宋_GB2312" w:hAnsi="仿宋" w:eastAsia="仿宋_GB2312" w:cs="仿宋"/>
          <w:color w:val="auto"/>
          <w:kern w:val="0"/>
          <w:sz w:val="32"/>
          <w:szCs w:val="32"/>
        </w:rPr>
        <w:t>201</w:t>
      </w:r>
      <w:r>
        <w:rPr>
          <w:rFonts w:hint="eastAsia" w:ascii="仿宋_GB2312" w:hAnsi="仿宋" w:eastAsia="仿宋_GB2312" w:cs="仿宋"/>
          <w:color w:val="auto"/>
          <w:kern w:val="0"/>
          <w:sz w:val="32"/>
          <w:szCs w:val="32"/>
          <w:lang w:val="en-US" w:eastAsia="zh-CN"/>
        </w:rPr>
        <w:t>9</w:t>
      </w:r>
      <w:r>
        <w:rPr>
          <w:rFonts w:hint="eastAsia" w:ascii="仿宋_GB2312" w:hAnsi="仿宋" w:eastAsia="仿宋_GB2312" w:cs="仿宋"/>
          <w:color w:val="auto"/>
          <w:kern w:val="0"/>
          <w:sz w:val="32"/>
          <w:szCs w:val="32"/>
        </w:rPr>
        <w:t>年度无被申请行政复议、行政诉讼的情况。</w:t>
      </w:r>
    </w:p>
    <w:p>
      <w:pPr>
        <w:widowControl/>
        <w:ind w:firstLine="480"/>
        <w:rPr>
          <w:rFonts w:hint="eastAsia"/>
          <w:color w:val="000000"/>
          <w:kern w:val="0"/>
          <w:sz w:val="24"/>
        </w:rPr>
      </w:pPr>
    </w:p>
    <w:tbl>
      <w:tblPr>
        <w:tblW w:w="907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行政诉讼</w:t>
            </w:r>
          </w:p>
        </w:tc>
      </w:tr>
      <w:tr>
        <w:trPr>
          <w:jc w:val="center"/>
        </w:trPr>
        <w:tc>
          <w:tcPr>
            <w:tcW w:w="604"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结果维持</w:t>
            </w:r>
          </w:p>
        </w:tc>
        <w:tc>
          <w:tcPr>
            <w:tcW w:w="60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总计</w:t>
            </w:r>
          </w:p>
        </w:tc>
        <w:tc>
          <w:tcPr>
            <w:tcW w:w="2970"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复议后起诉</w:t>
            </w:r>
          </w:p>
        </w:tc>
      </w:tr>
      <w:tr>
        <w:trPr>
          <w:jc w:val="center"/>
        </w:trPr>
        <w:tc>
          <w:tcPr>
            <w:tcW w:w="60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604" w:type="dxa"/>
            <w:vMerge w:val="continue"/>
            <w:tcBorders>
              <w:top w:val="nil"/>
              <w:left w:val="nil"/>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604" w:type="dxa"/>
            <w:vMerge w:val="continue"/>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604" w:type="dxa"/>
            <w:vMerge w:val="continue"/>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658" w:type="dxa"/>
            <w:vMerge w:val="continue"/>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color w:val="000000"/>
                <w:kern w:val="0"/>
                <w:sz w:val="24"/>
              </w:rPr>
            </w:pP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结果维持</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其他结果</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尚未审结</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总计</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结果维持</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其他结果</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尚未审结</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ascii="宋体" w:hAnsi="宋体"/>
                <w:color w:val="000000"/>
                <w:kern w:val="0"/>
                <w:sz w:val="20"/>
              </w:rPr>
              <w:t>总计</w:t>
            </w:r>
          </w:p>
        </w:tc>
      </w:tr>
      <w:tr>
        <w:trPr>
          <w:jc w:val="center"/>
        </w:trPr>
        <w:tc>
          <w:tcPr>
            <w:tcW w:w="604"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default" w:ascii="Calibri" w:eastAsia="Calibri"/>
                <w:color w:val="000000"/>
                <w:kern w:val="0"/>
                <w:sz w:val="20"/>
              </w:rPr>
              <w:t> </w:t>
            </w:r>
            <w:r>
              <w:rPr>
                <w:rFonts w:hint="eastAsia"/>
                <w:color w:val="000000"/>
                <w:kern w:val="0"/>
                <w:sz w:val="20"/>
                <w:lang w:val="en-US" w:eastAsia="zh-CN"/>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65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default" w:ascii="Calibri" w:eastAsia="Calibri"/>
                <w:color w:val="000000"/>
                <w:kern w:val="0"/>
                <w:sz w:val="20"/>
              </w:rPr>
              <w:t> </w:t>
            </w: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eastAsia"/>
                <w:color w:val="000000"/>
                <w:kern w:val="0"/>
                <w:sz w:val="20"/>
              </w:rPr>
              <w:t>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eastAsia"/>
                <w:color w:val="000000"/>
                <w:kern w:val="0"/>
                <w:sz w:val="20"/>
              </w:rPr>
              <w:t>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eastAsia"/>
                <w:color w:val="000000"/>
                <w:kern w:val="0"/>
                <w:sz w:val="20"/>
              </w:rPr>
              <w:t>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eastAsia"/>
                <w:color w:val="000000"/>
                <w:kern w:val="0"/>
                <w:sz w:val="20"/>
              </w:rPr>
              <w:t>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rPr>
              <w:t> </w:t>
            </w:r>
            <w:r>
              <w:rPr>
                <w:rFonts w:hint="eastAsia"/>
                <w:color w:val="000000"/>
                <w:kern w:val="0"/>
                <w:sz w:val="20"/>
                <w:lang w:val="en-US" w:eastAsia="zh-CN"/>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rPr>
              <w:t> </w:t>
            </w:r>
            <w:r>
              <w:rPr>
                <w:rFonts w:hint="eastAsia"/>
                <w:color w:val="000000"/>
                <w:kern w:val="0"/>
                <w:sz w:val="20"/>
                <w:lang w:val="en-US" w:eastAsia="zh-CN"/>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eastAsia"/>
                <w:color w:val="000000"/>
                <w:kern w:val="0"/>
                <w:sz w:val="20"/>
              </w:rPr>
              <w:t>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lang w:val="en-US" w:eastAsia="zh-CN"/>
              </w:rPr>
              <w:t>0</w:t>
            </w:r>
            <w:r>
              <w:rPr>
                <w:rFonts w:hint="eastAsia"/>
                <w:color w:val="000000"/>
                <w:kern w:val="0"/>
                <w:sz w:val="20"/>
              </w:rPr>
              <w:t> </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color w:val="000000"/>
                <w:kern w:val="0"/>
                <w:sz w:val="24"/>
              </w:rPr>
            </w:pPr>
            <w:r>
              <w:rPr>
                <w:rFonts w:hint="eastAsia"/>
                <w:color w:val="000000"/>
                <w:kern w:val="0"/>
                <w:sz w:val="20"/>
              </w:rPr>
              <w:t> </w:t>
            </w:r>
            <w:r>
              <w:rPr>
                <w:rFonts w:hint="eastAsia"/>
                <w:color w:val="000000"/>
                <w:kern w:val="0"/>
                <w:sz w:val="20"/>
                <w:lang w:val="en-US" w:eastAsia="zh-CN"/>
              </w:rPr>
              <w:t>0</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eastAsia="宋体"/>
                <w:color w:val="000000"/>
                <w:kern w:val="0"/>
                <w:sz w:val="24"/>
                <w:lang w:val="en-US" w:eastAsia="zh-CN"/>
              </w:rPr>
            </w:pPr>
            <w:r>
              <w:rPr>
                <w:rFonts w:hint="eastAsia"/>
                <w:color w:val="000000"/>
                <w:kern w:val="0"/>
                <w:sz w:val="24"/>
                <w:lang w:val="en-US" w:eastAsia="zh-CN"/>
              </w:rPr>
              <w:t>0</w:t>
            </w:r>
          </w:p>
        </w:tc>
      </w:tr>
    </w:tbl>
    <w:p>
      <w:pPr>
        <w:widowControl/>
        <w:ind w:firstLine="480"/>
        <w:rPr>
          <w:rFonts w:hint="eastAsia" w:ascii="黑体" w:hAnsi="黑体" w:eastAsia="黑体" w:cs="黑体"/>
          <w:color w:val="000000"/>
          <w:kern w:val="0"/>
          <w:sz w:val="32"/>
          <w:szCs w:val="32"/>
        </w:rPr>
      </w:pPr>
      <w:r>
        <w:rPr>
          <w:rFonts w:hint="eastAsia" w:ascii="黑体" w:hAnsi="黑体" w:eastAsia="黑体" w:cs="黑体"/>
          <w:b/>
          <w:color w:val="000000"/>
          <w:kern w:val="0"/>
          <w:sz w:val="32"/>
          <w:szCs w:val="32"/>
        </w:rPr>
        <w:t>五、存在的主要问题及改进情况</w:t>
      </w:r>
    </w:p>
    <w:p>
      <w:pPr>
        <w:widowControl/>
        <w:shd w:val="clear" w:color="auto" w:fill="FFFFFF"/>
        <w:wordWrap/>
        <w:adjustRightInd/>
        <w:snapToGrid/>
        <w:spacing w:before="0" w:after="0" w:line="580" w:lineRule="exact"/>
        <w:ind w:left="0" w:leftChars="0" w:right="0" w:firstLine="640" w:firstLineChars="200"/>
        <w:jc w:val="left"/>
        <w:textAlignment w:val="auto"/>
        <w:outlineLvl w:val="9"/>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我委的政府信息公开工作虽然取得了较好的成绩，但通过工作实践，还有一些问题需要改进和提高。存在公开信息质量不高。存在公文类信息多，解读性信息少；静态性信息多，有分析、有建议的信息少；初级信息多，深加工的信息少等问题。</w:t>
      </w:r>
    </w:p>
    <w:p>
      <w:pPr>
        <w:widowControl/>
        <w:shd w:val="clear" w:color="auto" w:fill="FFFFFF"/>
        <w:wordWrap/>
        <w:adjustRightInd/>
        <w:snapToGrid/>
        <w:spacing w:before="0" w:after="0" w:line="580" w:lineRule="exact"/>
        <w:ind w:left="0" w:leftChars="0" w:right="0" w:firstLine="640" w:firstLineChars="200"/>
        <w:jc w:val="left"/>
        <w:textAlignment w:val="auto"/>
        <w:outlineLvl w:val="9"/>
        <w:rPr>
          <w:rFonts w:ascii="仿宋_GB2312" w:hAnsi="仿宋" w:eastAsia="仿宋_GB2312" w:cs="仿宋"/>
          <w:color w:val="auto"/>
          <w:kern w:val="0"/>
          <w:sz w:val="32"/>
          <w:szCs w:val="32"/>
        </w:rPr>
      </w:pPr>
      <w:r>
        <w:rPr>
          <w:rFonts w:ascii="仿宋_GB2312" w:hAnsi="Times New Roman" w:eastAsia="仿宋_GB2312"/>
          <w:color w:val="auto"/>
          <w:sz w:val="32"/>
          <w:szCs w:val="32"/>
        </w:rPr>
        <w:t>20</w:t>
      </w:r>
      <w:r>
        <w:rPr>
          <w:rFonts w:hint="eastAsia" w:ascii="仿宋_GB2312" w:hAnsi="Times New Roman" w:eastAsia="仿宋_GB2312"/>
          <w:color w:val="auto"/>
          <w:sz w:val="32"/>
          <w:szCs w:val="32"/>
          <w:lang w:val="en-US" w:eastAsia="zh-CN"/>
        </w:rPr>
        <w:t>20</w:t>
      </w:r>
      <w:r>
        <w:rPr>
          <w:rFonts w:hint="eastAsia" w:ascii="仿宋_GB2312" w:hAnsi="Times New Roman" w:eastAsia="仿宋_GB2312"/>
          <w:color w:val="auto"/>
          <w:sz w:val="32"/>
          <w:szCs w:val="32"/>
        </w:rPr>
        <w:t>年，</w:t>
      </w:r>
      <w:r>
        <w:rPr>
          <w:rFonts w:hint="eastAsia" w:ascii="仿宋_GB2312" w:hAnsi="仿宋" w:eastAsia="仿宋_GB2312" w:cs="仿宋"/>
          <w:color w:val="auto"/>
          <w:kern w:val="0"/>
          <w:sz w:val="32"/>
          <w:szCs w:val="32"/>
        </w:rPr>
        <w:t>我们将加大对政府信息公开工作的落实力度，具体抓好以下工作。</w:t>
      </w:r>
    </w:p>
    <w:p>
      <w:pPr>
        <w:widowControl/>
        <w:shd w:val="clear" w:color="auto" w:fill="FFFFFF"/>
        <w:wordWrap/>
        <w:adjustRightInd/>
        <w:snapToGrid/>
        <w:spacing w:before="0" w:after="0" w:line="580" w:lineRule="exact"/>
        <w:ind w:left="0" w:leftChars="0" w:right="0" w:firstLine="640" w:firstLineChars="200"/>
        <w:jc w:val="left"/>
        <w:textAlignment w:val="auto"/>
        <w:outlineLvl w:val="9"/>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一是进一步提高思想认识。将政府信息公开工作摆上全委工作的重要位置，在全委上下形成了“领导带头、全员参与”报送信息的良好氛围。</w:t>
      </w:r>
    </w:p>
    <w:p>
      <w:pPr>
        <w:widowControl/>
        <w:shd w:val="clear" w:color="auto" w:fill="FFFFFF"/>
        <w:wordWrap/>
        <w:adjustRightInd/>
        <w:snapToGrid/>
        <w:spacing w:before="0" w:after="0" w:line="580" w:lineRule="exact"/>
        <w:ind w:left="0" w:leftChars="0" w:right="0" w:firstLine="640" w:firstLineChars="200"/>
        <w:jc w:val="left"/>
        <w:textAlignment w:val="auto"/>
        <w:outlineLvl w:val="9"/>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二是进一步落实工作责任。充分发挥信息中心的职能作用，达到以职能促效能的良好效果。</w:t>
      </w:r>
      <w:r>
        <w:rPr>
          <w:rFonts w:hint="eastAsia" w:ascii="仿宋_GB2312" w:hAnsi="仿宋" w:eastAsia="仿宋_GB2312" w:cs="仿宋"/>
          <w:color w:val="auto"/>
          <w:kern w:val="0"/>
          <w:sz w:val="32"/>
          <w:szCs w:val="32"/>
          <w:lang w:eastAsia="zh-CN"/>
        </w:rPr>
        <w:t>完善</w:t>
      </w:r>
      <w:r>
        <w:rPr>
          <w:rFonts w:hint="eastAsia" w:ascii="仿宋_GB2312" w:hAnsi="仿宋" w:eastAsia="仿宋_GB2312" w:cs="仿宋"/>
          <w:color w:val="auto"/>
          <w:kern w:val="0"/>
          <w:sz w:val="32"/>
          <w:szCs w:val="32"/>
        </w:rPr>
        <w:t>政府信息公开工作的责任机制。</w:t>
      </w:r>
    </w:p>
    <w:p>
      <w:pPr>
        <w:widowControl/>
        <w:shd w:val="clear" w:color="auto" w:fill="FFFFFF"/>
        <w:wordWrap/>
        <w:adjustRightInd/>
        <w:snapToGrid/>
        <w:spacing w:before="0" w:after="0" w:line="580" w:lineRule="exact"/>
        <w:ind w:left="0" w:leftChars="0" w:right="0" w:firstLine="640" w:firstLineChars="200"/>
        <w:jc w:val="left"/>
        <w:textAlignment w:val="auto"/>
        <w:outlineLvl w:val="9"/>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三是进一步增强</w:t>
      </w:r>
      <w:r>
        <w:rPr>
          <w:rFonts w:hint="eastAsia" w:ascii="仿宋_GB2312" w:hAnsi="仿宋" w:eastAsia="仿宋_GB2312" w:cs="仿宋"/>
          <w:color w:val="auto"/>
          <w:kern w:val="0"/>
          <w:sz w:val="32"/>
          <w:szCs w:val="32"/>
          <w:lang w:eastAsia="zh-CN"/>
        </w:rPr>
        <w:t>公开</w:t>
      </w:r>
      <w:r>
        <w:rPr>
          <w:rFonts w:hint="eastAsia" w:ascii="仿宋_GB2312" w:hAnsi="仿宋" w:eastAsia="仿宋_GB2312" w:cs="仿宋"/>
          <w:color w:val="auto"/>
          <w:kern w:val="0"/>
          <w:sz w:val="32"/>
          <w:szCs w:val="32"/>
        </w:rPr>
        <w:t>效果。切实增强信息发布的针对性，充分发挥信息公开的主渠道作用，充分发挥信息公开的时效和宣传作用，确保效果。</w:t>
      </w:r>
    </w:p>
    <w:p>
      <w:pPr>
        <w:widowControl/>
        <w:ind w:firstLine="480"/>
        <w:rPr>
          <w:rFonts w:hint="eastAsia" w:ascii="黑体" w:hAnsi="黑体" w:eastAsia="黑体" w:cs="黑体"/>
          <w:b/>
          <w:color w:val="000000"/>
          <w:kern w:val="0"/>
          <w:sz w:val="32"/>
          <w:szCs w:val="32"/>
        </w:rPr>
      </w:pPr>
      <w:r>
        <w:rPr>
          <w:rFonts w:hint="eastAsia" w:ascii="黑体" w:hAnsi="黑体" w:eastAsia="黑体" w:cs="黑体"/>
          <w:b/>
          <w:color w:val="000000"/>
          <w:kern w:val="0"/>
          <w:sz w:val="32"/>
          <w:szCs w:val="32"/>
        </w:rPr>
        <w:t>六、其他需要报告的事项</w:t>
      </w:r>
    </w:p>
    <w:p>
      <w:pPr>
        <w:widowControl/>
        <w:ind w:firstLine="480"/>
        <w:rPr>
          <w:rFonts w:hint="eastAsia" w:ascii="仿宋_GB2312" w:hAnsi="仿宋" w:eastAsia="仿宋_GB2312" w:cs="仿宋"/>
          <w:color w:val="auto"/>
          <w:kern w:val="0"/>
          <w:sz w:val="32"/>
          <w:szCs w:val="32"/>
          <w:lang w:eastAsia="zh-CN"/>
        </w:rPr>
      </w:pPr>
      <w:r>
        <w:rPr>
          <w:rFonts w:hint="eastAsia" w:ascii="仿宋_GB2312" w:hAnsi="仿宋" w:eastAsia="仿宋_GB2312" w:cs="仿宋"/>
          <w:color w:val="auto"/>
          <w:kern w:val="0"/>
          <w:sz w:val="32"/>
          <w:szCs w:val="32"/>
          <w:lang w:eastAsia="zh-CN"/>
        </w:rPr>
        <w:t>没有其他需要报告的事项</w:t>
      </w:r>
    </w:p>
    <w:p>
      <w:pPr>
        <w:widowControl/>
        <w:shd w:val="clear" w:color="auto" w:fill="FFFFFF"/>
        <w:wordWrap w:val="0"/>
        <w:adjustRightInd/>
        <w:snapToGrid/>
        <w:spacing w:before="0" w:after="0" w:line="580" w:lineRule="exact"/>
        <w:ind w:left="0" w:leftChars="0" w:right="0"/>
        <w:jc w:val="both"/>
        <w:textAlignment w:val="auto"/>
        <w:outlineLvl w:val="9"/>
        <w:rPr>
          <w:rFonts w:hint="eastAsia" w:ascii="仿宋_GB2312" w:hAnsi="仿宋" w:eastAsia="仿宋_GB2312" w:cs="仿宋"/>
          <w:color w:val="auto"/>
          <w:kern w:val="0"/>
          <w:sz w:val="32"/>
          <w:szCs w:val="32"/>
          <w:lang w:eastAsia="zh-CN"/>
        </w:rPr>
      </w:pPr>
    </w:p>
    <w:p>
      <w:pPr>
        <w:widowControl/>
        <w:shd w:val="clear" w:color="auto" w:fill="FFFFFF"/>
        <w:wordWrap w:val="0"/>
        <w:adjustRightInd/>
        <w:snapToGrid/>
        <w:spacing w:before="0" w:after="0" w:line="580" w:lineRule="exact"/>
        <w:ind w:left="0" w:leftChars="0" w:right="0"/>
        <w:jc w:val="both"/>
        <w:textAlignment w:val="auto"/>
        <w:outlineLvl w:val="9"/>
        <w:rPr>
          <w:rFonts w:hint="eastAsia" w:ascii="仿宋_GB2312" w:hAnsi="仿宋" w:eastAsia="仿宋_GB2312" w:cs="仿宋"/>
          <w:color w:val="auto"/>
          <w:kern w:val="0"/>
          <w:sz w:val="32"/>
          <w:szCs w:val="32"/>
          <w:lang w:eastAsia="zh-CN"/>
        </w:rPr>
      </w:pPr>
    </w:p>
    <w:p>
      <w:pPr>
        <w:widowControl/>
        <w:shd w:val="clear" w:color="auto" w:fill="FFFFFF"/>
        <w:wordWrap w:val="0"/>
        <w:adjustRightInd/>
        <w:snapToGrid/>
        <w:spacing w:before="0" w:after="0" w:line="580" w:lineRule="exact"/>
        <w:ind w:left="0" w:leftChars="0" w:right="0"/>
        <w:jc w:val="both"/>
        <w:textAlignment w:val="auto"/>
        <w:outlineLvl w:val="9"/>
        <w:rPr>
          <w:rFonts w:hint="eastAsia" w:ascii="仿宋_GB2312" w:hAnsi="仿宋" w:eastAsia="仿宋_GB2312" w:cs="仿宋"/>
          <w:color w:val="auto"/>
          <w:kern w:val="0"/>
          <w:sz w:val="32"/>
          <w:szCs w:val="32"/>
          <w:lang w:eastAsia="zh-CN"/>
        </w:rPr>
      </w:pPr>
    </w:p>
    <w:p>
      <w:pPr>
        <w:widowControl/>
        <w:shd w:val="clear" w:color="auto" w:fill="FFFFFF"/>
        <w:wordWrap/>
        <w:adjustRightInd/>
        <w:snapToGrid/>
        <w:spacing w:before="0" w:after="0" w:line="580" w:lineRule="exact"/>
        <w:ind w:left="0" w:leftChars="0" w:right="0"/>
        <w:jc w:val="center"/>
        <w:textAlignment w:val="auto"/>
        <w:outlineLvl w:val="9"/>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lang w:val="en-US" w:eastAsia="zh-CN"/>
        </w:rPr>
        <w:t xml:space="preserve">             </w:t>
      </w:r>
      <w:r>
        <w:rPr>
          <w:rFonts w:hint="eastAsia" w:ascii="仿宋_GB2312" w:hAnsi="仿宋" w:eastAsia="仿宋_GB2312" w:cs="仿宋"/>
          <w:color w:val="auto"/>
          <w:kern w:val="0"/>
          <w:sz w:val="32"/>
          <w:szCs w:val="32"/>
        </w:rPr>
        <w:t>忻州市发展和改革委员会</w:t>
      </w:r>
    </w:p>
    <w:p>
      <w:pPr>
        <w:widowControl/>
        <w:shd w:val="clear" w:color="auto" w:fill="FFFFFF"/>
        <w:wordWrap/>
        <w:adjustRightInd/>
        <w:snapToGrid/>
        <w:spacing w:before="0" w:after="0" w:line="580" w:lineRule="exact"/>
        <w:ind w:left="0" w:leftChars="0" w:right="0"/>
        <w:jc w:val="center"/>
        <w:textAlignment w:val="auto"/>
        <w:outlineLvl w:val="9"/>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lang w:val="en-US" w:eastAsia="zh-CN"/>
        </w:rPr>
        <w:t xml:space="preserve">              </w:t>
      </w:r>
      <w:r>
        <w:rPr>
          <w:rFonts w:ascii="仿宋_GB2312" w:hAnsi="仿宋" w:eastAsia="仿宋_GB2312" w:cs="仿宋"/>
          <w:color w:val="auto"/>
          <w:kern w:val="0"/>
          <w:sz w:val="32"/>
          <w:szCs w:val="32"/>
        </w:rPr>
        <w:t>20</w:t>
      </w:r>
      <w:r>
        <w:rPr>
          <w:rFonts w:hint="eastAsia" w:ascii="仿宋_GB2312" w:hAnsi="仿宋" w:eastAsia="仿宋_GB2312" w:cs="仿宋"/>
          <w:color w:val="auto"/>
          <w:kern w:val="0"/>
          <w:sz w:val="32"/>
          <w:szCs w:val="32"/>
          <w:lang w:val="en-US" w:eastAsia="zh-CN"/>
        </w:rPr>
        <w:t>20</w:t>
      </w:r>
      <w:r>
        <w:rPr>
          <w:rFonts w:hint="eastAsia" w:ascii="仿宋_GB2312" w:hAnsi="仿宋" w:eastAsia="仿宋_GB2312" w:cs="仿宋"/>
          <w:color w:val="auto"/>
          <w:kern w:val="0"/>
          <w:sz w:val="32"/>
          <w:szCs w:val="32"/>
        </w:rPr>
        <w:t>年</w:t>
      </w:r>
      <w:r>
        <w:rPr>
          <w:rFonts w:ascii="仿宋_GB2312" w:hAnsi="仿宋" w:eastAsia="仿宋_GB2312" w:cs="仿宋"/>
          <w:color w:val="auto"/>
          <w:kern w:val="0"/>
          <w:sz w:val="32"/>
          <w:szCs w:val="32"/>
        </w:rPr>
        <w:t>2</w:t>
      </w:r>
      <w:r>
        <w:rPr>
          <w:rFonts w:hint="eastAsia" w:ascii="仿宋_GB2312" w:hAnsi="仿宋" w:eastAsia="仿宋_GB2312" w:cs="仿宋"/>
          <w:color w:val="auto"/>
          <w:kern w:val="0"/>
          <w:sz w:val="32"/>
          <w:szCs w:val="32"/>
        </w:rPr>
        <w:t>月</w:t>
      </w:r>
      <w:r>
        <w:rPr>
          <w:rFonts w:hint="eastAsia" w:ascii="仿宋_GB2312" w:hAnsi="仿宋" w:eastAsia="仿宋_GB2312" w:cs="仿宋"/>
          <w:color w:val="auto"/>
          <w:kern w:val="0"/>
          <w:sz w:val="32"/>
          <w:szCs w:val="32"/>
          <w:lang w:val="en-US" w:eastAsia="zh-CN"/>
        </w:rPr>
        <w:t>20</w:t>
      </w:r>
      <w:r>
        <w:rPr>
          <w:rFonts w:hint="eastAsia" w:ascii="仿宋_GB2312" w:hAnsi="仿宋" w:eastAsia="仿宋_GB2312" w:cs="仿宋"/>
          <w:color w:val="auto"/>
          <w:kern w:val="0"/>
          <w:sz w:val="32"/>
          <w:szCs w:val="32"/>
        </w:rPr>
        <w:t>日</w:t>
      </w:r>
    </w:p>
    <w:p>
      <w:pPr>
        <w:ind w:firstLine="5440" w:firstLineChars="1700"/>
        <w:rPr>
          <w:rFonts w:ascii="仿宋_GB2312" w:hAnsi="仿宋_GB2312" w:eastAsia="仿宋_GB2312" w:cs="仿宋_GB2312"/>
          <w:color w:val="auto"/>
          <w:sz w:val="32"/>
          <w:szCs w:val="32"/>
        </w:rPr>
      </w:pPr>
    </w:p>
    <w:p>
      <w:pPr>
        <w:widowControl/>
        <w:shd w:val="clear" w:color="auto" w:fill="FFFFFF"/>
        <w:spacing w:before="100" w:beforeAutospacing="1" w:after="100" w:afterAutospacing="1" w:line="504" w:lineRule="auto"/>
        <w:jc w:val="right"/>
        <w:rPr>
          <w:rFonts w:ascii="仿宋_GB2312" w:hAnsi="仿宋" w:eastAsia="仿宋_GB2312" w:cs="仿宋"/>
          <w:color w:val="auto"/>
          <w:kern w:val="0"/>
          <w:sz w:val="32"/>
          <w:szCs w:val="32"/>
        </w:rPr>
      </w:pPr>
    </w:p>
    <w:sectPr>
      <w:footerReference r:id="rId4" w:type="default"/>
      <w:footerReference r:id="rId5" w:type="even"/>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华文中宋">
    <w:altName w:val="宋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10" w:usb3="00000000" w:csb0="00040000" w:csb1="00000000"/>
  </w:font>
  <w:font w:name="Arial Unicode MS">
    <w:altName w:val="宋体"/>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Segoe UI">
    <w:panose1 w:val="020B0502040204020203"/>
    <w:charset w:val="00"/>
    <w:family w:val="auto"/>
    <w:pitch w:val="default"/>
    <w:sig w:usb0="E10022FF" w:usb1="C000E47F" w:usb2="00000029" w:usb3="00000000" w:csb0="200001DF" w:csb1="2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Segoe UI CE">
    <w:altName w:val="Segoe UI"/>
    <w:panose1 w:val="00000000000000000000"/>
    <w:charset w:val="EE"/>
    <w:family w:val="auto"/>
    <w:pitch w:val="default"/>
    <w:sig w:usb0="00000000" w:usb1="00000000" w:usb2="00000000" w:usb3="00000000" w:csb0="00000002" w:csb1="00000000"/>
  </w:font>
  <w:font w:name="Segoe UI Cyr">
    <w:altName w:val="Segoe UI"/>
    <w:panose1 w:val="00000000000000000000"/>
    <w:charset w:val="CC"/>
    <w:family w:val="auto"/>
    <w:pitch w:val="default"/>
    <w:sig w:usb0="00000000" w:usb1="00000000" w:usb2="00000000" w:usb3="00000000" w:csb0="00000004" w:csb1="00000000"/>
  </w:font>
  <w:font w:name="Segoe UI Greek">
    <w:altName w:val="Segoe UI"/>
    <w:panose1 w:val="00000000000000000000"/>
    <w:charset w:val="A1"/>
    <w:family w:val="auto"/>
    <w:pitch w:val="default"/>
    <w:sig w:usb0="00000000" w:usb1="00000000" w:usb2="00000000" w:usb3="00000000" w:csb0="00000008" w:csb1="00000000"/>
  </w:font>
  <w:font w:name="Segoe UI Tur">
    <w:altName w:val="Segoe UI"/>
    <w:panose1 w:val="00000000000000000000"/>
    <w:charset w:val="A2"/>
    <w:family w:val="auto"/>
    <w:pitch w:val="default"/>
    <w:sig w:usb0="00000000" w:usb1="00000000" w:usb2="00000000" w:usb3="00000000" w:csb0="00000010" w:csb1="00000000"/>
  </w:font>
  <w:font w:name="Segoe UI (Arabic)">
    <w:altName w:val="Segoe UI"/>
    <w:panose1 w:val="00000000000000000000"/>
    <w:charset w:val="B2"/>
    <w:family w:val="auto"/>
    <w:pitch w:val="default"/>
    <w:sig w:usb0="00000000" w:usb1="00000000" w:usb2="00000000" w:usb3="00000000" w:csb0="00000040" w:csb1="00000000"/>
  </w:font>
  <w:font w:name="Segoe UI Baltic">
    <w:altName w:val="Segoe UI"/>
    <w:panose1 w:val="00000000000000000000"/>
    <w:charset w:val="BA"/>
    <w:family w:val="auto"/>
    <w:pitch w:val="default"/>
    <w:sig w:usb0="00000000" w:usb1="00000000" w:usb2="00000000" w:usb3="00000000" w:csb0="00000080" w:csb1="00000000"/>
  </w:font>
  <w:font w:name="Segoe UI (Vietnamese)">
    <w:altName w:val="Segoe UI"/>
    <w:panose1 w:val="00000000000000000000"/>
    <w:charset w:val="A3"/>
    <w:family w:val="auto"/>
    <w:pitch w:val="default"/>
    <w:sig w:usb0="00000000" w:usb1="00000000" w:usb2="00000000" w:usb3="00000000" w:csb0="00000100" w:csb1="00000000"/>
  </w:font>
  <w:font w:name="Calibri CE">
    <w:altName w:val="Calibri"/>
    <w:panose1 w:val="00000000000000000000"/>
    <w:charset w:val="EE"/>
    <w:family w:val="auto"/>
    <w:pitch w:val="default"/>
    <w:sig w:usb0="00000000" w:usb1="00000000" w:usb2="00000000" w:usb3="00000000" w:csb0="00000002" w:csb1="00000000"/>
  </w:font>
  <w:font w:name="Calibri Cyr">
    <w:altName w:val="Calibri"/>
    <w:panose1 w:val="00000000000000000000"/>
    <w:charset w:val="CC"/>
    <w:family w:val="auto"/>
    <w:pitch w:val="default"/>
    <w:sig w:usb0="00000000" w:usb1="00000000" w:usb2="00000000" w:usb3="00000000" w:csb0="00000004" w:csb1="00000000"/>
  </w:font>
  <w:font w:name="Calibri Greek">
    <w:altName w:val="Calibri"/>
    <w:panose1 w:val="00000000000000000000"/>
    <w:charset w:val="A1"/>
    <w:family w:val="auto"/>
    <w:pitch w:val="default"/>
    <w:sig w:usb0="00000000" w:usb1="00000000" w:usb2="00000000" w:usb3="00000000" w:csb0="00000008" w:csb1="00000000"/>
  </w:font>
  <w:font w:name="Calibri Tur">
    <w:altName w:val="Calibri"/>
    <w:panose1 w:val="00000000000000000000"/>
    <w:charset w:val="A2"/>
    <w:family w:val="auto"/>
    <w:pitch w:val="default"/>
    <w:sig w:usb0="00000000" w:usb1="00000000" w:usb2="00000000" w:usb3="00000000" w:csb0="00000010" w:csb1="00000000"/>
  </w:font>
  <w:font w:name="Calibri Baltic">
    <w:altName w:val="Calibri"/>
    <w:panose1 w:val="00000000000000000000"/>
    <w:charset w:val="BA"/>
    <w:family w:val="auto"/>
    <w:pitch w:val="default"/>
    <w:sig w:usb0="00000000" w:usb1="00000000" w:usb2="00000000" w:usb3="00000000" w:csb0="00000080" w:csb1="00000000"/>
  </w:font>
  <w:font w:name="Calibri (Vietnamese)">
    <w:altName w:val="Calibri"/>
    <w:panose1 w:val="00000000000000000000"/>
    <w:charset w:val="A3"/>
    <w:family w:val="auto"/>
    <w:pitch w:val="default"/>
    <w:sig w:usb0="00000000" w:usb1="00000000" w:usb2="00000000" w:usb3="00000000" w:csb0="00000100" w:csb1="00000000"/>
  </w:font>
  <w:font w:name="¿¬Ìå Western">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ind w:left="378" w:leftChars="180" w:right="378" w:rightChars="180"/>
      <w:rPr>
        <w:rStyle w:val="7"/>
        <w:rFonts w:ascii="仿宋_GB2312" w:eastAsia="仿宋_GB2312"/>
        <w:sz w:val="28"/>
      </w:rPr>
    </w:pPr>
    <w:r>
      <w:rPr>
        <w:rFonts w:ascii="仿宋_GB2312" w:eastAsia="仿宋_GB2312"/>
        <w:sz w:val="28"/>
      </w:rPr>
      <w:fldChar w:fldCharType="begin"/>
    </w:r>
    <w:r>
      <w:rPr>
        <w:rStyle w:val="7"/>
        <w:rFonts w:ascii="仿宋_GB2312" w:eastAsia="仿宋_GB2312"/>
        <w:sz w:val="28"/>
      </w:rPr>
      <w:instrText xml:space="preserve">PAGE  </w:instrText>
    </w:r>
    <w:r>
      <w:rPr>
        <w:rFonts w:ascii="仿宋_GB2312" w:eastAsia="仿宋_GB2312"/>
        <w:sz w:val="28"/>
      </w:rPr>
      <w:fldChar w:fldCharType="separate"/>
    </w:r>
    <w:r>
      <w:rPr>
        <w:rStyle w:val="7"/>
        <w:rFonts w:ascii="仿宋_GB2312" w:eastAsia="仿宋_GB2312"/>
        <w:sz w:val="28"/>
      </w:rPr>
      <w:t>1</w:t>
    </w:r>
    <w:r>
      <w:rPr>
        <w:rFonts w:ascii="仿宋_GB2312" w:eastAsia="仿宋_GB2312"/>
        <w:sz w:val="28"/>
      </w:rPr>
      <w:fldChar w:fldCharType="end"/>
    </w:r>
    <w:r>
      <w:rPr>
        <w:rStyle w:val="7"/>
        <w:rFonts w:ascii="仿宋_GB2312" w:eastAsia="仿宋_GB2312"/>
        <w:sz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7"/>
      </w:rPr>
    </w:pPr>
    <w:r>
      <w:fldChar w:fldCharType="begin"/>
    </w:r>
    <w:r>
      <w:rPr>
        <w:rStyle w:val="7"/>
      </w:rPr>
      <w:instrText xml:space="preserve">PAGE  </w:instrText>
    </w:r>
    <w:r>
      <w:fldChar w:fldCharType="separate"/>
    </w:r>
    <w:r>
      <w:rPr>
        <w:rStyle w:val="7"/>
      </w:rPr>
      <w:t>6</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paragraph" w:styleId="2">
    <w:name w:val="Date"/>
    <w:basedOn w:val="1"/>
    <w:next w:val="1"/>
    <w:link w:val="12"/>
    <w:qFormat/>
    <w:uiPriority w:val="99"/>
    <w:pPr>
      <w:ind w:left="100" w:leftChars="2500"/>
    </w:pPr>
  </w:style>
  <w:style w:type="paragraph" w:styleId="3">
    <w:name w:val="footer"/>
    <w:basedOn w:val="1"/>
    <w:link w:val="13"/>
    <w:uiPriority w:val="99"/>
    <w:pPr>
      <w:tabs>
        <w:tab w:val="center" w:pos="4153"/>
        <w:tab w:val="right" w:pos="8306"/>
      </w:tabs>
      <w:snapToGrid w:val="0"/>
      <w:jc w:val="left"/>
    </w:pPr>
    <w:rPr>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page number"/>
    <w:basedOn w:val="6"/>
    <w:qFormat/>
    <w:uiPriority w:val="99"/>
    <w:rPr>
      <w:rFonts w:cs="Times New Roman"/>
    </w:rPr>
  </w:style>
  <w:style w:type="character" w:styleId="8">
    <w:name w:val="FollowedHyperlink"/>
    <w:basedOn w:val="6"/>
    <w:semiHidden/>
    <w:unhideWhenUsed/>
    <w:uiPriority w:val="99"/>
    <w:rPr>
      <w:color w:val="222222"/>
      <w:u w:val="none"/>
    </w:rPr>
  </w:style>
  <w:style w:type="character" w:styleId="9">
    <w:name w:val="Hyperlink"/>
    <w:basedOn w:val="6"/>
    <w:semiHidden/>
    <w:unhideWhenUsed/>
    <w:uiPriority w:val="99"/>
    <w:rPr>
      <w:color w:val="222222"/>
      <w:u w:val="none"/>
    </w:rPr>
  </w:style>
  <w:style w:type="paragraph" w:customStyle="1" w:styleId="10">
    <w:name w:val="List Paragraph"/>
    <w:basedOn w:val="1"/>
    <w:qFormat/>
    <w:uiPriority w:val="99"/>
    <w:pPr>
      <w:ind w:firstLine="420" w:firstLineChars="200"/>
    </w:pPr>
  </w:style>
  <w:style w:type="paragraph" w:customStyle="1" w:styleId="11">
    <w:name w:val="Char"/>
    <w:basedOn w:val="1"/>
    <w:qFormat/>
    <w:uiPriority w:val="99"/>
    <w:rPr>
      <w:szCs w:val="24"/>
    </w:rPr>
  </w:style>
  <w:style w:type="character" w:customStyle="1" w:styleId="12">
    <w:name w:val="日期 Char Char"/>
    <w:basedOn w:val="6"/>
    <w:link w:val="2"/>
    <w:uiPriority w:val="99"/>
    <w:rPr>
      <w:rFonts w:ascii="Calibri" w:hAnsi="Calibri" w:cs="Times New Roman"/>
      <w:kern w:val="2"/>
      <w:sz w:val="22"/>
      <w:szCs w:val="22"/>
    </w:rPr>
  </w:style>
  <w:style w:type="character" w:customStyle="1" w:styleId="13">
    <w:name w:val="页脚 Char Char"/>
    <w:basedOn w:val="6"/>
    <w:link w:val="3"/>
    <w:uiPriority w:val="99"/>
    <w:rPr>
      <w:rFonts w:ascii="Calibri" w:hAnsi="Calibri"/>
      <w:sz w:val="18"/>
      <w:szCs w:val="18"/>
    </w:rPr>
  </w:style>
  <w:style w:type="character" w:customStyle="1" w:styleId="14">
    <w:name w:val="页眉 Char Char"/>
    <w:basedOn w:val="6"/>
    <w:link w:val="4"/>
    <w:uiPriority w:val="99"/>
    <w:rPr>
      <w:rFonts w:ascii="Calibri" w:hAnsi="Calibri" w:cs="Times New Roman"/>
      <w:kern w:val="2"/>
      <w:sz w:val="18"/>
      <w:szCs w:val="18"/>
    </w:rPr>
  </w:style>
  <w:style w:type="character" w:customStyle="1" w:styleId="15">
    <w:name w:val="owl-numbers"/>
    <w:basedOn w:val="6"/>
    <w:uiPriority w:val="0"/>
    <w:rPr>
      <w:color w:val="FFFFFF"/>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610</Words>
  <Characters>3480</Characters>
  <Lines>29</Lines>
  <Paragraphs>8</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2019-02-25T00:37:00Z</dcterms:created>
  <dc:creator>lenovo</dc:creator>
  <cp:lastModifiedBy>wd</cp:lastModifiedBy>
  <cp:lastPrinted>2020-02-21T09:15:00Z</cp:lastPrinted>
  <dcterms:modified xsi:type="dcterms:W3CDTF">2020-02-21T09:18:03Z</dcterms:modified>
  <dc:title>忻州市发展和改革委员会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